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741143">
      <w:pPr>
        <w:jc w:val="right"/>
        <w:rPr>
          <w:rFonts w:ascii="Times New Roman" w:hAnsi="Times New Roman" w:eastAsia="黑体"/>
          <w:color w:val="auto"/>
          <w:sz w:val="28"/>
          <w:szCs w:val="28"/>
        </w:rPr>
      </w:pPr>
    </w:p>
    <w:p w14:paraId="1707605D">
      <w:pPr>
        <w:jc w:val="center"/>
        <w:rPr>
          <w:rFonts w:ascii="宋体" w:hAnsi="宋体"/>
          <w:b/>
          <w:color w:val="auto"/>
          <w:sz w:val="48"/>
          <w:szCs w:val="48"/>
        </w:rPr>
      </w:pPr>
    </w:p>
    <w:p w14:paraId="614C4F0D">
      <w:pPr>
        <w:ind w:left="-282" w:leftChars="-135" w:hanging="1"/>
        <w:jc w:val="center"/>
        <w:rPr>
          <w:rFonts w:hint="eastAsia" w:ascii="宋体" w:hAnsi="宋体"/>
          <w:b/>
          <w:color w:val="auto"/>
          <w:sz w:val="44"/>
          <w:szCs w:val="44"/>
        </w:rPr>
      </w:pPr>
    </w:p>
    <w:p w14:paraId="27ABD408">
      <w:pPr>
        <w:ind w:left="-282" w:leftChars="-135" w:hanging="1"/>
        <w:jc w:val="center"/>
        <w:rPr>
          <w:rFonts w:hint="eastAsia" w:ascii="Times New Roman" w:hAnsi="Times New Roman" w:eastAsia="宋体"/>
          <w:color w:val="auto"/>
          <w:sz w:val="28"/>
          <w:lang w:eastAsia="zh-CN"/>
        </w:rPr>
      </w:pPr>
      <w:r>
        <w:rPr>
          <w:rFonts w:hint="eastAsia" w:ascii="宋体" w:hAnsi="宋体"/>
          <w:b/>
          <w:color w:val="auto"/>
          <w:sz w:val="44"/>
          <w:szCs w:val="44"/>
          <w:lang w:eastAsia="zh-CN"/>
        </w:rPr>
        <w:t>菏泽市农高区城乡冷链物流建设项目</w:t>
      </w:r>
    </w:p>
    <w:p w14:paraId="3281D3A0">
      <w:pPr>
        <w:spacing w:before="156" w:beforeLines="50" w:after="156" w:afterLines="50"/>
        <w:jc w:val="center"/>
        <w:rPr>
          <w:rFonts w:ascii="Times New Roman" w:hAnsi="Times New Roman" w:eastAsia="黑体"/>
          <w:color w:val="auto"/>
          <w:sz w:val="60"/>
          <w:szCs w:val="60"/>
          <w:highlight w:val="none"/>
        </w:rPr>
      </w:pPr>
      <w:r>
        <w:rPr>
          <w:rFonts w:ascii="Times New Roman" w:hAnsi="Times New Roman" w:eastAsia="黑体"/>
          <w:color w:val="auto"/>
          <w:sz w:val="60"/>
          <w:szCs w:val="60"/>
          <w:highlight w:val="none"/>
        </w:rPr>
        <w:t>招</w:t>
      </w:r>
      <w:r>
        <w:rPr>
          <w:rFonts w:hint="eastAsia" w:ascii="Times New Roman" w:hAnsi="Times New Roman" w:eastAsia="黑体"/>
          <w:color w:val="auto"/>
          <w:sz w:val="60"/>
          <w:szCs w:val="60"/>
          <w:highlight w:val="none"/>
        </w:rPr>
        <w:t xml:space="preserve"> </w:t>
      </w:r>
      <w:r>
        <w:rPr>
          <w:rFonts w:ascii="Times New Roman" w:hAnsi="Times New Roman" w:eastAsia="黑体"/>
          <w:color w:val="auto"/>
          <w:sz w:val="60"/>
          <w:szCs w:val="60"/>
          <w:highlight w:val="none"/>
        </w:rPr>
        <w:t>标</w:t>
      </w:r>
      <w:r>
        <w:rPr>
          <w:rFonts w:hint="eastAsia" w:ascii="Times New Roman" w:hAnsi="Times New Roman" w:eastAsia="黑体"/>
          <w:color w:val="auto"/>
          <w:sz w:val="60"/>
          <w:szCs w:val="60"/>
          <w:highlight w:val="none"/>
        </w:rPr>
        <w:t xml:space="preserve"> </w:t>
      </w:r>
      <w:r>
        <w:rPr>
          <w:rFonts w:ascii="Times New Roman" w:hAnsi="Times New Roman" w:eastAsia="黑体"/>
          <w:color w:val="auto"/>
          <w:sz w:val="60"/>
          <w:szCs w:val="60"/>
          <w:highlight w:val="none"/>
        </w:rPr>
        <w:t>文</w:t>
      </w:r>
      <w:r>
        <w:rPr>
          <w:rFonts w:hint="eastAsia" w:ascii="Times New Roman" w:hAnsi="Times New Roman" w:eastAsia="黑体"/>
          <w:color w:val="auto"/>
          <w:sz w:val="60"/>
          <w:szCs w:val="60"/>
          <w:highlight w:val="none"/>
        </w:rPr>
        <w:t xml:space="preserve"> </w:t>
      </w:r>
      <w:r>
        <w:rPr>
          <w:rFonts w:ascii="Times New Roman" w:hAnsi="Times New Roman" w:eastAsia="黑体"/>
          <w:color w:val="auto"/>
          <w:sz w:val="60"/>
          <w:szCs w:val="60"/>
          <w:highlight w:val="none"/>
        </w:rPr>
        <w:t>件</w:t>
      </w:r>
    </w:p>
    <w:p w14:paraId="034036C8">
      <w:pPr>
        <w:spacing w:before="156" w:beforeLines="50" w:after="156" w:afterLines="50"/>
        <w:jc w:val="center"/>
        <w:rPr>
          <w:rFonts w:hint="default" w:ascii="Times New Roman" w:hAnsi="Times New Roman" w:eastAsia="宋体"/>
          <w:color w:val="auto"/>
          <w:sz w:val="32"/>
          <w:szCs w:val="32"/>
          <w:highlight w:val="none"/>
          <w:lang w:val="en-US" w:eastAsia="zh-CN"/>
        </w:rPr>
      </w:pPr>
      <w:r>
        <w:rPr>
          <w:rFonts w:hint="eastAsia" w:ascii="宋体" w:hAnsi="宋体" w:cs="宋体"/>
          <w:b/>
          <w:bCs/>
          <w:color w:val="auto"/>
          <w:kern w:val="0"/>
          <w:sz w:val="32"/>
          <w:szCs w:val="32"/>
          <w:highlight w:val="none"/>
        </w:rPr>
        <w:t>项目编号：</w:t>
      </w:r>
      <w:r>
        <w:rPr>
          <w:rFonts w:hint="eastAsia" w:ascii="宋体" w:hAnsi="宋体" w:cs="宋体"/>
          <w:b/>
          <w:bCs/>
          <w:color w:val="auto"/>
          <w:kern w:val="0"/>
          <w:sz w:val="32"/>
          <w:szCs w:val="32"/>
          <w:highlight w:val="none"/>
          <w:lang w:val="en-US" w:eastAsia="zh-CN"/>
        </w:rPr>
        <w:t xml:space="preserve"> </w:t>
      </w:r>
      <w:r>
        <w:rPr>
          <w:rFonts w:hint="eastAsia" w:ascii="宋体" w:hAnsi="宋体" w:cs="宋体"/>
          <w:b/>
          <w:bCs/>
          <w:color w:val="auto"/>
          <w:kern w:val="0"/>
          <w:sz w:val="32"/>
          <w:szCs w:val="32"/>
          <w:highlight w:val="none"/>
        </w:rPr>
        <w:t>2110-371702-04-01-683261</w:t>
      </w:r>
    </w:p>
    <w:p w14:paraId="43B01C6C">
      <w:pPr>
        <w:spacing w:line="400" w:lineRule="exact"/>
        <w:rPr>
          <w:rFonts w:ascii="Times New Roman" w:hAnsi="Times New Roman"/>
          <w:color w:val="auto"/>
          <w:highlight w:val="none"/>
        </w:rPr>
      </w:pPr>
    </w:p>
    <w:p w14:paraId="3E02E528">
      <w:pPr>
        <w:spacing w:line="400" w:lineRule="exact"/>
        <w:rPr>
          <w:rFonts w:ascii="Times New Roman" w:hAnsi="Times New Roman"/>
          <w:color w:val="auto"/>
          <w:highlight w:val="none"/>
        </w:rPr>
      </w:pPr>
    </w:p>
    <w:p w14:paraId="0303CA9C">
      <w:pPr>
        <w:spacing w:line="400" w:lineRule="exact"/>
        <w:rPr>
          <w:rFonts w:ascii="Times New Roman" w:hAnsi="Times New Roman"/>
          <w:color w:val="auto"/>
        </w:rPr>
      </w:pPr>
    </w:p>
    <w:p w14:paraId="458DE792">
      <w:pPr>
        <w:spacing w:line="400" w:lineRule="exact"/>
        <w:rPr>
          <w:rFonts w:ascii="Times New Roman" w:hAnsi="Times New Roman"/>
          <w:color w:val="auto"/>
        </w:rPr>
      </w:pPr>
    </w:p>
    <w:p w14:paraId="503FB257">
      <w:pPr>
        <w:spacing w:line="400" w:lineRule="exact"/>
        <w:rPr>
          <w:rFonts w:ascii="Times New Roman" w:hAnsi="Times New Roman"/>
          <w:color w:val="auto"/>
        </w:rPr>
      </w:pPr>
    </w:p>
    <w:p w14:paraId="401E42A3">
      <w:pPr>
        <w:spacing w:line="400" w:lineRule="exact"/>
        <w:rPr>
          <w:rFonts w:ascii="Times New Roman" w:hAnsi="Times New Roman"/>
          <w:color w:val="auto"/>
        </w:rPr>
      </w:pPr>
    </w:p>
    <w:p w14:paraId="4AF8D431">
      <w:pPr>
        <w:rPr>
          <w:color w:val="auto"/>
        </w:rPr>
      </w:pPr>
    </w:p>
    <w:p w14:paraId="36F2F8CD">
      <w:pPr>
        <w:pStyle w:val="149"/>
        <w:rPr>
          <w:color w:val="auto"/>
        </w:rPr>
      </w:pPr>
    </w:p>
    <w:p w14:paraId="7E69170E">
      <w:pPr>
        <w:spacing w:line="408" w:lineRule="atLeast"/>
        <w:jc w:val="left"/>
        <w:textAlignment w:val="baseline"/>
        <w:rPr>
          <w:rFonts w:ascii="宋体" w:hAnsi="宋体"/>
          <w:color w:val="auto"/>
          <w:sz w:val="26"/>
          <w:szCs w:val="26"/>
        </w:rPr>
      </w:pPr>
    </w:p>
    <w:p w14:paraId="0F010A61">
      <w:pPr>
        <w:spacing w:line="480" w:lineRule="auto"/>
        <w:ind w:firstLine="1606" w:firstLineChars="500"/>
        <w:textAlignment w:val="baseline"/>
        <w:rPr>
          <w:rFonts w:hint="eastAsia" w:ascii="宋体" w:hAnsi="宋体"/>
          <w:b/>
          <w:color w:val="auto"/>
          <w:sz w:val="32"/>
          <w:szCs w:val="32"/>
        </w:rPr>
      </w:pPr>
    </w:p>
    <w:p w14:paraId="396F664A">
      <w:pPr>
        <w:spacing w:line="480" w:lineRule="auto"/>
        <w:ind w:firstLine="1606" w:firstLineChars="500"/>
        <w:textAlignment w:val="baseline"/>
        <w:rPr>
          <w:rFonts w:hint="eastAsia" w:ascii="宋体" w:hAnsi="宋体" w:eastAsia="宋体"/>
          <w:b/>
          <w:bCs/>
          <w:color w:val="auto"/>
          <w:sz w:val="32"/>
          <w:szCs w:val="32"/>
          <w:u w:val="single"/>
          <w:lang w:eastAsia="zh-CN"/>
        </w:rPr>
      </w:pPr>
      <w:r>
        <w:rPr>
          <w:rFonts w:hint="eastAsia" w:ascii="宋体" w:hAnsi="宋体"/>
          <w:b/>
          <w:color w:val="auto"/>
          <w:sz w:val="32"/>
          <w:szCs w:val="32"/>
        </w:rPr>
        <w:t>招 标 人：</w:t>
      </w:r>
      <w:r>
        <w:rPr>
          <w:rFonts w:hint="eastAsia" w:ascii="宋体" w:hAnsi="宋体"/>
          <w:b/>
          <w:color w:val="auto"/>
          <w:sz w:val="32"/>
          <w:szCs w:val="32"/>
          <w:u w:val="single"/>
          <w:lang w:val="en-US" w:eastAsia="zh-CN"/>
        </w:rPr>
        <w:t xml:space="preserve"> 菏泽国安文化旅游有限公司</w:t>
      </w:r>
    </w:p>
    <w:p w14:paraId="0E952157">
      <w:pPr>
        <w:spacing w:line="480" w:lineRule="auto"/>
        <w:ind w:firstLine="1606" w:firstLineChars="500"/>
        <w:textAlignment w:val="baseline"/>
        <w:rPr>
          <w:rFonts w:hint="eastAsia" w:ascii="宋体" w:hAnsi="宋体"/>
          <w:b/>
          <w:color w:val="auto"/>
          <w:sz w:val="32"/>
          <w:szCs w:val="32"/>
        </w:rPr>
      </w:pPr>
    </w:p>
    <w:p w14:paraId="36FFB5E9">
      <w:pPr>
        <w:spacing w:line="480" w:lineRule="auto"/>
        <w:ind w:firstLine="1606" w:firstLineChars="500"/>
        <w:textAlignment w:val="baseline"/>
        <w:rPr>
          <w:rFonts w:hint="eastAsia" w:ascii="宋体" w:hAnsi="宋体" w:eastAsia="宋体"/>
          <w:b/>
          <w:color w:val="auto"/>
          <w:sz w:val="32"/>
          <w:szCs w:val="32"/>
          <w:u w:val="single"/>
          <w:lang w:eastAsia="zh-CN"/>
        </w:rPr>
      </w:pPr>
      <w:r>
        <w:rPr>
          <w:rFonts w:hint="eastAsia" w:ascii="宋体" w:hAnsi="宋体"/>
          <w:b/>
          <w:color w:val="auto"/>
          <w:sz w:val="32"/>
          <w:szCs w:val="32"/>
        </w:rPr>
        <w:t>代理机构：</w:t>
      </w:r>
      <w:r>
        <w:rPr>
          <w:rFonts w:hint="eastAsia" w:ascii="宋体" w:hAnsi="宋体"/>
          <w:b/>
          <w:bCs/>
          <w:color w:val="auto"/>
          <w:sz w:val="32"/>
          <w:szCs w:val="32"/>
          <w:u w:val="single"/>
          <w:lang w:val="en-US" w:eastAsia="zh-CN"/>
        </w:rPr>
        <w:t xml:space="preserve"> 法正项目管理集团有限公司</w:t>
      </w:r>
    </w:p>
    <w:p w14:paraId="63284ECB">
      <w:pPr>
        <w:spacing w:line="480" w:lineRule="auto"/>
        <w:ind w:firstLine="2891" w:firstLineChars="900"/>
        <w:textAlignment w:val="baseline"/>
        <w:rPr>
          <w:rFonts w:hint="eastAsia" w:ascii="宋体" w:hAnsi="宋体"/>
          <w:b/>
          <w:color w:val="auto"/>
          <w:sz w:val="32"/>
          <w:szCs w:val="32"/>
        </w:rPr>
      </w:pPr>
    </w:p>
    <w:p w14:paraId="429A53CD">
      <w:pPr>
        <w:spacing w:line="480" w:lineRule="auto"/>
        <w:ind w:firstLine="2570" w:firstLineChars="800"/>
        <w:jc w:val="both"/>
        <w:textAlignment w:val="baseline"/>
        <w:rPr>
          <w:rFonts w:ascii="宋体" w:hAnsi="宋体"/>
          <w:b/>
          <w:color w:val="auto"/>
          <w:sz w:val="32"/>
          <w:szCs w:val="32"/>
          <w:u w:val="single"/>
        </w:rPr>
      </w:pPr>
      <w:r>
        <w:rPr>
          <w:rFonts w:hint="eastAsia" w:ascii="宋体" w:hAnsi="宋体"/>
          <w:b/>
          <w:color w:val="auto"/>
          <w:sz w:val="32"/>
          <w:szCs w:val="32"/>
        </w:rPr>
        <w:t>日    期：</w:t>
      </w:r>
      <w:r>
        <w:rPr>
          <w:rFonts w:hint="eastAsia" w:ascii="宋体" w:hAnsi="宋体"/>
          <w:b/>
          <w:color w:val="auto"/>
          <w:sz w:val="32"/>
          <w:szCs w:val="32"/>
          <w:u w:val="single"/>
        </w:rPr>
        <w:t>二〇二</w:t>
      </w:r>
      <w:r>
        <w:rPr>
          <w:rFonts w:hint="eastAsia" w:ascii="宋体" w:hAnsi="宋体"/>
          <w:b/>
          <w:color w:val="auto"/>
          <w:sz w:val="32"/>
          <w:szCs w:val="32"/>
          <w:u w:val="single"/>
          <w:lang w:val="en-US" w:eastAsia="zh-CN"/>
        </w:rPr>
        <w:t>五</w:t>
      </w:r>
      <w:r>
        <w:rPr>
          <w:rFonts w:hint="eastAsia" w:ascii="宋体" w:hAnsi="宋体"/>
          <w:b/>
          <w:color w:val="auto"/>
          <w:sz w:val="32"/>
          <w:szCs w:val="32"/>
          <w:u w:val="single"/>
        </w:rPr>
        <w:t>年</w:t>
      </w:r>
      <w:r>
        <w:rPr>
          <w:rFonts w:hint="eastAsia" w:ascii="宋体" w:hAnsi="宋体"/>
          <w:b/>
          <w:color w:val="auto"/>
          <w:sz w:val="32"/>
          <w:szCs w:val="32"/>
          <w:u w:val="single"/>
          <w:lang w:val="en-US" w:eastAsia="zh-CN"/>
        </w:rPr>
        <w:t>一</w:t>
      </w:r>
      <w:r>
        <w:rPr>
          <w:rFonts w:hint="eastAsia" w:ascii="宋体" w:hAnsi="宋体"/>
          <w:b/>
          <w:color w:val="auto"/>
          <w:sz w:val="32"/>
          <w:szCs w:val="32"/>
          <w:u w:val="single"/>
        </w:rPr>
        <w:t>月</w:t>
      </w:r>
      <w:bookmarkStart w:id="0" w:name="_Toc152042287"/>
      <w:bookmarkStart w:id="1" w:name="_Toc152045511"/>
      <w:bookmarkStart w:id="2" w:name="_Toc144974479"/>
    </w:p>
    <w:p w14:paraId="5E4740A7">
      <w:pPr>
        <w:widowControl/>
        <w:spacing w:line="360" w:lineRule="auto"/>
        <w:jc w:val="left"/>
        <w:rPr>
          <w:rFonts w:ascii="Times New Roman" w:hAnsi="Times New Roman" w:eastAsia="黑体"/>
          <w:color w:val="auto"/>
          <w:kern w:val="0"/>
          <w:sz w:val="28"/>
          <w:szCs w:val="20"/>
        </w:rPr>
      </w:pPr>
      <w:r>
        <w:rPr>
          <w:rFonts w:ascii="Times New Roman" w:hAnsi="Times New Roman" w:eastAsia="黑体"/>
          <w:b/>
          <w:color w:val="auto"/>
        </w:rPr>
        <w:br w:type="page"/>
      </w:r>
    </w:p>
    <w:p w14:paraId="5E1D7158">
      <w:pPr>
        <w:pStyle w:val="60"/>
        <w:tabs>
          <w:tab w:val="right" w:leader="dot" w:pos="8630"/>
        </w:tabs>
        <w:spacing w:line="440" w:lineRule="exact"/>
        <w:jc w:val="center"/>
        <w:rPr>
          <w:rFonts w:ascii="Times New Roman" w:hAnsi="Times New Roman"/>
          <w:color w:val="auto"/>
        </w:rPr>
      </w:pPr>
    </w:p>
    <w:sdt>
      <w:sdtPr>
        <w:rPr>
          <w:rFonts w:ascii="宋体" w:hAnsi="宋体"/>
          <w:color w:val="auto"/>
        </w:rPr>
        <w:id w:val="147468766"/>
        <w:docPartObj>
          <w:docPartGallery w:val="Table of Contents"/>
          <w:docPartUnique/>
        </w:docPartObj>
      </w:sdtPr>
      <w:sdtEndPr>
        <w:rPr>
          <w:rFonts w:ascii="宋体" w:hAnsi="宋体"/>
          <w:color w:val="auto"/>
        </w:rPr>
      </w:sdtEndPr>
      <w:sdtContent>
        <w:p w14:paraId="2BB23FBF">
          <w:pPr>
            <w:spacing w:line="480" w:lineRule="auto"/>
            <w:jc w:val="center"/>
            <w:rPr>
              <w:b/>
              <w:bCs/>
              <w:color w:val="auto"/>
              <w:sz w:val="28"/>
              <w:szCs w:val="28"/>
            </w:rPr>
          </w:pPr>
          <w:bookmarkStart w:id="3" w:name="_Toc534190067"/>
          <w:r>
            <w:rPr>
              <w:rFonts w:ascii="宋体" w:hAnsi="宋体"/>
              <w:b/>
              <w:bCs/>
              <w:color w:val="auto"/>
              <w:sz w:val="28"/>
              <w:szCs w:val="28"/>
            </w:rPr>
            <w:t>目</w:t>
          </w:r>
          <w:r>
            <w:rPr>
              <w:rFonts w:hint="eastAsia" w:ascii="宋体" w:hAnsi="宋体"/>
              <w:b/>
              <w:bCs/>
              <w:color w:val="auto"/>
              <w:sz w:val="28"/>
              <w:szCs w:val="28"/>
            </w:rPr>
            <w:t xml:space="preserve">    </w:t>
          </w:r>
          <w:r>
            <w:rPr>
              <w:rFonts w:ascii="宋体" w:hAnsi="宋体"/>
              <w:b/>
              <w:bCs/>
              <w:color w:val="auto"/>
              <w:sz w:val="28"/>
              <w:szCs w:val="28"/>
            </w:rPr>
            <w:t>录</w:t>
          </w:r>
        </w:p>
        <w:p w14:paraId="5A5E8992">
          <w:pPr>
            <w:pStyle w:val="60"/>
            <w:tabs>
              <w:tab w:val="right" w:leader="dot" w:pos="9550"/>
            </w:tabs>
            <w:spacing w:line="600" w:lineRule="auto"/>
            <w:rPr>
              <w:sz w:val="24"/>
              <w:szCs w:val="28"/>
            </w:rPr>
          </w:pPr>
          <w:r>
            <w:rPr>
              <w:color w:val="auto"/>
              <w:sz w:val="28"/>
              <w:szCs w:val="28"/>
            </w:rPr>
            <w:fldChar w:fldCharType="begin"/>
          </w:r>
          <w:r>
            <w:rPr>
              <w:color w:val="auto"/>
              <w:sz w:val="28"/>
              <w:szCs w:val="28"/>
            </w:rPr>
            <w:instrText xml:space="preserve">TOC \o "1-1" \h \u </w:instrText>
          </w:r>
          <w:r>
            <w:rPr>
              <w:color w:val="auto"/>
              <w:sz w:val="28"/>
              <w:szCs w:val="28"/>
            </w:rPr>
            <w:fldChar w:fldCharType="separate"/>
          </w:r>
          <w:r>
            <w:rPr>
              <w:color w:val="auto"/>
              <w:sz w:val="24"/>
              <w:szCs w:val="36"/>
            </w:rPr>
            <w:fldChar w:fldCharType="begin"/>
          </w:r>
          <w:r>
            <w:rPr>
              <w:sz w:val="24"/>
              <w:szCs w:val="36"/>
            </w:rPr>
            <w:instrText xml:space="preserve"> HYPERLINK \l _Toc14343 </w:instrText>
          </w:r>
          <w:r>
            <w:rPr>
              <w:sz w:val="24"/>
              <w:szCs w:val="36"/>
            </w:rPr>
            <w:fldChar w:fldCharType="separate"/>
          </w:r>
          <w:r>
            <w:rPr>
              <w:sz w:val="24"/>
              <w:szCs w:val="28"/>
            </w:rPr>
            <w:t>第一章</w:t>
          </w:r>
          <w:r>
            <w:rPr>
              <w:rFonts w:hint="eastAsia"/>
              <w:sz w:val="24"/>
              <w:szCs w:val="28"/>
            </w:rPr>
            <w:t xml:space="preserve"> </w:t>
          </w:r>
          <w:r>
            <w:rPr>
              <w:rFonts w:hint="eastAsia"/>
              <w:sz w:val="24"/>
              <w:szCs w:val="28"/>
              <w:lang w:val="en-US" w:eastAsia="zh-CN"/>
            </w:rPr>
            <w:t xml:space="preserve"> </w:t>
          </w:r>
          <w:r>
            <w:rPr>
              <w:sz w:val="24"/>
              <w:szCs w:val="28"/>
            </w:rPr>
            <w:t>招标公告</w:t>
          </w:r>
          <w:r>
            <w:rPr>
              <w:sz w:val="24"/>
              <w:szCs w:val="28"/>
            </w:rPr>
            <w:tab/>
          </w:r>
          <w:r>
            <w:rPr>
              <w:sz w:val="24"/>
              <w:szCs w:val="28"/>
            </w:rPr>
            <w:fldChar w:fldCharType="begin"/>
          </w:r>
          <w:r>
            <w:rPr>
              <w:sz w:val="24"/>
              <w:szCs w:val="28"/>
            </w:rPr>
            <w:instrText xml:space="preserve"> PAGEREF _Toc14343 \h </w:instrText>
          </w:r>
          <w:r>
            <w:rPr>
              <w:sz w:val="24"/>
              <w:szCs w:val="28"/>
            </w:rPr>
            <w:fldChar w:fldCharType="separate"/>
          </w:r>
          <w:r>
            <w:rPr>
              <w:sz w:val="24"/>
              <w:szCs w:val="28"/>
            </w:rPr>
            <w:t>3</w:t>
          </w:r>
          <w:r>
            <w:rPr>
              <w:sz w:val="24"/>
              <w:szCs w:val="28"/>
            </w:rPr>
            <w:fldChar w:fldCharType="end"/>
          </w:r>
          <w:r>
            <w:rPr>
              <w:color w:val="auto"/>
              <w:sz w:val="24"/>
              <w:szCs w:val="36"/>
            </w:rPr>
            <w:fldChar w:fldCharType="end"/>
          </w:r>
        </w:p>
        <w:p w14:paraId="515814A9">
          <w:pPr>
            <w:pStyle w:val="60"/>
            <w:tabs>
              <w:tab w:val="right" w:leader="dot" w:pos="9550"/>
            </w:tabs>
            <w:spacing w:line="600" w:lineRule="auto"/>
            <w:rPr>
              <w:sz w:val="24"/>
              <w:szCs w:val="28"/>
            </w:rPr>
          </w:pPr>
          <w:r>
            <w:rPr>
              <w:color w:val="auto"/>
              <w:sz w:val="24"/>
              <w:szCs w:val="36"/>
            </w:rPr>
            <w:fldChar w:fldCharType="begin"/>
          </w:r>
          <w:r>
            <w:rPr>
              <w:sz w:val="24"/>
              <w:szCs w:val="36"/>
            </w:rPr>
            <w:instrText xml:space="preserve"> HYPERLINK \l _Toc17697 </w:instrText>
          </w:r>
          <w:r>
            <w:rPr>
              <w:sz w:val="24"/>
              <w:szCs w:val="36"/>
            </w:rPr>
            <w:fldChar w:fldCharType="separate"/>
          </w:r>
          <w:r>
            <w:rPr>
              <w:sz w:val="24"/>
              <w:szCs w:val="28"/>
            </w:rPr>
            <w:t>第二章</w:t>
          </w:r>
          <w:r>
            <w:rPr>
              <w:rFonts w:hint="eastAsia"/>
              <w:sz w:val="24"/>
              <w:szCs w:val="28"/>
            </w:rPr>
            <w:t xml:space="preserve"> </w:t>
          </w:r>
          <w:r>
            <w:rPr>
              <w:rFonts w:hint="eastAsia"/>
              <w:sz w:val="24"/>
              <w:szCs w:val="28"/>
              <w:lang w:val="en-US" w:eastAsia="zh-CN"/>
            </w:rPr>
            <w:t xml:space="preserve"> </w:t>
          </w:r>
          <w:r>
            <w:rPr>
              <w:sz w:val="24"/>
              <w:szCs w:val="28"/>
            </w:rPr>
            <w:t>投标人须知</w:t>
          </w:r>
          <w:r>
            <w:rPr>
              <w:sz w:val="24"/>
              <w:szCs w:val="28"/>
            </w:rPr>
            <w:tab/>
          </w:r>
          <w:r>
            <w:rPr>
              <w:sz w:val="24"/>
              <w:szCs w:val="28"/>
            </w:rPr>
            <w:fldChar w:fldCharType="begin"/>
          </w:r>
          <w:r>
            <w:rPr>
              <w:sz w:val="24"/>
              <w:szCs w:val="28"/>
            </w:rPr>
            <w:instrText xml:space="preserve"> PAGEREF _Toc17697 \h </w:instrText>
          </w:r>
          <w:r>
            <w:rPr>
              <w:sz w:val="24"/>
              <w:szCs w:val="28"/>
            </w:rPr>
            <w:fldChar w:fldCharType="separate"/>
          </w:r>
          <w:r>
            <w:rPr>
              <w:sz w:val="24"/>
              <w:szCs w:val="28"/>
            </w:rPr>
            <w:t>7</w:t>
          </w:r>
          <w:r>
            <w:rPr>
              <w:sz w:val="24"/>
              <w:szCs w:val="28"/>
            </w:rPr>
            <w:fldChar w:fldCharType="end"/>
          </w:r>
          <w:r>
            <w:rPr>
              <w:color w:val="auto"/>
              <w:sz w:val="24"/>
              <w:szCs w:val="36"/>
            </w:rPr>
            <w:fldChar w:fldCharType="end"/>
          </w:r>
        </w:p>
        <w:p w14:paraId="77652B10">
          <w:pPr>
            <w:pStyle w:val="60"/>
            <w:tabs>
              <w:tab w:val="right" w:leader="dot" w:pos="9550"/>
            </w:tabs>
            <w:spacing w:line="600" w:lineRule="auto"/>
            <w:rPr>
              <w:sz w:val="24"/>
              <w:szCs w:val="28"/>
            </w:rPr>
          </w:pPr>
          <w:r>
            <w:rPr>
              <w:color w:val="auto"/>
              <w:sz w:val="24"/>
              <w:szCs w:val="36"/>
            </w:rPr>
            <w:fldChar w:fldCharType="begin"/>
          </w:r>
          <w:r>
            <w:rPr>
              <w:sz w:val="24"/>
              <w:szCs w:val="36"/>
            </w:rPr>
            <w:instrText xml:space="preserve"> HYPERLINK \l _Toc9777 </w:instrText>
          </w:r>
          <w:r>
            <w:rPr>
              <w:sz w:val="24"/>
              <w:szCs w:val="36"/>
            </w:rPr>
            <w:fldChar w:fldCharType="separate"/>
          </w:r>
          <w:r>
            <w:rPr>
              <w:rFonts w:hint="eastAsia"/>
              <w:bCs/>
              <w:sz w:val="24"/>
              <w:szCs w:val="44"/>
            </w:rPr>
            <w:t xml:space="preserve">第三章 </w:t>
          </w:r>
          <w:r>
            <w:rPr>
              <w:rFonts w:hint="eastAsia"/>
              <w:bCs/>
              <w:sz w:val="24"/>
              <w:szCs w:val="44"/>
              <w:lang w:val="en-US" w:eastAsia="zh-CN"/>
            </w:rPr>
            <w:t xml:space="preserve"> </w:t>
          </w:r>
          <w:r>
            <w:rPr>
              <w:bCs/>
              <w:sz w:val="24"/>
              <w:szCs w:val="44"/>
            </w:rPr>
            <w:t>评标办法（综合评估法）</w:t>
          </w:r>
          <w:r>
            <w:rPr>
              <w:sz w:val="24"/>
              <w:szCs w:val="28"/>
            </w:rPr>
            <w:tab/>
          </w:r>
          <w:r>
            <w:rPr>
              <w:sz w:val="24"/>
              <w:szCs w:val="28"/>
            </w:rPr>
            <w:fldChar w:fldCharType="begin"/>
          </w:r>
          <w:r>
            <w:rPr>
              <w:sz w:val="24"/>
              <w:szCs w:val="28"/>
            </w:rPr>
            <w:instrText xml:space="preserve"> PAGEREF _Toc9777 \h </w:instrText>
          </w:r>
          <w:r>
            <w:rPr>
              <w:sz w:val="24"/>
              <w:szCs w:val="28"/>
            </w:rPr>
            <w:fldChar w:fldCharType="separate"/>
          </w:r>
          <w:r>
            <w:rPr>
              <w:sz w:val="24"/>
              <w:szCs w:val="28"/>
            </w:rPr>
            <w:t>28</w:t>
          </w:r>
          <w:r>
            <w:rPr>
              <w:sz w:val="24"/>
              <w:szCs w:val="28"/>
            </w:rPr>
            <w:fldChar w:fldCharType="end"/>
          </w:r>
          <w:r>
            <w:rPr>
              <w:color w:val="auto"/>
              <w:sz w:val="24"/>
              <w:szCs w:val="36"/>
            </w:rPr>
            <w:fldChar w:fldCharType="end"/>
          </w:r>
        </w:p>
        <w:p w14:paraId="16FDCF3C">
          <w:pPr>
            <w:pStyle w:val="60"/>
            <w:tabs>
              <w:tab w:val="right" w:leader="dot" w:pos="9550"/>
            </w:tabs>
            <w:spacing w:line="600" w:lineRule="auto"/>
            <w:rPr>
              <w:sz w:val="24"/>
              <w:szCs w:val="28"/>
            </w:rPr>
          </w:pPr>
          <w:r>
            <w:rPr>
              <w:color w:val="auto"/>
              <w:sz w:val="24"/>
              <w:szCs w:val="36"/>
            </w:rPr>
            <w:fldChar w:fldCharType="begin"/>
          </w:r>
          <w:r>
            <w:rPr>
              <w:sz w:val="24"/>
              <w:szCs w:val="36"/>
            </w:rPr>
            <w:instrText xml:space="preserve"> HYPERLINK \l _Toc7000 </w:instrText>
          </w:r>
          <w:r>
            <w:rPr>
              <w:sz w:val="24"/>
              <w:szCs w:val="36"/>
            </w:rPr>
            <w:fldChar w:fldCharType="separate"/>
          </w:r>
          <w:r>
            <w:rPr>
              <w:rFonts w:hint="eastAsia"/>
              <w:bCs/>
              <w:sz w:val="24"/>
              <w:szCs w:val="44"/>
            </w:rPr>
            <w:t xml:space="preserve">第四章 </w:t>
          </w:r>
          <w:r>
            <w:rPr>
              <w:rFonts w:hint="eastAsia"/>
              <w:bCs/>
              <w:sz w:val="24"/>
              <w:szCs w:val="44"/>
              <w:lang w:val="en-US" w:eastAsia="zh-CN"/>
            </w:rPr>
            <w:t xml:space="preserve"> </w:t>
          </w:r>
          <w:r>
            <w:rPr>
              <w:rFonts w:hint="eastAsia"/>
              <w:bCs/>
              <w:sz w:val="24"/>
              <w:szCs w:val="44"/>
            </w:rPr>
            <w:t>定标方法</w:t>
          </w:r>
          <w:r>
            <w:rPr>
              <w:sz w:val="24"/>
              <w:szCs w:val="28"/>
            </w:rPr>
            <w:tab/>
          </w:r>
          <w:r>
            <w:rPr>
              <w:sz w:val="24"/>
              <w:szCs w:val="28"/>
            </w:rPr>
            <w:fldChar w:fldCharType="begin"/>
          </w:r>
          <w:r>
            <w:rPr>
              <w:sz w:val="24"/>
              <w:szCs w:val="28"/>
            </w:rPr>
            <w:instrText xml:space="preserve"> PAGEREF _Toc7000 \h </w:instrText>
          </w:r>
          <w:r>
            <w:rPr>
              <w:sz w:val="24"/>
              <w:szCs w:val="28"/>
            </w:rPr>
            <w:fldChar w:fldCharType="separate"/>
          </w:r>
          <w:r>
            <w:rPr>
              <w:sz w:val="24"/>
              <w:szCs w:val="28"/>
            </w:rPr>
            <w:t>33</w:t>
          </w:r>
          <w:r>
            <w:rPr>
              <w:sz w:val="24"/>
              <w:szCs w:val="28"/>
            </w:rPr>
            <w:fldChar w:fldCharType="end"/>
          </w:r>
          <w:r>
            <w:rPr>
              <w:color w:val="auto"/>
              <w:sz w:val="24"/>
              <w:szCs w:val="36"/>
            </w:rPr>
            <w:fldChar w:fldCharType="end"/>
          </w:r>
        </w:p>
        <w:p w14:paraId="27B54189">
          <w:pPr>
            <w:pStyle w:val="60"/>
            <w:tabs>
              <w:tab w:val="right" w:leader="dot" w:pos="9550"/>
            </w:tabs>
            <w:spacing w:line="600" w:lineRule="auto"/>
            <w:rPr>
              <w:sz w:val="24"/>
              <w:szCs w:val="28"/>
            </w:rPr>
          </w:pPr>
          <w:r>
            <w:rPr>
              <w:color w:val="auto"/>
              <w:sz w:val="24"/>
              <w:szCs w:val="36"/>
            </w:rPr>
            <w:fldChar w:fldCharType="begin"/>
          </w:r>
          <w:r>
            <w:rPr>
              <w:sz w:val="24"/>
              <w:szCs w:val="36"/>
            </w:rPr>
            <w:instrText xml:space="preserve"> HYPERLINK \l _Toc7821 </w:instrText>
          </w:r>
          <w:r>
            <w:rPr>
              <w:sz w:val="24"/>
              <w:szCs w:val="36"/>
            </w:rPr>
            <w:fldChar w:fldCharType="separate"/>
          </w:r>
          <w:r>
            <w:rPr>
              <w:rFonts w:hint="eastAsia"/>
              <w:bCs/>
              <w:sz w:val="24"/>
              <w:szCs w:val="44"/>
            </w:rPr>
            <w:t xml:space="preserve">第五章 </w:t>
          </w:r>
          <w:r>
            <w:rPr>
              <w:rFonts w:hint="eastAsia"/>
              <w:bCs/>
              <w:sz w:val="24"/>
              <w:szCs w:val="44"/>
              <w:lang w:val="en-US" w:eastAsia="zh-CN"/>
            </w:rPr>
            <w:t xml:space="preserve"> </w:t>
          </w:r>
          <w:r>
            <w:rPr>
              <w:rFonts w:hint="eastAsia"/>
              <w:bCs/>
              <w:sz w:val="24"/>
              <w:szCs w:val="44"/>
            </w:rPr>
            <w:t>合同条款及格式（仅供参考）</w:t>
          </w:r>
          <w:r>
            <w:rPr>
              <w:sz w:val="24"/>
              <w:szCs w:val="28"/>
            </w:rPr>
            <w:tab/>
          </w:r>
          <w:r>
            <w:rPr>
              <w:sz w:val="24"/>
              <w:szCs w:val="28"/>
            </w:rPr>
            <w:fldChar w:fldCharType="begin"/>
          </w:r>
          <w:r>
            <w:rPr>
              <w:sz w:val="24"/>
              <w:szCs w:val="28"/>
            </w:rPr>
            <w:instrText xml:space="preserve"> PAGEREF _Toc7821 \h </w:instrText>
          </w:r>
          <w:r>
            <w:rPr>
              <w:sz w:val="24"/>
              <w:szCs w:val="28"/>
            </w:rPr>
            <w:fldChar w:fldCharType="separate"/>
          </w:r>
          <w:r>
            <w:rPr>
              <w:sz w:val="24"/>
              <w:szCs w:val="28"/>
            </w:rPr>
            <w:t>37</w:t>
          </w:r>
          <w:r>
            <w:rPr>
              <w:sz w:val="24"/>
              <w:szCs w:val="28"/>
            </w:rPr>
            <w:fldChar w:fldCharType="end"/>
          </w:r>
          <w:r>
            <w:rPr>
              <w:color w:val="auto"/>
              <w:sz w:val="24"/>
              <w:szCs w:val="36"/>
            </w:rPr>
            <w:fldChar w:fldCharType="end"/>
          </w:r>
        </w:p>
        <w:p w14:paraId="486FBC56">
          <w:pPr>
            <w:pStyle w:val="60"/>
            <w:tabs>
              <w:tab w:val="right" w:leader="dot" w:pos="9550"/>
            </w:tabs>
            <w:spacing w:line="600" w:lineRule="auto"/>
            <w:rPr>
              <w:sz w:val="24"/>
              <w:szCs w:val="28"/>
            </w:rPr>
          </w:pPr>
          <w:r>
            <w:rPr>
              <w:color w:val="auto"/>
              <w:sz w:val="24"/>
              <w:szCs w:val="36"/>
            </w:rPr>
            <w:fldChar w:fldCharType="begin"/>
          </w:r>
          <w:r>
            <w:rPr>
              <w:sz w:val="24"/>
              <w:szCs w:val="36"/>
            </w:rPr>
            <w:instrText xml:space="preserve"> HYPERLINK \l _Toc10720 </w:instrText>
          </w:r>
          <w:r>
            <w:rPr>
              <w:sz w:val="24"/>
              <w:szCs w:val="36"/>
            </w:rPr>
            <w:fldChar w:fldCharType="separate"/>
          </w:r>
          <w:r>
            <w:rPr>
              <w:rFonts w:hint="eastAsia"/>
              <w:sz w:val="24"/>
              <w:szCs w:val="28"/>
              <w:lang w:eastAsia="zh-CN"/>
            </w:rPr>
            <w:t>第六章</w:t>
          </w:r>
          <w:r>
            <w:rPr>
              <w:rFonts w:hint="eastAsia"/>
              <w:sz w:val="24"/>
              <w:szCs w:val="28"/>
              <w:lang w:val="en-US" w:eastAsia="zh-CN"/>
            </w:rPr>
            <w:t xml:space="preserve">  </w:t>
          </w:r>
          <w:r>
            <w:rPr>
              <w:rFonts w:hint="eastAsia"/>
              <w:sz w:val="24"/>
              <w:szCs w:val="28"/>
            </w:rPr>
            <w:t>图纸</w:t>
          </w:r>
          <w:r>
            <w:rPr>
              <w:rFonts w:hint="eastAsia"/>
              <w:sz w:val="24"/>
              <w:szCs w:val="28"/>
              <w:lang w:eastAsia="zh-CN"/>
            </w:rPr>
            <w:t>及</w:t>
          </w:r>
          <w:r>
            <w:rPr>
              <w:rFonts w:hint="eastAsia"/>
              <w:sz w:val="24"/>
              <w:szCs w:val="28"/>
            </w:rPr>
            <w:t>工程量清单</w:t>
          </w:r>
          <w:r>
            <w:rPr>
              <w:sz w:val="24"/>
              <w:szCs w:val="28"/>
            </w:rPr>
            <w:tab/>
          </w:r>
          <w:r>
            <w:rPr>
              <w:sz w:val="24"/>
              <w:szCs w:val="28"/>
            </w:rPr>
            <w:fldChar w:fldCharType="begin"/>
          </w:r>
          <w:r>
            <w:rPr>
              <w:sz w:val="24"/>
              <w:szCs w:val="28"/>
            </w:rPr>
            <w:instrText xml:space="preserve"> PAGEREF _Toc10720 \h </w:instrText>
          </w:r>
          <w:r>
            <w:rPr>
              <w:sz w:val="24"/>
              <w:szCs w:val="28"/>
            </w:rPr>
            <w:fldChar w:fldCharType="separate"/>
          </w:r>
          <w:r>
            <w:rPr>
              <w:sz w:val="24"/>
              <w:szCs w:val="28"/>
            </w:rPr>
            <w:t>64</w:t>
          </w:r>
          <w:r>
            <w:rPr>
              <w:sz w:val="24"/>
              <w:szCs w:val="28"/>
            </w:rPr>
            <w:fldChar w:fldCharType="end"/>
          </w:r>
          <w:r>
            <w:rPr>
              <w:color w:val="auto"/>
              <w:sz w:val="24"/>
              <w:szCs w:val="36"/>
            </w:rPr>
            <w:fldChar w:fldCharType="end"/>
          </w:r>
        </w:p>
        <w:p w14:paraId="5314ACC3">
          <w:pPr>
            <w:pStyle w:val="60"/>
            <w:tabs>
              <w:tab w:val="right" w:leader="dot" w:pos="9550"/>
            </w:tabs>
            <w:spacing w:line="600" w:lineRule="auto"/>
            <w:rPr>
              <w:sz w:val="24"/>
              <w:szCs w:val="28"/>
            </w:rPr>
          </w:pPr>
          <w:r>
            <w:rPr>
              <w:color w:val="auto"/>
              <w:sz w:val="24"/>
              <w:szCs w:val="36"/>
            </w:rPr>
            <w:fldChar w:fldCharType="begin"/>
          </w:r>
          <w:r>
            <w:rPr>
              <w:sz w:val="24"/>
              <w:szCs w:val="36"/>
            </w:rPr>
            <w:instrText xml:space="preserve"> HYPERLINK \l _Toc7785 </w:instrText>
          </w:r>
          <w:r>
            <w:rPr>
              <w:sz w:val="24"/>
              <w:szCs w:val="36"/>
            </w:rPr>
            <w:fldChar w:fldCharType="separate"/>
          </w:r>
          <w:r>
            <w:rPr>
              <w:rFonts w:hint="eastAsia"/>
              <w:sz w:val="24"/>
              <w:szCs w:val="28"/>
              <w:lang w:eastAsia="zh-CN"/>
            </w:rPr>
            <w:t>第七章</w:t>
          </w:r>
          <w:r>
            <w:rPr>
              <w:rFonts w:hint="eastAsia"/>
              <w:sz w:val="24"/>
              <w:szCs w:val="28"/>
              <w:lang w:val="en-US" w:eastAsia="zh-CN"/>
            </w:rPr>
            <w:t xml:space="preserve">  </w:t>
          </w:r>
          <w:r>
            <w:rPr>
              <w:rFonts w:hint="eastAsia"/>
              <w:sz w:val="24"/>
              <w:szCs w:val="28"/>
            </w:rPr>
            <w:t>技术标准和要求</w:t>
          </w:r>
          <w:r>
            <w:rPr>
              <w:sz w:val="24"/>
              <w:szCs w:val="28"/>
            </w:rPr>
            <w:tab/>
          </w:r>
          <w:r>
            <w:rPr>
              <w:sz w:val="24"/>
              <w:szCs w:val="28"/>
            </w:rPr>
            <w:fldChar w:fldCharType="begin"/>
          </w:r>
          <w:r>
            <w:rPr>
              <w:sz w:val="24"/>
              <w:szCs w:val="28"/>
            </w:rPr>
            <w:instrText xml:space="preserve"> PAGEREF _Toc7785 \h </w:instrText>
          </w:r>
          <w:r>
            <w:rPr>
              <w:sz w:val="24"/>
              <w:szCs w:val="28"/>
            </w:rPr>
            <w:fldChar w:fldCharType="separate"/>
          </w:r>
          <w:r>
            <w:rPr>
              <w:sz w:val="24"/>
              <w:szCs w:val="28"/>
            </w:rPr>
            <w:t>65</w:t>
          </w:r>
          <w:r>
            <w:rPr>
              <w:sz w:val="24"/>
              <w:szCs w:val="28"/>
            </w:rPr>
            <w:fldChar w:fldCharType="end"/>
          </w:r>
          <w:r>
            <w:rPr>
              <w:color w:val="auto"/>
              <w:sz w:val="24"/>
              <w:szCs w:val="36"/>
            </w:rPr>
            <w:fldChar w:fldCharType="end"/>
          </w:r>
        </w:p>
        <w:p w14:paraId="71B743C8">
          <w:pPr>
            <w:pStyle w:val="60"/>
            <w:tabs>
              <w:tab w:val="right" w:leader="dot" w:pos="9550"/>
            </w:tabs>
            <w:spacing w:line="600" w:lineRule="auto"/>
          </w:pPr>
          <w:r>
            <w:rPr>
              <w:color w:val="auto"/>
              <w:sz w:val="24"/>
              <w:szCs w:val="36"/>
            </w:rPr>
            <w:fldChar w:fldCharType="begin"/>
          </w:r>
          <w:r>
            <w:rPr>
              <w:sz w:val="24"/>
              <w:szCs w:val="36"/>
            </w:rPr>
            <w:instrText xml:space="preserve"> HYPERLINK \l _Toc15534 </w:instrText>
          </w:r>
          <w:r>
            <w:rPr>
              <w:sz w:val="24"/>
              <w:szCs w:val="36"/>
            </w:rPr>
            <w:fldChar w:fldCharType="separate"/>
          </w:r>
          <w:r>
            <w:rPr>
              <w:sz w:val="24"/>
              <w:szCs w:val="28"/>
            </w:rPr>
            <w:t>第</w:t>
          </w:r>
          <w:r>
            <w:rPr>
              <w:rFonts w:hint="eastAsia"/>
              <w:sz w:val="24"/>
              <w:szCs w:val="28"/>
              <w:lang w:eastAsia="zh-CN"/>
            </w:rPr>
            <w:t>八</w:t>
          </w:r>
          <w:r>
            <w:rPr>
              <w:sz w:val="24"/>
              <w:szCs w:val="28"/>
            </w:rPr>
            <w:t>章</w:t>
          </w:r>
          <w:r>
            <w:rPr>
              <w:rFonts w:hint="eastAsia"/>
              <w:sz w:val="24"/>
              <w:szCs w:val="28"/>
            </w:rPr>
            <w:t xml:space="preserve">  </w:t>
          </w:r>
          <w:r>
            <w:rPr>
              <w:sz w:val="24"/>
              <w:szCs w:val="28"/>
            </w:rPr>
            <w:t>投标文件格式</w:t>
          </w:r>
          <w:r>
            <w:rPr>
              <w:sz w:val="24"/>
              <w:szCs w:val="28"/>
            </w:rPr>
            <w:tab/>
          </w:r>
          <w:r>
            <w:rPr>
              <w:sz w:val="24"/>
              <w:szCs w:val="28"/>
            </w:rPr>
            <w:fldChar w:fldCharType="begin"/>
          </w:r>
          <w:r>
            <w:rPr>
              <w:sz w:val="24"/>
              <w:szCs w:val="28"/>
            </w:rPr>
            <w:instrText xml:space="preserve"> PAGEREF _Toc15534 \h </w:instrText>
          </w:r>
          <w:r>
            <w:rPr>
              <w:sz w:val="24"/>
              <w:szCs w:val="28"/>
            </w:rPr>
            <w:fldChar w:fldCharType="separate"/>
          </w:r>
          <w:r>
            <w:rPr>
              <w:sz w:val="24"/>
              <w:szCs w:val="28"/>
            </w:rPr>
            <w:t>66</w:t>
          </w:r>
          <w:r>
            <w:rPr>
              <w:sz w:val="24"/>
              <w:szCs w:val="28"/>
            </w:rPr>
            <w:fldChar w:fldCharType="end"/>
          </w:r>
          <w:r>
            <w:rPr>
              <w:color w:val="auto"/>
              <w:sz w:val="24"/>
              <w:szCs w:val="36"/>
            </w:rPr>
            <w:fldChar w:fldCharType="end"/>
          </w:r>
        </w:p>
        <w:p w14:paraId="55AC004C">
          <w:pPr>
            <w:spacing w:line="480" w:lineRule="auto"/>
            <w:rPr>
              <w:color w:val="auto"/>
            </w:rPr>
          </w:pPr>
          <w:r>
            <w:rPr>
              <w:color w:val="auto"/>
              <w:szCs w:val="28"/>
            </w:rPr>
            <w:fldChar w:fldCharType="end"/>
          </w:r>
        </w:p>
      </w:sdtContent>
    </w:sdt>
    <w:p w14:paraId="05BE5CE7">
      <w:pPr>
        <w:pStyle w:val="4"/>
        <w:spacing w:before="0" w:after="0" w:line="240" w:lineRule="auto"/>
        <w:jc w:val="right"/>
        <w:rPr>
          <w:color w:val="auto"/>
        </w:rPr>
      </w:pPr>
    </w:p>
    <w:p w14:paraId="7A38C443">
      <w:pPr>
        <w:pStyle w:val="4"/>
        <w:spacing w:before="0" w:after="0" w:line="240" w:lineRule="auto"/>
        <w:jc w:val="center"/>
        <w:rPr>
          <w:color w:val="auto"/>
        </w:rPr>
      </w:pPr>
    </w:p>
    <w:p w14:paraId="330853D1">
      <w:pPr>
        <w:pStyle w:val="4"/>
        <w:spacing w:before="0" w:after="0" w:line="240" w:lineRule="auto"/>
        <w:jc w:val="center"/>
        <w:rPr>
          <w:color w:val="auto"/>
        </w:rPr>
      </w:pPr>
    </w:p>
    <w:p w14:paraId="49B170C7">
      <w:pPr>
        <w:pStyle w:val="4"/>
        <w:spacing w:before="0" w:after="0" w:line="240" w:lineRule="auto"/>
        <w:jc w:val="center"/>
        <w:rPr>
          <w:color w:val="auto"/>
        </w:rPr>
      </w:pPr>
    </w:p>
    <w:p w14:paraId="2DB731A6">
      <w:pPr>
        <w:pStyle w:val="4"/>
        <w:spacing w:before="0" w:after="0" w:line="240" w:lineRule="auto"/>
        <w:jc w:val="center"/>
        <w:rPr>
          <w:color w:val="auto"/>
        </w:rPr>
      </w:pPr>
    </w:p>
    <w:p w14:paraId="30502E2E">
      <w:pPr>
        <w:pStyle w:val="4"/>
        <w:spacing w:before="0" w:after="0" w:line="240" w:lineRule="auto"/>
        <w:jc w:val="center"/>
        <w:rPr>
          <w:color w:val="auto"/>
        </w:rPr>
      </w:pPr>
    </w:p>
    <w:p w14:paraId="228BDA3A">
      <w:pPr>
        <w:pStyle w:val="4"/>
        <w:spacing w:before="0" w:after="0" w:line="240" w:lineRule="auto"/>
        <w:jc w:val="center"/>
        <w:rPr>
          <w:color w:val="auto"/>
        </w:rPr>
      </w:pPr>
    </w:p>
    <w:p w14:paraId="52FCE4A3">
      <w:pPr>
        <w:rPr>
          <w:color w:val="auto"/>
        </w:rPr>
      </w:pPr>
    </w:p>
    <w:p w14:paraId="61CA2D2F">
      <w:pPr>
        <w:widowControl/>
        <w:jc w:val="left"/>
        <w:rPr>
          <w:rFonts w:ascii="Times New Roman" w:hAnsi="Times New Roman"/>
          <w:b/>
          <w:color w:val="auto"/>
          <w:kern w:val="44"/>
          <w:sz w:val="44"/>
          <w:szCs w:val="20"/>
        </w:rPr>
      </w:pPr>
      <w:r>
        <w:rPr>
          <w:color w:val="auto"/>
        </w:rPr>
        <w:br w:type="page"/>
      </w:r>
    </w:p>
    <w:p w14:paraId="680D68A6">
      <w:pPr>
        <w:pStyle w:val="4"/>
        <w:numPr>
          <w:ilvl w:val="0"/>
          <w:numId w:val="2"/>
        </w:numPr>
        <w:spacing w:before="0" w:after="0" w:line="360" w:lineRule="auto"/>
        <w:jc w:val="center"/>
        <w:rPr>
          <w:rFonts w:hint="eastAsia"/>
          <w:color w:val="auto"/>
          <w:lang w:val="zh-CN" w:eastAsia="zh-CN"/>
        </w:rPr>
      </w:pPr>
      <w:bookmarkStart w:id="4" w:name="_Toc14343"/>
      <w:r>
        <w:rPr>
          <w:rFonts w:hint="eastAsia"/>
          <w:color w:val="auto"/>
          <w:lang w:val="zh-CN" w:eastAsia="zh-CN"/>
        </w:rPr>
        <w:t>菏泽市农高区城乡冷链物流建设项目</w:t>
      </w:r>
    </w:p>
    <w:p w14:paraId="0E579D1A">
      <w:pPr>
        <w:pStyle w:val="4"/>
        <w:numPr>
          <w:ilvl w:val="0"/>
          <w:numId w:val="0"/>
        </w:numPr>
        <w:spacing w:before="0" w:after="0" w:line="360" w:lineRule="auto"/>
        <w:ind w:firstLine="3975" w:firstLineChars="900"/>
        <w:jc w:val="both"/>
        <w:rPr>
          <w:color w:val="auto"/>
        </w:rPr>
      </w:pPr>
      <w:r>
        <w:rPr>
          <w:color w:val="auto"/>
        </w:rPr>
        <w:t>招标公告</w:t>
      </w:r>
      <w:bookmarkEnd w:id="3"/>
      <w:bookmarkEnd w:id="4"/>
    </w:p>
    <w:bookmarkEnd w:id="0"/>
    <w:bookmarkEnd w:id="1"/>
    <w:bookmarkEnd w:id="2"/>
    <w:p w14:paraId="7C360BFC">
      <w:pPr>
        <w:keepNext w:val="0"/>
        <w:keepLines w:val="0"/>
        <w:pageBreakBefore w:val="0"/>
        <w:kinsoku/>
        <w:wordWrap/>
        <w:overflowPunct/>
        <w:topLinePunct w:val="0"/>
        <w:autoSpaceDE/>
        <w:autoSpaceDN/>
        <w:bidi w:val="0"/>
        <w:spacing w:line="420" w:lineRule="auto"/>
        <w:ind w:left="-420" w:leftChars="-200" w:firstLine="0" w:firstLineChars="0"/>
        <w:textAlignment w:val="auto"/>
        <w:rPr>
          <w:rFonts w:hint="eastAsia" w:ascii="黑体" w:hAnsi="黑体" w:eastAsia="黑体" w:cs="黑体"/>
          <w:color w:val="auto"/>
          <w:kern w:val="0"/>
          <w:sz w:val="28"/>
          <w:szCs w:val="28"/>
          <w:lang w:val="zh-CN"/>
        </w:rPr>
      </w:pPr>
      <w:bookmarkStart w:id="5" w:name="_Toc534190075"/>
      <w:r>
        <w:rPr>
          <w:rFonts w:hint="eastAsia" w:ascii="黑体" w:hAnsi="黑体" w:eastAsia="黑体" w:cs="黑体"/>
          <w:color w:val="auto"/>
          <w:kern w:val="0"/>
          <w:sz w:val="28"/>
          <w:szCs w:val="28"/>
        </w:rPr>
        <w:t>一、项目概况与招标范围：</w:t>
      </w:r>
    </w:p>
    <w:p w14:paraId="6943F3A1">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hint="eastAsia" w:ascii="仿宋" w:hAnsi="仿宋" w:eastAsia="仿宋" w:cs="仿宋"/>
          <w:b w:val="0"/>
          <w:bCs w:val="0"/>
          <w:color w:val="auto"/>
          <w:sz w:val="28"/>
          <w:szCs w:val="28"/>
          <w:highlight w:val="none"/>
          <w:lang w:val="zh-CN" w:eastAsia="zh-CN"/>
        </w:rPr>
      </w:pPr>
      <w:r>
        <w:rPr>
          <w:rFonts w:hint="eastAsia" w:ascii="仿宋" w:hAnsi="仿宋" w:eastAsia="仿宋" w:cs="仿宋"/>
          <w:b w:val="0"/>
          <w:bCs w:val="0"/>
          <w:color w:val="auto"/>
          <w:sz w:val="28"/>
          <w:szCs w:val="28"/>
          <w:highlight w:val="none"/>
          <w:lang w:val="zh-CN"/>
        </w:rPr>
        <w:t>1、招标项目编号：2110-371702-04-01-683261</w:t>
      </w:r>
      <w:r>
        <w:rPr>
          <w:rFonts w:hint="eastAsia" w:ascii="仿宋" w:hAnsi="仿宋" w:eastAsia="仿宋" w:cs="仿宋"/>
          <w:b w:val="0"/>
          <w:bCs w:val="0"/>
          <w:color w:val="auto"/>
          <w:sz w:val="28"/>
          <w:szCs w:val="28"/>
          <w:highlight w:val="none"/>
          <w:lang w:val="zh-CN" w:eastAsia="zh-CN"/>
        </w:rPr>
        <w:t>；</w:t>
      </w:r>
    </w:p>
    <w:p w14:paraId="2824E6DA">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hint="eastAsia" w:ascii="仿宋" w:hAnsi="仿宋" w:eastAsia="仿宋" w:cs="仿宋"/>
          <w:b w:val="0"/>
          <w:bCs w:val="0"/>
          <w:color w:val="auto"/>
          <w:kern w:val="0"/>
          <w:sz w:val="28"/>
          <w:szCs w:val="28"/>
          <w:highlight w:val="none"/>
          <w:lang w:val="en-US" w:eastAsia="zh-CN"/>
        </w:rPr>
      </w:pPr>
      <w:r>
        <w:rPr>
          <w:rFonts w:hint="eastAsia" w:ascii="仿宋" w:hAnsi="仿宋" w:eastAsia="仿宋" w:cs="仿宋"/>
          <w:b w:val="0"/>
          <w:bCs w:val="0"/>
          <w:color w:val="auto"/>
          <w:sz w:val="28"/>
          <w:szCs w:val="28"/>
          <w:highlight w:val="none"/>
          <w:lang w:val="zh-CN"/>
        </w:rPr>
        <w:t>2、项目名称：</w:t>
      </w:r>
      <w:r>
        <w:rPr>
          <w:rFonts w:hint="eastAsia" w:ascii="仿宋" w:hAnsi="仿宋" w:eastAsia="仿宋" w:cs="仿宋"/>
          <w:b w:val="0"/>
          <w:bCs w:val="0"/>
          <w:color w:val="auto"/>
          <w:sz w:val="28"/>
          <w:szCs w:val="28"/>
          <w:highlight w:val="none"/>
          <w:lang w:val="zh-CN" w:eastAsia="zh-CN"/>
        </w:rPr>
        <w:t>菏泽市农高区城乡冷链物流建设项目；</w:t>
      </w:r>
      <w:r>
        <w:rPr>
          <w:rFonts w:hint="eastAsia" w:ascii="仿宋" w:hAnsi="仿宋" w:eastAsia="仿宋" w:cs="仿宋"/>
          <w:b w:val="0"/>
          <w:bCs w:val="0"/>
          <w:color w:val="auto"/>
          <w:sz w:val="28"/>
          <w:szCs w:val="28"/>
          <w:highlight w:val="none"/>
          <w:lang w:val="en-US" w:eastAsia="zh-CN"/>
        </w:rPr>
        <w:t xml:space="preserve"> </w:t>
      </w:r>
    </w:p>
    <w:p w14:paraId="79945BAB">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hint="eastAsia" w:ascii="仿宋" w:hAnsi="仿宋" w:eastAsia="仿宋" w:cs="仿宋"/>
          <w:b w:val="0"/>
          <w:bCs w:val="0"/>
          <w:color w:val="auto"/>
          <w:kern w:val="0"/>
          <w:sz w:val="28"/>
          <w:szCs w:val="28"/>
          <w:highlight w:val="none"/>
          <w:lang w:val="zh-CN"/>
        </w:rPr>
      </w:pPr>
      <w:r>
        <w:rPr>
          <w:rFonts w:hint="eastAsia" w:ascii="仿宋" w:hAnsi="仿宋" w:eastAsia="仿宋" w:cs="仿宋"/>
          <w:b w:val="0"/>
          <w:bCs w:val="0"/>
          <w:color w:val="auto"/>
          <w:sz w:val="28"/>
          <w:szCs w:val="28"/>
          <w:highlight w:val="none"/>
          <w:lang w:val="zh-CN"/>
        </w:rPr>
        <w:t>3、项目地点：菏泽市牡丹区黄堽镇昝庄路以南，临商路以西，规划路以东，国花交易中心以北</w:t>
      </w:r>
      <w:r>
        <w:rPr>
          <w:rFonts w:hint="eastAsia" w:ascii="仿宋" w:hAnsi="仿宋" w:eastAsia="仿宋" w:cs="仿宋"/>
          <w:b w:val="0"/>
          <w:bCs w:val="0"/>
          <w:color w:val="auto"/>
          <w:sz w:val="28"/>
          <w:szCs w:val="28"/>
          <w:highlight w:val="none"/>
          <w:lang w:val="zh-CN" w:eastAsia="zh-CN"/>
        </w:rPr>
        <w:t>；</w:t>
      </w:r>
    </w:p>
    <w:p w14:paraId="7078075B">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zh-CN"/>
        </w:rPr>
        <w:t>4、项目规模：项目为菏泽国际国花博览园产业中心项目子项目，总用地面积110029平方米，约165亩，建筑基底面积为33190平方米，地上建筑面建设规模及内容积为158950平方米。主要建设科研公楼、恒温仓库、低温仓库、物流仓库、生产加工车间及商品展示销售区；</w:t>
      </w:r>
    </w:p>
    <w:p w14:paraId="27B4BC6B">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zh-CN"/>
        </w:rPr>
        <w:t>5、计划工期：</w:t>
      </w:r>
      <w:r>
        <w:rPr>
          <w:rFonts w:hint="eastAsia" w:ascii="仿宋" w:hAnsi="仿宋" w:eastAsia="仿宋" w:cs="仿宋"/>
          <w:b w:val="0"/>
          <w:bCs w:val="0"/>
          <w:color w:val="auto"/>
          <w:sz w:val="28"/>
          <w:szCs w:val="28"/>
          <w:highlight w:val="none"/>
          <w:lang w:val="en-US" w:eastAsia="zh-CN"/>
        </w:rPr>
        <w:t>6个月；</w:t>
      </w:r>
    </w:p>
    <w:p w14:paraId="14111C62">
      <w:pPr>
        <w:keepNext w:val="0"/>
        <w:keepLines w:val="0"/>
        <w:pageBreakBefore w:val="0"/>
        <w:kinsoku/>
        <w:wordWrap/>
        <w:overflowPunct/>
        <w:topLinePunct w:val="0"/>
        <w:autoSpaceDE/>
        <w:autoSpaceDN/>
        <w:bidi w:val="0"/>
        <w:spacing w:line="420" w:lineRule="auto"/>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highlight w:val="none"/>
          <w:lang w:val="zh-CN"/>
        </w:rPr>
        <w:t>6、招标范围：招标人提供的设计文件及有关资料所包括的所有内容；</w:t>
      </w:r>
    </w:p>
    <w:p w14:paraId="3B9F2A20">
      <w:pPr>
        <w:keepNext w:val="0"/>
        <w:keepLines w:val="0"/>
        <w:pageBreakBefore w:val="0"/>
        <w:kinsoku/>
        <w:wordWrap/>
        <w:overflowPunct/>
        <w:topLinePunct w:val="0"/>
        <w:autoSpaceDE/>
        <w:autoSpaceDN/>
        <w:bidi w:val="0"/>
        <w:spacing w:line="420" w:lineRule="auto"/>
        <w:textAlignment w:val="auto"/>
        <w:rPr>
          <w:rFonts w:hint="eastAsia" w:ascii="仿宋" w:hAnsi="仿宋" w:eastAsia="仿宋" w:cs="仿宋"/>
          <w:b w:val="0"/>
          <w:bCs w:val="0"/>
          <w:color w:val="0000FF"/>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7、资金来源：自筹资金；</w:t>
      </w:r>
    </w:p>
    <w:p w14:paraId="723480E5">
      <w:pPr>
        <w:keepNext w:val="0"/>
        <w:keepLines w:val="0"/>
        <w:pageBreakBefore w:val="0"/>
        <w:kinsoku/>
        <w:wordWrap/>
        <w:overflowPunct/>
        <w:topLinePunct w:val="0"/>
        <w:autoSpaceDE/>
        <w:autoSpaceDN/>
        <w:bidi w:val="0"/>
        <w:spacing w:line="420" w:lineRule="auto"/>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rPr>
        <w:t>8、标段划分：</w:t>
      </w:r>
      <w:r>
        <w:rPr>
          <w:rFonts w:hint="eastAsia" w:ascii="仿宋" w:hAnsi="仿宋" w:eastAsia="仿宋" w:cs="仿宋"/>
          <w:b w:val="0"/>
          <w:bCs w:val="0"/>
          <w:color w:val="auto"/>
          <w:sz w:val="28"/>
          <w:szCs w:val="28"/>
          <w:highlight w:val="none"/>
          <w:lang w:val="en-US" w:eastAsia="zh-CN"/>
        </w:rPr>
        <w:t>共一个标段，本项目采用“评定分离”方式确定中标人。</w:t>
      </w:r>
    </w:p>
    <w:p w14:paraId="2184E692">
      <w:pPr>
        <w:keepNext w:val="0"/>
        <w:keepLines w:val="0"/>
        <w:pageBreakBefore w:val="0"/>
        <w:kinsoku/>
        <w:wordWrap/>
        <w:overflowPunct/>
        <w:topLinePunct w:val="0"/>
        <w:autoSpaceDE/>
        <w:autoSpaceDN/>
        <w:bidi w:val="0"/>
        <w:spacing w:line="420" w:lineRule="auto"/>
        <w:ind w:left="-420" w:leftChars="-200" w:firstLine="0" w:firstLineChars="0"/>
        <w:textAlignment w:val="auto"/>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二、项目分标段情况：</w:t>
      </w:r>
    </w:p>
    <w:tbl>
      <w:tblPr>
        <w:tblStyle w:val="88"/>
        <w:tblW w:w="100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7"/>
        <w:gridCol w:w="1575"/>
        <w:gridCol w:w="6034"/>
        <w:gridCol w:w="1531"/>
      </w:tblGrid>
      <w:tr w14:paraId="4D7F4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1"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135B895C">
            <w:pPr>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标段编号</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CCA45FA">
            <w:pPr>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名称</w:t>
            </w:r>
          </w:p>
        </w:tc>
        <w:tc>
          <w:tcPr>
            <w:tcW w:w="6034" w:type="dxa"/>
            <w:tcBorders>
              <w:top w:val="single" w:color="auto" w:sz="4" w:space="0"/>
              <w:left w:val="single" w:color="auto" w:sz="4" w:space="0"/>
              <w:bottom w:val="single" w:color="auto" w:sz="4" w:space="0"/>
              <w:right w:val="single" w:color="auto" w:sz="4" w:space="0"/>
            </w:tcBorders>
            <w:noWrap w:val="0"/>
            <w:vAlign w:val="center"/>
          </w:tcPr>
          <w:p w14:paraId="49409B4E">
            <w:pPr>
              <w:spacing w:line="360" w:lineRule="auto"/>
              <w:ind w:firstLine="560" w:firstLineChars="200"/>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投标人资格要求</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4A39E774">
            <w:pPr>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控制价（元）</w:t>
            </w:r>
          </w:p>
        </w:tc>
      </w:tr>
      <w:tr w14:paraId="2E13F0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7" w:hRule="atLeast"/>
          <w:jc w:val="center"/>
        </w:trPr>
        <w:tc>
          <w:tcPr>
            <w:tcW w:w="877" w:type="dxa"/>
            <w:tcBorders>
              <w:top w:val="single" w:color="auto" w:sz="4" w:space="0"/>
              <w:left w:val="single" w:color="auto" w:sz="4" w:space="0"/>
              <w:bottom w:val="single" w:color="auto" w:sz="4" w:space="0"/>
              <w:right w:val="single" w:color="auto" w:sz="4" w:space="0"/>
            </w:tcBorders>
            <w:noWrap w:val="0"/>
            <w:vAlign w:val="center"/>
          </w:tcPr>
          <w:p w14:paraId="2E1DC7F5">
            <w:pPr>
              <w:spacing w:line="36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一</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58B0EC3">
            <w:pPr>
              <w:spacing w:line="36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zh-CN" w:eastAsia="zh-CN"/>
              </w:rPr>
              <w:t>菏泽市农高区城乡冷链物流建设项目</w:t>
            </w:r>
          </w:p>
        </w:tc>
        <w:tc>
          <w:tcPr>
            <w:tcW w:w="6034" w:type="dxa"/>
            <w:tcBorders>
              <w:top w:val="single" w:color="auto" w:sz="4" w:space="0"/>
              <w:left w:val="single" w:color="auto" w:sz="4" w:space="0"/>
              <w:right w:val="single" w:color="auto" w:sz="4" w:space="0"/>
            </w:tcBorders>
            <w:noWrap w:val="0"/>
            <w:vAlign w:val="center"/>
          </w:tcPr>
          <w:p w14:paraId="39A05EA0">
            <w:pPr>
              <w:spacing w:line="36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①潜在投标人须具备独立法人资格，并在人员、设备、资金等方面具有承担本工程的能力；</w:t>
            </w:r>
          </w:p>
          <w:p w14:paraId="604C1A93">
            <w:pPr>
              <w:spacing w:line="36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②潜在投标人须具备建设行政主管部门核发的建筑工程施工总承包贰级及以上资质，具有有效的安全生产许可证；</w:t>
            </w:r>
          </w:p>
          <w:p w14:paraId="672594E5">
            <w:pPr>
              <w:spacing w:line="36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③拟派项目经理须具备建筑工程专业贰级及</w:t>
            </w:r>
            <w:r>
              <w:rPr>
                <w:rFonts w:hint="eastAsia" w:ascii="仿宋" w:hAnsi="仿宋" w:eastAsia="仿宋" w:cs="仿宋"/>
                <w:b w:val="0"/>
                <w:bCs w:val="0"/>
                <w:color w:val="auto"/>
                <w:sz w:val="28"/>
                <w:szCs w:val="28"/>
                <w:highlight w:val="none"/>
                <w:lang w:val="en-US" w:eastAsia="zh-CN"/>
              </w:rPr>
              <w:t>以上注册建造师资格，具有有效的安全生产考核B证，且目前并未承担其它在建工程，</w:t>
            </w:r>
          </w:p>
          <w:p w14:paraId="36B270CF">
            <w:pPr>
              <w:spacing w:line="36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④提供“信用中国”网站（www.creditchina.gov.cn）信用查询记录，打印网页版（截图）并加盖投标单位公章（被列入失信被执行人、异常经营名录、政府采购严重违法失信行为记录名单、税收违法黑名单的投标人，不得参与本次投标活动）；</w:t>
            </w:r>
          </w:p>
          <w:p w14:paraId="7D3A99F6">
            <w:pPr>
              <w:spacing w:line="36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⑤潜在投标人及项目经理目前在全国各地均未处于禁止或限制投标期间；</w:t>
            </w:r>
          </w:p>
          <w:p w14:paraId="446F5EB6">
            <w:pPr>
              <w:spacing w:line="360" w:lineRule="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⑥本项目资格后审，不接受联合体投标。</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63EB9212">
            <w:pPr>
              <w:keepNext w:val="0"/>
              <w:keepLines w:val="0"/>
              <w:pageBreakBefore w:val="0"/>
              <w:widowControl/>
              <w:kinsoku w:val="0"/>
              <w:wordWrap/>
              <w:overflowPunct/>
              <w:topLinePunct w:val="0"/>
              <w:autoSpaceDE w:val="0"/>
              <w:autoSpaceDN w:val="0"/>
              <w:bidi w:val="0"/>
              <w:adjustRightInd w:val="0"/>
              <w:snapToGrid w:val="0"/>
              <w:spacing w:before="0" w:line="360" w:lineRule="auto"/>
              <w:ind w:left="0" w:leftChars="0" w:right="0" w:rightChars="0" w:firstLine="0" w:firstLineChars="0"/>
              <w:textAlignment w:val="baseline"/>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120557618.44</w:t>
            </w:r>
          </w:p>
        </w:tc>
      </w:tr>
    </w:tbl>
    <w:p w14:paraId="25C10B56">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ascii="仿宋" w:hAnsi="仿宋" w:eastAsia="仿宋" w:cs="宋体"/>
          <w:color w:val="auto"/>
          <w:kern w:val="0"/>
          <w:sz w:val="28"/>
          <w:szCs w:val="28"/>
        </w:rPr>
      </w:pPr>
      <w:r>
        <w:rPr>
          <w:rFonts w:hint="eastAsia" w:ascii="黑体" w:hAnsi="黑体" w:eastAsia="黑体" w:cs="宋体"/>
          <w:color w:val="auto"/>
          <w:kern w:val="0"/>
          <w:sz w:val="28"/>
          <w:szCs w:val="28"/>
        </w:rPr>
        <w:t>三、</w:t>
      </w:r>
      <w:r>
        <w:rPr>
          <w:rStyle w:val="134"/>
          <w:rFonts w:hint="eastAsia" w:ascii="黑体" w:hAnsi="黑体" w:eastAsia="黑体"/>
          <w:b w:val="0"/>
          <w:color w:val="auto"/>
          <w:sz w:val="28"/>
          <w:szCs w:val="28"/>
        </w:rPr>
        <w:t>电子招标文件获取</w:t>
      </w:r>
      <w:r>
        <w:rPr>
          <w:rStyle w:val="134"/>
          <w:rFonts w:hint="eastAsia" w:ascii="黑体" w:hAnsi="黑体" w:eastAsia="黑体"/>
          <w:color w:val="auto"/>
          <w:sz w:val="28"/>
          <w:szCs w:val="28"/>
        </w:rPr>
        <w:t>：</w:t>
      </w:r>
    </w:p>
    <w:p w14:paraId="0C5BA9AE">
      <w:pPr>
        <w:keepNext w:val="0"/>
        <w:keepLines w:val="0"/>
        <w:pageBreakBefore w:val="0"/>
        <w:kinsoku/>
        <w:wordWrap/>
        <w:overflowPunct/>
        <w:topLinePunct w:val="0"/>
        <w:autoSpaceDE/>
        <w:autoSpaceDN/>
        <w:bidi w:val="0"/>
        <w:spacing w:line="420" w:lineRule="auto"/>
        <w:ind w:firstLine="280" w:firstLineChars="1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1.获取时间：投标截止时间前均可获取</w:t>
      </w:r>
    </w:p>
    <w:p w14:paraId="0DC79776">
      <w:pPr>
        <w:keepNext w:val="0"/>
        <w:keepLines w:val="0"/>
        <w:pageBreakBefore w:val="0"/>
        <w:kinsoku/>
        <w:wordWrap/>
        <w:overflowPunct/>
        <w:topLinePunct w:val="0"/>
        <w:autoSpaceDE/>
        <w:autoSpaceDN/>
        <w:bidi w:val="0"/>
        <w:spacing w:line="420" w:lineRule="auto"/>
        <w:ind w:firstLine="280" w:firstLineChars="1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2.获取方式：网上免费下载</w:t>
      </w:r>
      <w:r>
        <w:rPr>
          <w:rFonts w:hint="eastAsia" w:ascii="仿宋" w:hAnsi="仿宋" w:eastAsia="仿宋" w:cs="仿宋"/>
          <w:b w:val="0"/>
          <w:bCs w:val="0"/>
          <w:color w:val="auto"/>
          <w:sz w:val="28"/>
          <w:szCs w:val="28"/>
          <w:lang w:val="zh-CN" w:eastAsia="zh-CN"/>
        </w:rPr>
        <w:t>（文件格式为.</w:t>
      </w:r>
      <w:r>
        <w:rPr>
          <w:rFonts w:hint="eastAsia" w:ascii="仿宋" w:hAnsi="仿宋" w:eastAsia="仿宋" w:cs="仿宋"/>
          <w:b w:val="0"/>
          <w:bCs w:val="0"/>
          <w:color w:val="auto"/>
          <w:sz w:val="28"/>
          <w:szCs w:val="28"/>
          <w:lang w:val="en-US" w:eastAsia="zh-CN"/>
        </w:rPr>
        <w:t>ZBWJ</w:t>
      </w:r>
      <w:r>
        <w:rPr>
          <w:rFonts w:hint="eastAsia" w:ascii="仿宋" w:hAnsi="仿宋" w:eastAsia="仿宋" w:cs="仿宋"/>
          <w:b w:val="0"/>
          <w:bCs w:val="0"/>
          <w:color w:val="auto"/>
          <w:sz w:val="28"/>
          <w:szCs w:val="28"/>
          <w:lang w:val="zh-CN" w:eastAsia="zh-CN"/>
        </w:rPr>
        <w:t>）</w:t>
      </w:r>
    </w:p>
    <w:p w14:paraId="059171D6">
      <w:pPr>
        <w:keepNext w:val="0"/>
        <w:keepLines w:val="0"/>
        <w:pageBreakBefore w:val="0"/>
        <w:kinsoku/>
        <w:wordWrap/>
        <w:overflowPunct/>
        <w:topLinePunct w:val="0"/>
        <w:autoSpaceDE/>
        <w:autoSpaceDN/>
        <w:bidi w:val="0"/>
        <w:spacing w:line="420" w:lineRule="auto"/>
        <w:ind w:firstLine="280" w:firstLineChars="100"/>
        <w:textAlignment w:val="auto"/>
        <w:rPr>
          <w:rFonts w:hint="eastAsia" w:ascii="仿宋" w:hAnsi="仿宋" w:eastAsia="仿宋" w:cs="仿宋"/>
          <w:b w:val="0"/>
          <w:bCs w:val="0"/>
          <w:color w:val="auto"/>
          <w:sz w:val="28"/>
          <w:szCs w:val="28"/>
          <w:highlight w:val="yellow"/>
          <w:lang w:val="en-US" w:eastAsia="zh-CN"/>
        </w:rPr>
      </w:pPr>
      <w:r>
        <w:rPr>
          <w:rFonts w:hint="eastAsia" w:ascii="仿宋" w:hAnsi="仿宋" w:eastAsia="仿宋" w:cs="仿宋"/>
          <w:b w:val="0"/>
          <w:bCs w:val="0"/>
          <w:color w:val="auto"/>
          <w:sz w:val="28"/>
          <w:szCs w:val="28"/>
          <w:lang w:val="en-US" w:eastAsia="zh-CN"/>
        </w:rPr>
        <w:t>投标人登录赢标电子招标采购交易系统（http://hzsjyzx.cn:50000/#/login）后，在“招标</w:t>
      </w:r>
      <w:r>
        <w:rPr>
          <w:rFonts w:hint="eastAsia" w:ascii="仿宋" w:hAnsi="仿宋" w:eastAsia="仿宋" w:cs="仿宋"/>
          <w:b w:val="0"/>
          <w:bCs w:val="0"/>
          <w:color w:val="auto"/>
          <w:sz w:val="28"/>
          <w:szCs w:val="28"/>
          <w:highlight w:val="none"/>
          <w:lang w:val="en-US" w:eastAsia="zh-CN"/>
        </w:rPr>
        <w:t>文件领取”页面下载电子招标文件</w:t>
      </w:r>
      <w:r>
        <w:rPr>
          <w:rFonts w:hint="eastAsia" w:ascii="仿宋" w:hAnsi="仿宋" w:eastAsia="仿宋" w:cs="仿宋"/>
          <w:b w:val="0"/>
          <w:bCs w:val="0"/>
          <w:color w:val="auto"/>
          <w:sz w:val="28"/>
          <w:szCs w:val="28"/>
          <w:highlight w:val="none"/>
          <w:lang w:val="zh-CN" w:eastAsia="zh-CN"/>
        </w:rPr>
        <w:t>（文件格式为.</w:t>
      </w:r>
      <w:r>
        <w:rPr>
          <w:rFonts w:hint="eastAsia" w:ascii="仿宋" w:hAnsi="仿宋" w:eastAsia="仿宋" w:cs="仿宋"/>
          <w:b w:val="0"/>
          <w:bCs w:val="0"/>
          <w:color w:val="auto"/>
          <w:sz w:val="28"/>
          <w:szCs w:val="28"/>
          <w:highlight w:val="none"/>
          <w:lang w:val="en-US" w:eastAsia="zh-CN"/>
        </w:rPr>
        <w:t>ZBWJ</w:t>
      </w:r>
      <w:r>
        <w:rPr>
          <w:rFonts w:hint="eastAsia" w:ascii="仿宋" w:hAnsi="仿宋" w:eastAsia="仿宋" w:cs="仿宋"/>
          <w:b w:val="0"/>
          <w:bCs w:val="0"/>
          <w:color w:val="auto"/>
          <w:sz w:val="28"/>
          <w:szCs w:val="28"/>
          <w:highlight w:val="none"/>
          <w:lang w:val="zh-CN" w:eastAsia="zh-CN"/>
        </w:rPr>
        <w:t>）</w:t>
      </w:r>
      <w:r>
        <w:rPr>
          <w:rFonts w:hint="eastAsia" w:ascii="仿宋" w:hAnsi="仿宋" w:eastAsia="仿宋" w:cs="仿宋"/>
          <w:b w:val="0"/>
          <w:bCs w:val="0"/>
          <w:color w:val="auto"/>
          <w:sz w:val="28"/>
          <w:szCs w:val="28"/>
          <w:highlight w:val="none"/>
          <w:lang w:val="en-US" w:eastAsia="zh-CN"/>
        </w:rPr>
        <w:t>。下载完成后刷新当前页面，申请子账户即可获取当前项目（标段或包）的保证金虚拟账号。</w:t>
      </w:r>
    </w:p>
    <w:p w14:paraId="500499D1">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ascii="黑体" w:hAnsi="黑体" w:eastAsia="黑体" w:cs="宋体"/>
          <w:color w:val="auto"/>
          <w:kern w:val="0"/>
          <w:sz w:val="28"/>
          <w:szCs w:val="28"/>
        </w:rPr>
      </w:pPr>
      <w:r>
        <w:rPr>
          <w:rFonts w:hint="eastAsia" w:ascii="黑体" w:hAnsi="黑体" w:eastAsia="黑体" w:cs="宋体"/>
          <w:color w:val="auto"/>
          <w:kern w:val="0"/>
          <w:sz w:val="28"/>
          <w:szCs w:val="28"/>
        </w:rPr>
        <w:t>四、投标文件递交：</w:t>
      </w:r>
    </w:p>
    <w:p w14:paraId="5BCD78F3">
      <w:pPr>
        <w:keepNext w:val="0"/>
        <w:keepLines w:val="0"/>
        <w:pageBreakBefore w:val="0"/>
        <w:widowControl/>
        <w:kinsoku/>
        <w:wordWrap/>
        <w:overflowPunct/>
        <w:topLinePunct w:val="0"/>
        <w:autoSpaceDE/>
        <w:autoSpaceDN/>
        <w:bidi w:val="0"/>
        <w:adjustRightInd w:val="0"/>
        <w:snapToGrid w:val="0"/>
        <w:spacing w:line="420" w:lineRule="auto"/>
        <w:ind w:left="2239" w:leftChars="266" w:hanging="1680" w:hangingChars="600"/>
        <w:jc w:val="left"/>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rPr>
        <w:t>1.投标文件递交</w:t>
      </w:r>
      <w:r>
        <w:rPr>
          <w:rFonts w:hint="eastAsia" w:ascii="仿宋" w:hAnsi="仿宋" w:eastAsia="仿宋" w:cs="宋体"/>
          <w:color w:val="auto"/>
          <w:kern w:val="0"/>
          <w:sz w:val="28"/>
          <w:szCs w:val="28"/>
          <w:highlight w:val="none"/>
        </w:rPr>
        <w:t>截止</w:t>
      </w:r>
      <w:r>
        <w:rPr>
          <w:rFonts w:hint="eastAsia" w:ascii="仿宋" w:hAnsi="仿宋" w:eastAsia="仿宋" w:cs="宋体"/>
          <w:color w:val="auto"/>
          <w:kern w:val="0"/>
          <w:sz w:val="28"/>
          <w:szCs w:val="28"/>
          <w:highlight w:val="none"/>
          <w:lang w:val="zh-CN"/>
        </w:rPr>
        <w:t>时间（投标截止时间，下同）：</w:t>
      </w:r>
      <w:r>
        <w:rPr>
          <w:rFonts w:hint="eastAsia" w:ascii="仿宋" w:hAnsi="仿宋" w:eastAsia="仿宋" w:cs="宋体"/>
          <w:bCs/>
          <w:color w:val="auto"/>
          <w:spacing w:val="-10"/>
          <w:kern w:val="0"/>
          <w:sz w:val="28"/>
          <w:szCs w:val="28"/>
          <w:highlight w:val="none"/>
          <w:lang w:val="en-US" w:eastAsia="zh-CN"/>
        </w:rPr>
        <w:t>2025</w:t>
      </w:r>
      <w:r>
        <w:rPr>
          <w:rFonts w:hint="eastAsia" w:ascii="仿宋" w:hAnsi="仿宋" w:eastAsia="仿宋" w:cs="宋体"/>
          <w:color w:val="auto"/>
          <w:kern w:val="0"/>
          <w:sz w:val="28"/>
          <w:szCs w:val="28"/>
          <w:highlight w:val="none"/>
        </w:rPr>
        <w:t>年</w:t>
      </w:r>
      <w:r>
        <w:rPr>
          <w:rFonts w:hint="eastAsia" w:ascii="仿宋" w:hAnsi="仿宋" w:eastAsia="仿宋" w:cs="宋体"/>
          <w:bCs/>
          <w:color w:val="auto"/>
          <w:spacing w:val="-10"/>
          <w:kern w:val="0"/>
          <w:sz w:val="28"/>
          <w:szCs w:val="28"/>
          <w:highlight w:val="none"/>
          <w:lang w:val="en-US" w:eastAsia="zh-CN"/>
        </w:rPr>
        <w:t>2</w:t>
      </w:r>
      <w:r>
        <w:rPr>
          <w:rFonts w:hint="eastAsia" w:ascii="仿宋" w:hAnsi="仿宋" w:eastAsia="仿宋" w:cs="宋体"/>
          <w:color w:val="auto"/>
          <w:kern w:val="0"/>
          <w:sz w:val="28"/>
          <w:szCs w:val="28"/>
          <w:highlight w:val="none"/>
        </w:rPr>
        <w:t>月</w:t>
      </w:r>
      <w:r>
        <w:rPr>
          <w:rFonts w:hint="eastAsia" w:ascii="仿宋" w:hAnsi="仿宋" w:eastAsia="仿宋" w:cs="宋体"/>
          <w:bCs/>
          <w:color w:val="auto"/>
          <w:spacing w:val="-10"/>
          <w:kern w:val="0"/>
          <w:sz w:val="28"/>
          <w:szCs w:val="28"/>
          <w:highlight w:val="none"/>
          <w:lang w:val="en-US" w:eastAsia="zh-CN"/>
        </w:rPr>
        <w:t>13</w:t>
      </w:r>
      <w:r>
        <w:rPr>
          <w:rFonts w:hint="eastAsia" w:ascii="仿宋" w:hAnsi="仿宋" w:eastAsia="仿宋" w:cs="宋体"/>
          <w:color w:val="auto"/>
          <w:kern w:val="0"/>
          <w:sz w:val="28"/>
          <w:szCs w:val="28"/>
          <w:highlight w:val="none"/>
        </w:rPr>
        <w:t>日</w:t>
      </w:r>
      <w:r>
        <w:rPr>
          <w:rFonts w:hint="eastAsia" w:ascii="仿宋" w:hAnsi="仿宋" w:eastAsia="仿宋" w:cs="宋体"/>
          <w:color w:val="auto"/>
          <w:kern w:val="0"/>
          <w:sz w:val="28"/>
          <w:szCs w:val="28"/>
          <w:highlight w:val="none"/>
          <w:lang w:val="en-US" w:eastAsia="zh-CN"/>
        </w:rPr>
        <w:t>上午</w:t>
      </w:r>
      <w:r>
        <w:rPr>
          <w:rFonts w:hint="eastAsia" w:ascii="仿宋" w:hAnsi="仿宋" w:eastAsia="仿宋" w:cs="宋体"/>
          <w:bCs/>
          <w:color w:val="auto"/>
          <w:spacing w:val="-10"/>
          <w:kern w:val="0"/>
          <w:sz w:val="28"/>
          <w:szCs w:val="28"/>
          <w:highlight w:val="none"/>
          <w:lang w:val="en-US" w:eastAsia="zh-CN"/>
        </w:rPr>
        <w:t>09</w:t>
      </w:r>
      <w:r>
        <w:rPr>
          <w:rFonts w:hint="eastAsia" w:ascii="仿宋" w:hAnsi="仿宋" w:eastAsia="仿宋" w:cs="宋体"/>
          <w:color w:val="auto"/>
          <w:kern w:val="0"/>
          <w:sz w:val="28"/>
          <w:szCs w:val="28"/>
          <w:highlight w:val="none"/>
        </w:rPr>
        <w:t>时</w:t>
      </w:r>
      <w:r>
        <w:rPr>
          <w:rFonts w:hint="eastAsia" w:ascii="仿宋" w:hAnsi="仿宋" w:eastAsia="仿宋" w:cs="宋体"/>
          <w:bCs/>
          <w:color w:val="auto"/>
          <w:spacing w:val="-10"/>
          <w:kern w:val="0"/>
          <w:sz w:val="28"/>
          <w:szCs w:val="28"/>
          <w:highlight w:val="none"/>
          <w:lang w:val="en-US" w:eastAsia="zh-CN"/>
        </w:rPr>
        <w:t>00</w:t>
      </w:r>
      <w:r>
        <w:rPr>
          <w:rFonts w:hint="eastAsia" w:ascii="仿宋" w:hAnsi="仿宋" w:eastAsia="仿宋" w:cs="宋体"/>
          <w:color w:val="auto"/>
          <w:kern w:val="0"/>
          <w:sz w:val="28"/>
          <w:szCs w:val="28"/>
          <w:highlight w:val="none"/>
        </w:rPr>
        <w:t>分</w:t>
      </w:r>
      <w:r>
        <w:rPr>
          <w:rFonts w:hint="eastAsia" w:ascii="仿宋" w:hAnsi="仿宋" w:eastAsia="仿宋"/>
          <w:color w:val="auto"/>
          <w:sz w:val="28"/>
          <w:szCs w:val="28"/>
          <w:highlight w:val="none"/>
          <w:shd w:val="clear" w:color="auto" w:fill="FFFFFF"/>
        </w:rPr>
        <w:t>（北京时间）</w:t>
      </w:r>
    </w:p>
    <w:p w14:paraId="23686C17">
      <w:pPr>
        <w:keepNext w:val="0"/>
        <w:keepLines w:val="0"/>
        <w:pageBreakBefore w:val="0"/>
        <w:widowControl/>
        <w:kinsoku/>
        <w:wordWrap/>
        <w:overflowPunct/>
        <w:topLinePunct w:val="0"/>
        <w:autoSpaceDE/>
        <w:autoSpaceDN/>
        <w:bidi w:val="0"/>
        <w:adjustRightInd w:val="0"/>
        <w:snapToGrid w:val="0"/>
        <w:spacing w:line="420" w:lineRule="auto"/>
        <w:ind w:firstLine="560" w:firstLineChars="200"/>
        <w:jc w:val="lef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2.递交方式：</w:t>
      </w:r>
    </w:p>
    <w:p w14:paraId="06EA244A">
      <w:pPr>
        <w:keepNext w:val="0"/>
        <w:keepLines w:val="0"/>
        <w:pageBreakBefore w:val="0"/>
        <w:widowControl/>
        <w:kinsoku/>
        <w:wordWrap/>
        <w:overflowPunct/>
        <w:topLinePunct w:val="0"/>
        <w:autoSpaceDE/>
        <w:autoSpaceDN/>
        <w:bidi w:val="0"/>
        <w:adjustRightInd w:val="0"/>
        <w:snapToGrid w:val="0"/>
        <w:spacing w:line="420" w:lineRule="auto"/>
        <w:ind w:firstLine="560" w:firstLineChars="200"/>
        <w:jc w:val="lef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加密的电子投标文件（</w:t>
      </w:r>
      <w:r>
        <w:rPr>
          <w:rFonts w:hint="eastAsia" w:ascii="仿宋" w:hAnsi="仿宋" w:eastAsia="仿宋"/>
          <w:color w:val="auto"/>
          <w:sz w:val="28"/>
          <w:szCs w:val="28"/>
        </w:rPr>
        <w:t>文件格式</w:t>
      </w:r>
      <w:r>
        <w:rPr>
          <w:rFonts w:hint="eastAsia" w:ascii="仿宋" w:hAnsi="仿宋" w:eastAsia="仿宋" w:cs="宋体"/>
          <w:color w:val="auto"/>
          <w:kern w:val="0"/>
          <w:sz w:val="28"/>
          <w:szCs w:val="28"/>
        </w:rPr>
        <w:t>为.</w:t>
      </w:r>
      <w:r>
        <w:rPr>
          <w:color w:val="auto"/>
        </w:rPr>
        <w:t xml:space="preserve"> </w:t>
      </w:r>
      <w:r>
        <w:rPr>
          <w:rFonts w:hint="eastAsia" w:ascii="仿宋" w:hAnsi="仿宋" w:eastAsia="仿宋" w:cs="宋体"/>
          <w:color w:val="auto"/>
          <w:kern w:val="0"/>
          <w:sz w:val="28"/>
          <w:szCs w:val="28"/>
          <w:lang w:val="en-US" w:eastAsia="zh-CN"/>
        </w:rPr>
        <w:t>HWTB/GCTB/FWTB</w:t>
      </w:r>
      <w:r>
        <w:rPr>
          <w:rFonts w:hint="eastAsia" w:ascii="仿宋" w:hAnsi="仿宋" w:eastAsia="仿宋" w:cs="宋体"/>
          <w:color w:val="auto"/>
          <w:kern w:val="0"/>
          <w:sz w:val="28"/>
          <w:szCs w:val="28"/>
        </w:rPr>
        <w:t>）通过电子交易系统“上传投标文件”菜单上传至菏泽市公共资源交易平台。</w:t>
      </w:r>
    </w:p>
    <w:p w14:paraId="45BC19A1">
      <w:pPr>
        <w:keepNext w:val="0"/>
        <w:keepLines w:val="0"/>
        <w:pageBreakBefore w:val="0"/>
        <w:widowControl/>
        <w:kinsoku/>
        <w:wordWrap/>
        <w:overflowPunct/>
        <w:topLinePunct w:val="0"/>
        <w:autoSpaceDE/>
        <w:autoSpaceDN/>
        <w:bidi w:val="0"/>
        <w:adjustRightInd w:val="0"/>
        <w:snapToGrid w:val="0"/>
        <w:spacing w:line="420" w:lineRule="auto"/>
        <w:ind w:firstLine="560" w:firstLineChars="200"/>
        <w:jc w:val="left"/>
        <w:textAlignment w:val="auto"/>
        <w:rPr>
          <w:rFonts w:ascii="仿宋" w:hAnsi="仿宋" w:eastAsia="仿宋" w:cs="宋体"/>
          <w:color w:val="auto"/>
          <w:sz w:val="28"/>
          <w:szCs w:val="28"/>
        </w:rPr>
      </w:pPr>
      <w:r>
        <w:rPr>
          <w:rFonts w:hint="eastAsia" w:ascii="仿宋" w:hAnsi="仿宋" w:eastAsia="仿宋" w:cs="宋体"/>
          <w:color w:val="auto"/>
          <w:kern w:val="0"/>
          <w:sz w:val="28"/>
          <w:szCs w:val="28"/>
        </w:rPr>
        <w:t>逾期送达的或者未送达指定地点的投标文件，招标人不予受理。</w:t>
      </w:r>
    </w:p>
    <w:p w14:paraId="18266513">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ascii="仿宋" w:hAnsi="仿宋" w:eastAsia="仿宋" w:cs="宋体"/>
          <w:color w:val="auto"/>
          <w:sz w:val="28"/>
          <w:szCs w:val="28"/>
        </w:rPr>
      </w:pPr>
      <w:r>
        <w:rPr>
          <w:rFonts w:hint="eastAsia" w:ascii="黑体" w:hAnsi="黑体" w:eastAsia="黑体" w:cs="宋体"/>
          <w:color w:val="auto"/>
          <w:kern w:val="0"/>
          <w:sz w:val="28"/>
          <w:szCs w:val="28"/>
        </w:rPr>
        <w:t>五、开标时间及地点：</w:t>
      </w:r>
    </w:p>
    <w:p w14:paraId="544CE14A">
      <w:pPr>
        <w:keepNext w:val="0"/>
        <w:keepLines w:val="0"/>
        <w:pageBreakBefore w:val="0"/>
        <w:widowControl/>
        <w:kinsoku/>
        <w:wordWrap/>
        <w:overflowPunct/>
        <w:topLinePunct w:val="0"/>
        <w:autoSpaceDE/>
        <w:autoSpaceDN/>
        <w:bidi w:val="0"/>
        <w:adjustRightInd w:val="0"/>
        <w:snapToGrid w:val="0"/>
        <w:spacing w:line="420" w:lineRule="auto"/>
        <w:ind w:firstLine="560" w:firstLineChars="200"/>
        <w:jc w:val="left"/>
        <w:textAlignment w:val="auto"/>
        <w:rPr>
          <w:rFonts w:ascii="仿宋" w:hAnsi="仿宋" w:eastAsia="仿宋" w:cs="宋体"/>
          <w:color w:val="auto"/>
          <w:kern w:val="0"/>
          <w:sz w:val="28"/>
          <w:szCs w:val="28"/>
        </w:rPr>
      </w:pPr>
      <w:r>
        <w:rPr>
          <w:rFonts w:hint="eastAsia" w:ascii="仿宋" w:hAnsi="仿宋" w:eastAsia="仿宋" w:cs="宋体"/>
          <w:color w:val="auto"/>
          <w:kern w:val="0"/>
          <w:sz w:val="28"/>
          <w:szCs w:val="28"/>
        </w:rPr>
        <w:t>1.开标时间</w:t>
      </w:r>
      <w:r>
        <w:rPr>
          <w:rFonts w:hint="eastAsia" w:ascii="仿宋" w:hAnsi="仿宋" w:eastAsia="仿宋" w:cs="宋体"/>
          <w:color w:val="auto"/>
          <w:kern w:val="0"/>
          <w:sz w:val="28"/>
          <w:szCs w:val="28"/>
          <w:highlight w:val="none"/>
        </w:rPr>
        <w:t>：</w:t>
      </w:r>
      <w:r>
        <w:rPr>
          <w:rFonts w:hint="eastAsia" w:ascii="仿宋" w:hAnsi="仿宋" w:eastAsia="仿宋" w:cs="宋体"/>
          <w:bCs/>
          <w:color w:val="auto"/>
          <w:spacing w:val="-10"/>
          <w:kern w:val="0"/>
          <w:sz w:val="28"/>
          <w:szCs w:val="28"/>
          <w:highlight w:val="none"/>
          <w:lang w:val="en-US" w:eastAsia="zh-CN"/>
        </w:rPr>
        <w:t>2025</w:t>
      </w:r>
      <w:r>
        <w:rPr>
          <w:rFonts w:hint="eastAsia" w:ascii="仿宋" w:hAnsi="仿宋" w:eastAsia="仿宋" w:cs="宋体"/>
          <w:color w:val="auto"/>
          <w:kern w:val="0"/>
          <w:sz w:val="28"/>
          <w:szCs w:val="28"/>
          <w:highlight w:val="none"/>
        </w:rPr>
        <w:t>年</w:t>
      </w:r>
      <w:r>
        <w:rPr>
          <w:rFonts w:hint="eastAsia" w:ascii="仿宋" w:hAnsi="仿宋" w:eastAsia="仿宋" w:cs="宋体"/>
          <w:bCs/>
          <w:color w:val="auto"/>
          <w:spacing w:val="-10"/>
          <w:kern w:val="0"/>
          <w:sz w:val="28"/>
          <w:szCs w:val="28"/>
          <w:highlight w:val="none"/>
          <w:lang w:val="en-US" w:eastAsia="zh-CN"/>
        </w:rPr>
        <w:t>2</w:t>
      </w:r>
      <w:r>
        <w:rPr>
          <w:rFonts w:hint="eastAsia" w:ascii="仿宋" w:hAnsi="仿宋" w:eastAsia="仿宋" w:cs="宋体"/>
          <w:color w:val="auto"/>
          <w:kern w:val="0"/>
          <w:sz w:val="28"/>
          <w:szCs w:val="28"/>
          <w:highlight w:val="none"/>
        </w:rPr>
        <w:t>月</w:t>
      </w:r>
      <w:r>
        <w:rPr>
          <w:rFonts w:hint="eastAsia" w:ascii="仿宋" w:hAnsi="仿宋" w:eastAsia="仿宋" w:cs="宋体"/>
          <w:bCs/>
          <w:color w:val="auto"/>
          <w:spacing w:val="-10"/>
          <w:kern w:val="0"/>
          <w:sz w:val="28"/>
          <w:szCs w:val="28"/>
          <w:highlight w:val="none"/>
          <w:lang w:val="en-US" w:eastAsia="zh-CN"/>
        </w:rPr>
        <w:t>13</w:t>
      </w:r>
      <w:r>
        <w:rPr>
          <w:rFonts w:hint="eastAsia" w:ascii="仿宋" w:hAnsi="仿宋" w:eastAsia="仿宋" w:cs="宋体"/>
          <w:color w:val="auto"/>
          <w:kern w:val="0"/>
          <w:sz w:val="28"/>
          <w:szCs w:val="28"/>
          <w:highlight w:val="none"/>
        </w:rPr>
        <w:t>日</w:t>
      </w:r>
      <w:r>
        <w:rPr>
          <w:rFonts w:hint="eastAsia" w:ascii="仿宋" w:hAnsi="仿宋" w:eastAsia="仿宋" w:cs="宋体"/>
          <w:bCs/>
          <w:color w:val="auto"/>
          <w:spacing w:val="-10"/>
          <w:kern w:val="0"/>
          <w:sz w:val="28"/>
          <w:szCs w:val="28"/>
          <w:highlight w:val="none"/>
          <w:lang w:val="en-US" w:eastAsia="zh-CN"/>
        </w:rPr>
        <w:t>09</w:t>
      </w:r>
      <w:r>
        <w:rPr>
          <w:rFonts w:hint="eastAsia" w:ascii="仿宋" w:hAnsi="仿宋" w:eastAsia="仿宋" w:cs="宋体"/>
          <w:color w:val="auto"/>
          <w:kern w:val="0"/>
          <w:sz w:val="28"/>
          <w:szCs w:val="28"/>
          <w:highlight w:val="none"/>
        </w:rPr>
        <w:t>时</w:t>
      </w:r>
      <w:r>
        <w:rPr>
          <w:rFonts w:hint="eastAsia" w:ascii="仿宋" w:hAnsi="仿宋" w:eastAsia="仿宋" w:cs="宋体"/>
          <w:bCs/>
          <w:color w:val="auto"/>
          <w:spacing w:val="-10"/>
          <w:kern w:val="0"/>
          <w:sz w:val="28"/>
          <w:szCs w:val="28"/>
          <w:highlight w:val="none"/>
          <w:lang w:val="en-US" w:eastAsia="zh-CN"/>
        </w:rPr>
        <w:t>00</w:t>
      </w:r>
      <w:r>
        <w:rPr>
          <w:rFonts w:hint="eastAsia" w:ascii="仿宋" w:hAnsi="仿宋" w:eastAsia="仿宋" w:cs="宋体"/>
          <w:color w:val="auto"/>
          <w:kern w:val="0"/>
          <w:sz w:val="28"/>
          <w:szCs w:val="28"/>
          <w:highlight w:val="none"/>
        </w:rPr>
        <w:t>分</w:t>
      </w:r>
      <w:r>
        <w:rPr>
          <w:rFonts w:hint="eastAsia" w:ascii="仿宋" w:hAnsi="仿宋" w:eastAsia="仿宋"/>
          <w:color w:val="auto"/>
          <w:sz w:val="28"/>
          <w:szCs w:val="28"/>
          <w:highlight w:val="none"/>
          <w:shd w:val="clear" w:color="auto" w:fill="FFFFFF"/>
        </w:rPr>
        <w:t>（北京时间</w:t>
      </w:r>
      <w:r>
        <w:rPr>
          <w:rFonts w:hint="eastAsia" w:ascii="仿宋" w:hAnsi="仿宋" w:eastAsia="仿宋"/>
          <w:color w:val="auto"/>
          <w:sz w:val="28"/>
          <w:szCs w:val="28"/>
          <w:shd w:val="clear" w:color="auto" w:fill="FFFFFF"/>
        </w:rPr>
        <w:t>）</w:t>
      </w:r>
    </w:p>
    <w:p w14:paraId="66660D4F">
      <w:pPr>
        <w:keepNext w:val="0"/>
        <w:keepLines w:val="0"/>
        <w:pageBreakBefore w:val="0"/>
        <w:widowControl/>
        <w:kinsoku/>
        <w:wordWrap/>
        <w:overflowPunct/>
        <w:topLinePunct w:val="0"/>
        <w:autoSpaceDE/>
        <w:autoSpaceDN/>
        <w:bidi w:val="0"/>
        <w:adjustRightInd w:val="0"/>
        <w:snapToGrid w:val="0"/>
        <w:spacing w:line="420" w:lineRule="auto"/>
        <w:ind w:firstLine="560" w:firstLineChars="200"/>
        <w:jc w:val="left"/>
        <w:textAlignment w:val="auto"/>
        <w:rPr>
          <w:rFonts w:ascii="仿宋" w:hAnsi="仿宋" w:eastAsia="仿宋" w:cs="宋体"/>
          <w:color w:val="auto"/>
          <w:kern w:val="0"/>
          <w:sz w:val="28"/>
          <w:szCs w:val="28"/>
          <w:lang w:val="zh-CN"/>
        </w:rPr>
      </w:pPr>
      <w:r>
        <w:rPr>
          <w:rFonts w:hint="eastAsia" w:ascii="仿宋" w:hAnsi="仿宋" w:eastAsia="仿宋" w:cs="宋体"/>
          <w:color w:val="auto"/>
          <w:kern w:val="0"/>
          <w:sz w:val="28"/>
          <w:szCs w:val="28"/>
        </w:rPr>
        <w:t>2.开标地点</w:t>
      </w:r>
      <w:r>
        <w:rPr>
          <w:rFonts w:hint="eastAsia" w:ascii="仿宋" w:hAnsi="仿宋" w:eastAsia="仿宋" w:cs="宋体"/>
          <w:color w:val="auto"/>
          <w:kern w:val="0"/>
          <w:sz w:val="28"/>
          <w:szCs w:val="28"/>
          <w:lang w:val="zh-CN"/>
        </w:rPr>
        <w:t>：</w:t>
      </w:r>
      <w:r>
        <w:rPr>
          <w:rFonts w:hint="eastAsia" w:ascii="仿宋" w:hAnsi="仿宋" w:eastAsia="仿宋"/>
          <w:color w:val="auto"/>
          <w:sz w:val="28"/>
          <w:szCs w:val="28"/>
          <w:highlight w:val="none"/>
        </w:rPr>
        <w:t>菏泽市公共资源交易中心（</w:t>
      </w:r>
      <w:r>
        <w:rPr>
          <w:rFonts w:hint="eastAsia" w:ascii="仿宋" w:hAnsi="仿宋" w:eastAsia="仿宋"/>
          <w:color w:val="auto"/>
          <w:sz w:val="28"/>
          <w:szCs w:val="28"/>
          <w:highlight w:val="none"/>
          <w:lang w:val="en-US" w:eastAsia="zh-CN"/>
        </w:rPr>
        <w:t>菏泽市</w:t>
      </w:r>
      <w:r>
        <w:rPr>
          <w:rFonts w:hint="eastAsia" w:ascii="仿宋" w:hAnsi="仿宋" w:eastAsia="仿宋"/>
          <w:color w:val="auto"/>
          <w:sz w:val="28"/>
          <w:szCs w:val="28"/>
          <w:highlight w:val="none"/>
        </w:rPr>
        <w:t>中华路426号</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不见面开标</w:t>
      </w:r>
      <w:r>
        <w:rPr>
          <w:rFonts w:hint="eastAsia" w:ascii="仿宋" w:hAnsi="仿宋" w:eastAsia="仿宋"/>
          <w:color w:val="auto"/>
          <w:sz w:val="28"/>
          <w:szCs w:val="28"/>
          <w:highlight w:val="none"/>
          <w:lang w:val="en-US" w:eastAsia="zh-CN"/>
        </w:rPr>
        <w:t>室（206）</w:t>
      </w:r>
      <w:r>
        <w:rPr>
          <w:rFonts w:hint="eastAsia" w:ascii="仿宋" w:hAnsi="仿宋" w:eastAsia="仿宋"/>
          <w:color w:val="auto"/>
          <w:sz w:val="28"/>
          <w:szCs w:val="28"/>
        </w:rPr>
        <w:t>。</w:t>
      </w:r>
    </w:p>
    <w:p w14:paraId="37E648B4">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ascii="仿宋" w:hAnsi="仿宋" w:eastAsia="仿宋" w:cs="宋体"/>
          <w:color w:val="auto"/>
          <w:kern w:val="0"/>
          <w:sz w:val="28"/>
          <w:szCs w:val="28"/>
          <w:lang w:val="zh-CN"/>
        </w:rPr>
      </w:pPr>
      <w:r>
        <w:rPr>
          <w:rFonts w:hint="eastAsia" w:ascii="黑体" w:hAnsi="黑体" w:eastAsia="黑体" w:cs="宋体"/>
          <w:color w:val="auto"/>
          <w:kern w:val="0"/>
          <w:sz w:val="28"/>
          <w:szCs w:val="28"/>
        </w:rPr>
        <w:t>六、</w:t>
      </w:r>
      <w:r>
        <w:rPr>
          <w:rFonts w:hint="eastAsia" w:ascii="黑体" w:hAnsi="黑体" w:eastAsia="黑体" w:cs="宋体"/>
          <w:color w:val="auto"/>
          <w:kern w:val="0"/>
          <w:sz w:val="28"/>
          <w:szCs w:val="28"/>
          <w:lang w:val="en-US" w:eastAsia="zh-CN"/>
        </w:rPr>
        <w:t>接受异议的联系人及</w:t>
      </w:r>
      <w:r>
        <w:rPr>
          <w:rFonts w:hint="eastAsia" w:ascii="黑体" w:hAnsi="黑体" w:eastAsia="黑体" w:cs="宋体"/>
          <w:color w:val="auto"/>
          <w:kern w:val="0"/>
          <w:sz w:val="28"/>
          <w:szCs w:val="28"/>
        </w:rPr>
        <w:t>联系方式：</w:t>
      </w:r>
      <w:r>
        <w:rPr>
          <w:rFonts w:ascii="黑体" w:hAnsi="黑体" w:eastAsia="黑体" w:cs="宋体"/>
          <w:color w:val="auto"/>
          <w:kern w:val="0"/>
          <w:sz w:val="28"/>
          <w:szCs w:val="28"/>
        </w:rPr>
        <w:tab/>
      </w:r>
    </w:p>
    <w:p w14:paraId="4C21F128">
      <w:pPr>
        <w:keepNext w:val="0"/>
        <w:keepLines w:val="0"/>
        <w:pageBreakBefore w:val="0"/>
        <w:widowControl/>
        <w:kinsoku/>
        <w:wordWrap/>
        <w:overflowPunct/>
        <w:topLinePunct w:val="0"/>
        <w:autoSpaceDE/>
        <w:autoSpaceDN/>
        <w:bidi w:val="0"/>
        <w:adjustRightInd w:val="0"/>
        <w:snapToGrid w:val="0"/>
        <w:spacing w:line="420" w:lineRule="auto"/>
        <w:ind w:firstLine="780" w:firstLineChars="300"/>
        <w:jc w:val="left"/>
        <w:textAlignment w:val="auto"/>
        <w:rPr>
          <w:rFonts w:hint="eastAsia" w:ascii="仿宋" w:hAnsi="仿宋" w:eastAsia="仿宋" w:cs="宋体"/>
          <w:bCs/>
          <w:color w:val="auto"/>
          <w:spacing w:val="-10"/>
          <w:kern w:val="0"/>
          <w:sz w:val="28"/>
          <w:szCs w:val="28"/>
          <w:lang w:val="en-US" w:eastAsia="zh-CN"/>
        </w:rPr>
      </w:pPr>
      <w:r>
        <w:rPr>
          <w:rFonts w:hint="eastAsia" w:ascii="仿宋" w:hAnsi="仿宋" w:eastAsia="仿宋" w:cs="宋体"/>
          <w:bCs/>
          <w:color w:val="auto"/>
          <w:spacing w:val="-10"/>
          <w:kern w:val="0"/>
          <w:sz w:val="28"/>
          <w:szCs w:val="28"/>
          <w:lang w:val="en-US" w:eastAsia="zh-CN"/>
        </w:rPr>
        <w:t>1.招标人：菏泽国安文化旅游有限公司</w:t>
      </w:r>
    </w:p>
    <w:p w14:paraId="3543986A">
      <w:pPr>
        <w:keepNext w:val="0"/>
        <w:keepLines w:val="0"/>
        <w:pageBreakBefore w:val="0"/>
        <w:widowControl/>
        <w:kinsoku/>
        <w:wordWrap/>
        <w:overflowPunct/>
        <w:topLinePunct w:val="0"/>
        <w:autoSpaceDE/>
        <w:autoSpaceDN/>
        <w:bidi w:val="0"/>
        <w:adjustRightInd w:val="0"/>
        <w:snapToGrid w:val="0"/>
        <w:spacing w:line="420" w:lineRule="auto"/>
        <w:ind w:firstLine="780" w:firstLineChars="300"/>
        <w:jc w:val="left"/>
        <w:textAlignment w:val="auto"/>
        <w:rPr>
          <w:rFonts w:hint="eastAsia" w:ascii="仿宋" w:hAnsi="仿宋" w:eastAsia="仿宋" w:cs="宋体"/>
          <w:bCs/>
          <w:color w:val="auto"/>
          <w:spacing w:val="-10"/>
          <w:kern w:val="0"/>
          <w:sz w:val="28"/>
          <w:szCs w:val="28"/>
          <w:highlight w:val="none"/>
          <w:lang w:val="en-US" w:eastAsia="zh-CN"/>
        </w:rPr>
      </w:pPr>
      <w:r>
        <w:rPr>
          <w:rFonts w:hint="eastAsia" w:ascii="仿宋" w:hAnsi="仿宋" w:eastAsia="仿宋" w:cs="宋体"/>
          <w:bCs/>
          <w:color w:val="auto"/>
          <w:spacing w:val="-10"/>
          <w:kern w:val="0"/>
          <w:sz w:val="28"/>
          <w:szCs w:val="28"/>
          <w:lang w:val="en-US" w:eastAsia="zh-CN"/>
        </w:rPr>
        <w:t xml:space="preserve">地址： </w:t>
      </w:r>
      <w:r>
        <w:rPr>
          <w:rFonts w:hint="eastAsia" w:ascii="仿宋" w:hAnsi="仿宋" w:eastAsia="仿宋" w:cs="宋体"/>
          <w:bCs/>
          <w:color w:val="auto"/>
          <w:spacing w:val="-10"/>
          <w:kern w:val="0"/>
          <w:sz w:val="28"/>
          <w:szCs w:val="28"/>
          <w:highlight w:val="none"/>
          <w:lang w:val="en-US" w:eastAsia="zh-CN"/>
        </w:rPr>
        <w:t>菏泽市长城西路会盟台</w:t>
      </w:r>
    </w:p>
    <w:p w14:paraId="1CC3D9D4">
      <w:pPr>
        <w:keepNext w:val="0"/>
        <w:keepLines w:val="0"/>
        <w:pageBreakBefore w:val="0"/>
        <w:widowControl/>
        <w:kinsoku/>
        <w:wordWrap/>
        <w:overflowPunct/>
        <w:topLinePunct w:val="0"/>
        <w:autoSpaceDE/>
        <w:autoSpaceDN/>
        <w:bidi w:val="0"/>
        <w:adjustRightInd w:val="0"/>
        <w:snapToGrid w:val="0"/>
        <w:spacing w:line="420" w:lineRule="auto"/>
        <w:ind w:firstLine="780" w:firstLineChars="300"/>
        <w:jc w:val="left"/>
        <w:textAlignment w:val="auto"/>
        <w:rPr>
          <w:rFonts w:hint="eastAsia" w:ascii="仿宋" w:hAnsi="仿宋" w:eastAsia="仿宋" w:cs="宋体"/>
          <w:bCs/>
          <w:color w:val="auto"/>
          <w:spacing w:val="-10"/>
          <w:kern w:val="0"/>
          <w:sz w:val="28"/>
          <w:szCs w:val="28"/>
          <w:lang w:val="en-US" w:eastAsia="zh-CN"/>
        </w:rPr>
      </w:pPr>
      <w:r>
        <w:rPr>
          <w:rFonts w:hint="eastAsia" w:ascii="仿宋" w:hAnsi="仿宋" w:eastAsia="仿宋" w:cs="宋体"/>
          <w:bCs/>
          <w:color w:val="auto"/>
          <w:spacing w:val="-10"/>
          <w:kern w:val="0"/>
          <w:sz w:val="28"/>
          <w:szCs w:val="28"/>
          <w:lang w:val="en-US" w:eastAsia="zh-CN"/>
        </w:rPr>
        <w:t xml:space="preserve">联系人：冯先生         </w:t>
      </w:r>
    </w:p>
    <w:p w14:paraId="3FB321CB">
      <w:pPr>
        <w:keepNext w:val="0"/>
        <w:keepLines w:val="0"/>
        <w:pageBreakBefore w:val="0"/>
        <w:widowControl/>
        <w:kinsoku/>
        <w:wordWrap/>
        <w:overflowPunct/>
        <w:topLinePunct w:val="0"/>
        <w:autoSpaceDE/>
        <w:autoSpaceDN/>
        <w:bidi w:val="0"/>
        <w:adjustRightInd w:val="0"/>
        <w:snapToGrid w:val="0"/>
        <w:spacing w:line="420" w:lineRule="auto"/>
        <w:ind w:firstLine="780" w:firstLineChars="300"/>
        <w:jc w:val="left"/>
        <w:textAlignment w:val="auto"/>
        <w:rPr>
          <w:rFonts w:hint="eastAsia" w:ascii="仿宋" w:hAnsi="仿宋" w:eastAsia="仿宋" w:cs="宋体"/>
          <w:bCs/>
          <w:color w:val="auto"/>
          <w:spacing w:val="-10"/>
          <w:kern w:val="0"/>
          <w:sz w:val="28"/>
          <w:szCs w:val="28"/>
          <w:lang w:val="en-US" w:eastAsia="zh-CN"/>
        </w:rPr>
      </w:pPr>
      <w:r>
        <w:rPr>
          <w:rFonts w:hint="eastAsia" w:ascii="仿宋" w:hAnsi="仿宋" w:eastAsia="仿宋" w:cs="宋体"/>
          <w:bCs/>
          <w:color w:val="auto"/>
          <w:spacing w:val="-10"/>
          <w:kern w:val="0"/>
          <w:sz w:val="28"/>
          <w:szCs w:val="28"/>
          <w:lang w:val="en-US" w:eastAsia="zh-CN"/>
        </w:rPr>
        <w:t>电  话：0530-3186660</w:t>
      </w:r>
    </w:p>
    <w:p w14:paraId="20545A8F">
      <w:pPr>
        <w:keepNext w:val="0"/>
        <w:keepLines w:val="0"/>
        <w:pageBreakBefore w:val="0"/>
        <w:widowControl/>
        <w:kinsoku/>
        <w:wordWrap/>
        <w:overflowPunct/>
        <w:topLinePunct w:val="0"/>
        <w:autoSpaceDE/>
        <w:autoSpaceDN/>
        <w:bidi w:val="0"/>
        <w:adjustRightInd w:val="0"/>
        <w:snapToGrid w:val="0"/>
        <w:spacing w:line="420" w:lineRule="auto"/>
        <w:ind w:firstLine="780" w:firstLineChars="300"/>
        <w:jc w:val="left"/>
        <w:textAlignment w:val="auto"/>
        <w:rPr>
          <w:rFonts w:hint="eastAsia" w:ascii="仿宋" w:hAnsi="仿宋" w:eastAsia="仿宋" w:cs="宋体"/>
          <w:bCs/>
          <w:color w:val="auto"/>
          <w:spacing w:val="-10"/>
          <w:kern w:val="0"/>
          <w:sz w:val="28"/>
          <w:szCs w:val="28"/>
          <w:lang w:val="en-US" w:eastAsia="zh-CN"/>
        </w:rPr>
      </w:pPr>
      <w:r>
        <w:rPr>
          <w:rFonts w:hint="eastAsia" w:ascii="仿宋" w:hAnsi="仿宋" w:eastAsia="仿宋" w:cs="宋体"/>
          <w:bCs/>
          <w:color w:val="auto"/>
          <w:spacing w:val="-10"/>
          <w:kern w:val="0"/>
          <w:sz w:val="28"/>
          <w:szCs w:val="28"/>
          <w:lang w:val="en-US" w:eastAsia="zh-CN"/>
        </w:rPr>
        <w:t>2.代理机构：法正项目管理集团有限公司</w:t>
      </w:r>
    </w:p>
    <w:p w14:paraId="7559F591">
      <w:pPr>
        <w:keepNext w:val="0"/>
        <w:keepLines w:val="0"/>
        <w:pageBreakBefore w:val="0"/>
        <w:widowControl/>
        <w:kinsoku/>
        <w:wordWrap/>
        <w:overflowPunct/>
        <w:topLinePunct w:val="0"/>
        <w:autoSpaceDE/>
        <w:autoSpaceDN/>
        <w:bidi w:val="0"/>
        <w:adjustRightInd w:val="0"/>
        <w:snapToGrid w:val="0"/>
        <w:spacing w:line="420" w:lineRule="auto"/>
        <w:ind w:firstLine="780" w:firstLineChars="300"/>
        <w:jc w:val="left"/>
        <w:textAlignment w:val="auto"/>
        <w:rPr>
          <w:rFonts w:hint="eastAsia" w:ascii="仿宋" w:hAnsi="仿宋" w:eastAsia="仿宋" w:cs="宋体"/>
          <w:bCs/>
          <w:color w:val="auto"/>
          <w:spacing w:val="-10"/>
          <w:kern w:val="0"/>
          <w:sz w:val="28"/>
          <w:szCs w:val="28"/>
          <w:lang w:val="en-US" w:eastAsia="zh-CN"/>
        </w:rPr>
      </w:pPr>
      <w:r>
        <w:rPr>
          <w:rFonts w:hint="eastAsia" w:ascii="仿宋" w:hAnsi="仿宋" w:eastAsia="仿宋" w:cs="宋体"/>
          <w:bCs/>
          <w:color w:val="auto"/>
          <w:spacing w:val="-10"/>
          <w:kern w:val="0"/>
          <w:sz w:val="28"/>
          <w:szCs w:val="28"/>
          <w:lang w:val="en-US" w:eastAsia="zh-CN"/>
        </w:rPr>
        <w:t>地    址：菏泽市人民路数码大厦A座五楼</w:t>
      </w:r>
    </w:p>
    <w:p w14:paraId="4173F47E">
      <w:pPr>
        <w:keepNext w:val="0"/>
        <w:keepLines w:val="0"/>
        <w:pageBreakBefore w:val="0"/>
        <w:widowControl/>
        <w:kinsoku/>
        <w:wordWrap/>
        <w:overflowPunct/>
        <w:topLinePunct w:val="0"/>
        <w:autoSpaceDE/>
        <w:autoSpaceDN/>
        <w:bidi w:val="0"/>
        <w:adjustRightInd w:val="0"/>
        <w:snapToGrid w:val="0"/>
        <w:spacing w:line="420" w:lineRule="auto"/>
        <w:ind w:firstLine="780" w:firstLineChars="300"/>
        <w:jc w:val="left"/>
        <w:textAlignment w:val="auto"/>
        <w:rPr>
          <w:rFonts w:hint="eastAsia" w:ascii="仿宋" w:hAnsi="仿宋" w:eastAsia="仿宋" w:cs="宋体"/>
          <w:bCs/>
          <w:color w:val="auto"/>
          <w:spacing w:val="-10"/>
          <w:kern w:val="0"/>
          <w:sz w:val="28"/>
          <w:szCs w:val="28"/>
          <w:lang w:val="en-US" w:eastAsia="zh-CN"/>
        </w:rPr>
      </w:pPr>
      <w:r>
        <w:rPr>
          <w:rFonts w:hint="eastAsia" w:ascii="仿宋" w:hAnsi="仿宋" w:eastAsia="仿宋" w:cs="宋体"/>
          <w:bCs/>
          <w:color w:val="auto"/>
          <w:spacing w:val="-10"/>
          <w:kern w:val="0"/>
          <w:sz w:val="28"/>
          <w:szCs w:val="28"/>
          <w:lang w:val="en-US" w:eastAsia="zh-CN"/>
        </w:rPr>
        <w:t xml:space="preserve">联 系 人：赵女士    </w:t>
      </w:r>
    </w:p>
    <w:p w14:paraId="4A1D5EA6">
      <w:pPr>
        <w:keepNext w:val="0"/>
        <w:keepLines w:val="0"/>
        <w:pageBreakBefore w:val="0"/>
        <w:widowControl/>
        <w:kinsoku/>
        <w:wordWrap/>
        <w:overflowPunct/>
        <w:topLinePunct w:val="0"/>
        <w:autoSpaceDE/>
        <w:autoSpaceDN/>
        <w:bidi w:val="0"/>
        <w:adjustRightInd w:val="0"/>
        <w:snapToGrid w:val="0"/>
        <w:spacing w:line="420" w:lineRule="auto"/>
        <w:ind w:firstLine="780" w:firstLineChars="300"/>
        <w:jc w:val="left"/>
        <w:textAlignment w:val="auto"/>
        <w:rPr>
          <w:rFonts w:hint="eastAsia" w:ascii="仿宋" w:hAnsi="仿宋" w:eastAsia="仿宋" w:cs="宋体"/>
          <w:color w:val="auto"/>
          <w:kern w:val="0"/>
          <w:sz w:val="28"/>
          <w:szCs w:val="28"/>
          <w:u w:val="single"/>
          <w:lang w:val="en-US" w:eastAsia="zh-CN"/>
        </w:rPr>
      </w:pPr>
      <w:r>
        <w:rPr>
          <w:rFonts w:hint="eastAsia" w:ascii="仿宋" w:hAnsi="仿宋" w:eastAsia="仿宋" w:cs="宋体"/>
          <w:bCs/>
          <w:color w:val="auto"/>
          <w:spacing w:val="-10"/>
          <w:kern w:val="0"/>
          <w:sz w:val="28"/>
          <w:szCs w:val="28"/>
          <w:lang w:val="en-US" w:eastAsia="zh-CN"/>
        </w:rPr>
        <w:t xml:space="preserve">联系方式：15865144686  </w:t>
      </w:r>
    </w:p>
    <w:p w14:paraId="79010500">
      <w:pPr>
        <w:keepNext w:val="0"/>
        <w:keepLines w:val="0"/>
        <w:pageBreakBefore w:val="0"/>
        <w:widowControl/>
        <w:kinsoku/>
        <w:wordWrap/>
        <w:overflowPunct/>
        <w:topLinePunct w:val="0"/>
        <w:autoSpaceDE/>
        <w:autoSpaceDN/>
        <w:bidi w:val="0"/>
        <w:adjustRightInd w:val="0"/>
        <w:snapToGrid w:val="0"/>
        <w:spacing w:line="420" w:lineRule="auto"/>
        <w:jc w:val="left"/>
        <w:textAlignment w:val="auto"/>
        <w:rPr>
          <w:rFonts w:ascii="仿宋" w:hAnsi="仿宋" w:eastAsia="仿宋" w:cs="宋体"/>
          <w:color w:val="auto"/>
          <w:kern w:val="0"/>
          <w:sz w:val="28"/>
          <w:szCs w:val="28"/>
          <w:u w:val="single"/>
          <w:lang w:val="zh-CN"/>
        </w:rPr>
      </w:pPr>
      <w:r>
        <w:rPr>
          <w:rFonts w:hint="eastAsia" w:ascii="黑体" w:hAnsi="黑体" w:eastAsia="黑体" w:cs="宋体"/>
          <w:color w:val="auto"/>
          <w:kern w:val="0"/>
          <w:sz w:val="28"/>
          <w:szCs w:val="28"/>
        </w:rPr>
        <w:t>七、发布公告媒介:</w:t>
      </w:r>
    </w:p>
    <w:p w14:paraId="11BAE1E9">
      <w:pPr>
        <w:keepNext w:val="0"/>
        <w:keepLines w:val="0"/>
        <w:pageBreakBefore w:val="0"/>
        <w:kinsoku/>
        <w:wordWrap/>
        <w:overflowPunct/>
        <w:topLinePunct w:val="0"/>
        <w:autoSpaceDE/>
        <w:autoSpaceDN/>
        <w:bidi w:val="0"/>
        <w:adjustRightInd w:val="0"/>
        <w:snapToGrid w:val="0"/>
        <w:spacing w:line="420" w:lineRule="auto"/>
        <w:ind w:firstLine="560" w:firstLineChars="200"/>
        <w:textAlignment w:val="auto"/>
        <w:rPr>
          <w:rFonts w:ascii="仿宋" w:hAnsi="仿宋" w:eastAsia="仿宋" w:cs="宋体"/>
          <w:color w:val="auto"/>
          <w:kern w:val="0"/>
          <w:sz w:val="28"/>
          <w:szCs w:val="28"/>
        </w:rPr>
      </w:pPr>
      <w:r>
        <w:rPr>
          <w:rFonts w:hint="eastAsia" w:ascii="仿宋" w:hAnsi="仿宋" w:eastAsia="仿宋"/>
          <w:color w:val="auto"/>
          <w:sz w:val="28"/>
          <w:szCs w:val="28"/>
        </w:rPr>
        <w:t>本次招标公告在</w:t>
      </w:r>
      <w:r>
        <w:rPr>
          <w:rFonts w:hint="eastAsia" w:ascii="仿宋" w:hAnsi="仿宋" w:eastAsia="仿宋" w:cs="宋体"/>
          <w:bCs/>
          <w:color w:val="auto"/>
          <w:spacing w:val="-10"/>
          <w:kern w:val="0"/>
          <w:sz w:val="28"/>
          <w:szCs w:val="28"/>
        </w:rPr>
        <w:t>中国招标投标公共服务平台、菏泽市牡丹区人民政府网</w:t>
      </w:r>
      <w:r>
        <w:rPr>
          <w:rFonts w:hint="eastAsia" w:ascii="仿宋" w:hAnsi="仿宋" w:eastAsia="仿宋" w:cs="宋体"/>
          <w:bCs/>
          <w:color w:val="auto"/>
          <w:spacing w:val="-10"/>
          <w:kern w:val="0"/>
          <w:sz w:val="28"/>
          <w:szCs w:val="28"/>
          <w:lang w:eastAsia="zh-CN"/>
        </w:rPr>
        <w:t>、</w:t>
      </w:r>
      <w:r>
        <w:rPr>
          <w:rFonts w:hint="eastAsia" w:ascii="仿宋" w:hAnsi="仿宋" w:eastAsia="仿宋" w:cs="宋体"/>
          <w:bCs/>
          <w:color w:val="auto"/>
          <w:spacing w:val="-10"/>
          <w:kern w:val="0"/>
          <w:sz w:val="28"/>
          <w:szCs w:val="28"/>
        </w:rPr>
        <w:t>菏泽</w:t>
      </w:r>
      <w:r>
        <w:rPr>
          <w:rFonts w:hint="eastAsia" w:ascii="仿宋" w:hAnsi="仿宋" w:eastAsia="仿宋" w:cs="宋体"/>
          <w:color w:val="auto"/>
          <w:kern w:val="0"/>
          <w:sz w:val="28"/>
          <w:szCs w:val="28"/>
        </w:rPr>
        <w:t>市公共资源交易网</w:t>
      </w:r>
      <w:r>
        <w:rPr>
          <w:rFonts w:hint="eastAsia" w:ascii="仿宋" w:hAnsi="仿宋" w:eastAsia="仿宋" w:cs="宋体"/>
          <w:color w:val="auto"/>
          <w:kern w:val="0"/>
          <w:sz w:val="28"/>
          <w:szCs w:val="28"/>
          <w:lang w:val="en-US" w:eastAsia="zh-CN"/>
        </w:rPr>
        <w:t>和山东省公共资源交易中心网</w:t>
      </w:r>
      <w:r>
        <w:rPr>
          <w:rFonts w:hint="eastAsia" w:ascii="仿宋" w:hAnsi="仿宋" w:eastAsia="仿宋" w:cs="宋体"/>
          <w:color w:val="auto"/>
          <w:kern w:val="0"/>
          <w:sz w:val="28"/>
          <w:szCs w:val="28"/>
        </w:rPr>
        <w:t>同时发布。</w:t>
      </w:r>
    </w:p>
    <w:p w14:paraId="132A7D68">
      <w:pPr>
        <w:keepNext w:val="0"/>
        <w:keepLines w:val="0"/>
        <w:pageBreakBefore w:val="0"/>
        <w:kinsoku/>
        <w:wordWrap/>
        <w:overflowPunct/>
        <w:topLinePunct w:val="0"/>
        <w:autoSpaceDE/>
        <w:autoSpaceDN/>
        <w:bidi w:val="0"/>
        <w:adjustRightInd w:val="0"/>
        <w:snapToGrid w:val="0"/>
        <w:spacing w:line="420" w:lineRule="auto"/>
        <w:textAlignment w:val="auto"/>
        <w:rPr>
          <w:rFonts w:ascii="黑体" w:hAnsi="黑体" w:eastAsia="黑体" w:cs="宋体"/>
          <w:b/>
          <w:color w:val="auto"/>
          <w:kern w:val="0"/>
          <w:sz w:val="28"/>
          <w:szCs w:val="28"/>
        </w:rPr>
      </w:pPr>
      <w:r>
        <w:rPr>
          <w:rFonts w:hint="eastAsia" w:ascii="黑体" w:hAnsi="黑体" w:eastAsia="黑体" w:cs="宋体"/>
          <w:color w:val="auto"/>
          <w:kern w:val="0"/>
          <w:sz w:val="28"/>
          <w:szCs w:val="28"/>
        </w:rPr>
        <w:t>八、重要说明</w:t>
      </w:r>
      <w:r>
        <w:rPr>
          <w:rFonts w:hint="eastAsia" w:ascii="黑体" w:hAnsi="黑体" w:eastAsia="黑体" w:cs="宋体"/>
          <w:b/>
          <w:color w:val="auto"/>
          <w:kern w:val="0"/>
          <w:sz w:val="28"/>
          <w:szCs w:val="28"/>
        </w:rPr>
        <w:t>：</w:t>
      </w:r>
    </w:p>
    <w:p w14:paraId="6E2ECAB7">
      <w:pPr>
        <w:keepNext w:val="0"/>
        <w:keepLines w:val="0"/>
        <w:pageBreakBefore w:val="0"/>
        <w:kinsoku/>
        <w:wordWrap/>
        <w:overflowPunct/>
        <w:topLinePunct w:val="0"/>
        <w:autoSpaceDE/>
        <w:autoSpaceDN/>
        <w:bidi w:val="0"/>
        <w:spacing w:line="420" w:lineRule="auto"/>
        <w:ind w:firstLine="560" w:firstLineChars="200"/>
        <w:textAlignment w:val="auto"/>
        <w:rPr>
          <w:rFonts w:eastAsia="仿宋"/>
          <w:color w:val="auto"/>
          <w:sz w:val="28"/>
        </w:rPr>
      </w:pPr>
      <w:r>
        <w:rPr>
          <w:rFonts w:hint="eastAsia" w:eastAsia="仿宋"/>
          <w:color w:val="auto"/>
          <w:sz w:val="28"/>
          <w:lang w:val="en-US" w:eastAsia="zh-CN"/>
        </w:rPr>
        <w:t>1</w:t>
      </w:r>
      <w:r>
        <w:rPr>
          <w:rFonts w:hint="eastAsia" w:eastAsia="仿宋"/>
          <w:color w:val="auto"/>
          <w:sz w:val="28"/>
        </w:rPr>
        <w:t>、本项目实行电子招投标。投标人须按中心网站“</w:t>
      </w:r>
      <w:r>
        <w:rPr>
          <w:rFonts w:hint="eastAsia" w:eastAsia="仿宋"/>
          <w:color w:val="auto"/>
          <w:sz w:val="28"/>
          <w:lang w:val="en-US" w:eastAsia="zh-CN"/>
        </w:rPr>
        <w:t>首页</w:t>
      </w:r>
      <w:r>
        <w:rPr>
          <w:rFonts w:hint="eastAsia" w:eastAsia="仿宋"/>
          <w:color w:val="auto"/>
          <w:sz w:val="28"/>
        </w:rPr>
        <w:t>→</w:t>
      </w:r>
      <w:r>
        <w:rPr>
          <w:rFonts w:hint="eastAsia" w:eastAsia="仿宋"/>
          <w:color w:val="auto"/>
          <w:sz w:val="28"/>
          <w:lang w:val="en-US" w:eastAsia="zh-CN"/>
        </w:rPr>
        <w:t>国企采购平台</w:t>
      </w:r>
      <w:r>
        <w:rPr>
          <w:rFonts w:hint="eastAsia" w:eastAsia="仿宋"/>
          <w:color w:val="auto"/>
          <w:sz w:val="28"/>
        </w:rPr>
        <w:t>”栏目《</w:t>
      </w:r>
      <w:r>
        <w:rPr>
          <w:rFonts w:hint="eastAsia" w:eastAsia="仿宋"/>
          <w:color w:val="auto"/>
          <w:sz w:val="28"/>
          <w:lang w:val="en-US" w:eastAsia="zh-CN"/>
        </w:rPr>
        <w:t>使用说明</w:t>
      </w:r>
      <w:r>
        <w:rPr>
          <w:rFonts w:hint="eastAsia" w:eastAsia="仿宋"/>
          <w:color w:val="auto"/>
          <w:sz w:val="28"/>
        </w:rPr>
        <w:t>》办理数字证书(C</w:t>
      </w:r>
      <w:r>
        <w:rPr>
          <w:rFonts w:hint="eastAsia" w:eastAsia="仿宋"/>
          <w:color w:val="auto"/>
          <w:sz w:val="28"/>
          <w:lang w:val="en-US" w:eastAsia="zh-CN"/>
        </w:rPr>
        <w:t>FC</w:t>
      </w:r>
      <w:r>
        <w:rPr>
          <w:rFonts w:hint="eastAsia" w:eastAsia="仿宋"/>
          <w:color w:val="auto"/>
          <w:sz w:val="28"/>
        </w:rPr>
        <w:t>A</w:t>
      </w:r>
      <w:r>
        <w:rPr>
          <w:rFonts w:hint="eastAsia" w:eastAsia="仿宋"/>
          <w:color w:val="auto"/>
          <w:sz w:val="28"/>
          <w:lang w:val="en-US" w:eastAsia="zh-CN"/>
        </w:rPr>
        <w:t>办理申请表</w:t>
      </w:r>
      <w:r>
        <w:rPr>
          <w:rFonts w:hint="eastAsia" w:eastAsia="仿宋"/>
          <w:color w:val="auto"/>
          <w:sz w:val="28"/>
        </w:rPr>
        <w:t>)，方可制作、上传电子投标文件，CA锁办理电话：</w:t>
      </w:r>
      <w:r>
        <w:rPr>
          <w:rFonts w:hint="eastAsia" w:eastAsia="仿宋"/>
          <w:color w:val="auto"/>
          <w:sz w:val="28"/>
          <w:lang w:val="en-US" w:eastAsia="zh-CN"/>
        </w:rPr>
        <w:t>15020110313</w:t>
      </w:r>
      <w:r>
        <w:rPr>
          <w:rFonts w:hint="eastAsia" w:eastAsia="仿宋"/>
          <w:color w:val="auto"/>
          <w:sz w:val="28"/>
        </w:rPr>
        <w:t>。</w:t>
      </w:r>
    </w:p>
    <w:p w14:paraId="12F89BA1">
      <w:pPr>
        <w:keepNext w:val="0"/>
        <w:keepLines w:val="0"/>
        <w:pageBreakBefore w:val="0"/>
        <w:kinsoku/>
        <w:wordWrap/>
        <w:overflowPunct/>
        <w:topLinePunct w:val="0"/>
        <w:autoSpaceDE/>
        <w:autoSpaceDN/>
        <w:bidi w:val="0"/>
        <w:spacing w:line="420" w:lineRule="auto"/>
        <w:ind w:firstLine="560" w:firstLineChars="200"/>
        <w:textAlignment w:val="auto"/>
        <w:rPr>
          <w:rFonts w:eastAsia="仿宋"/>
          <w:color w:val="auto"/>
          <w:sz w:val="28"/>
        </w:rPr>
      </w:pPr>
      <w:r>
        <w:rPr>
          <w:rFonts w:hint="eastAsia" w:eastAsia="仿宋"/>
          <w:color w:val="auto"/>
          <w:sz w:val="28"/>
          <w:lang w:val="en-US" w:eastAsia="zh-CN"/>
        </w:rPr>
        <w:t>2</w:t>
      </w:r>
      <w:r>
        <w:rPr>
          <w:rFonts w:hint="eastAsia" w:eastAsia="仿宋"/>
          <w:color w:val="auto"/>
          <w:sz w:val="28"/>
        </w:rPr>
        <w:t>、招标文件一经在菏泽市公共资源交易</w:t>
      </w:r>
      <w:r>
        <w:rPr>
          <w:rFonts w:hint="eastAsia" w:eastAsia="仿宋"/>
          <w:color w:val="auto"/>
          <w:sz w:val="28"/>
          <w:lang w:val="en-US" w:eastAsia="zh-CN"/>
        </w:rPr>
        <w:t>平台</w:t>
      </w:r>
      <w:r>
        <w:rPr>
          <w:rFonts w:hint="eastAsia" w:eastAsia="仿宋"/>
          <w:color w:val="auto"/>
          <w:sz w:val="28"/>
        </w:rPr>
        <w:t>发布，视作已发放给所有投标人，各投标人应随时关注项目信息并及时登录菏泽市公共资源交易</w:t>
      </w:r>
      <w:r>
        <w:rPr>
          <w:rFonts w:hint="eastAsia" w:eastAsia="仿宋"/>
          <w:color w:val="auto"/>
          <w:sz w:val="28"/>
          <w:lang w:val="en-US" w:eastAsia="zh-CN"/>
        </w:rPr>
        <w:t>平台</w:t>
      </w:r>
      <w:r>
        <w:rPr>
          <w:rFonts w:hint="eastAsia" w:eastAsia="仿宋"/>
          <w:color w:val="auto"/>
          <w:sz w:val="28"/>
        </w:rPr>
        <w:t>下载电子招标文件和各类答疑澄清（如有答疑澄清文件发布，则最终稿的电子招标文件以“答疑澄清文件”中的为准），否则所造成的一切后果由投标人自负。</w:t>
      </w:r>
    </w:p>
    <w:p w14:paraId="324A2694">
      <w:pPr>
        <w:keepNext w:val="0"/>
        <w:keepLines w:val="0"/>
        <w:pageBreakBefore w:val="0"/>
        <w:kinsoku/>
        <w:wordWrap/>
        <w:overflowPunct/>
        <w:topLinePunct w:val="0"/>
        <w:autoSpaceDE/>
        <w:autoSpaceDN/>
        <w:bidi w:val="0"/>
        <w:spacing w:line="420" w:lineRule="auto"/>
        <w:ind w:firstLine="560" w:firstLineChars="200"/>
        <w:textAlignment w:val="auto"/>
        <w:rPr>
          <w:rFonts w:eastAsia="仿宋"/>
          <w:color w:val="auto"/>
          <w:sz w:val="28"/>
        </w:rPr>
      </w:pPr>
      <w:r>
        <w:rPr>
          <w:rFonts w:hint="eastAsia" w:eastAsia="仿宋"/>
          <w:color w:val="auto"/>
          <w:sz w:val="28"/>
          <w:lang w:val="en-US" w:eastAsia="zh-CN"/>
        </w:rPr>
        <w:t>3</w:t>
      </w:r>
      <w:r>
        <w:rPr>
          <w:rFonts w:hint="eastAsia" w:eastAsia="仿宋"/>
          <w:color w:val="auto"/>
          <w:sz w:val="28"/>
        </w:rPr>
        <w:t>、投标人可通过</w:t>
      </w:r>
      <w:r>
        <w:rPr>
          <w:rFonts w:hint="eastAsia" w:eastAsia="仿宋"/>
          <w:color w:val="auto"/>
          <w:sz w:val="28"/>
          <w:lang w:val="en-US" w:eastAsia="zh-CN"/>
        </w:rPr>
        <w:t>操作手册</w:t>
      </w:r>
      <w:r>
        <w:rPr>
          <w:rFonts w:hint="eastAsia" w:eastAsia="仿宋"/>
          <w:color w:val="auto"/>
          <w:sz w:val="28"/>
        </w:rPr>
        <w:t>，详见中心网站“服务流程→</w:t>
      </w:r>
      <w:r>
        <w:rPr>
          <w:rFonts w:hint="eastAsia" w:eastAsia="仿宋"/>
          <w:color w:val="auto"/>
          <w:sz w:val="28"/>
          <w:lang w:val="en-US" w:eastAsia="zh-CN"/>
        </w:rPr>
        <w:t>国业采购</w:t>
      </w:r>
      <w:r>
        <w:rPr>
          <w:rFonts w:hint="eastAsia" w:eastAsia="仿宋"/>
          <w:color w:val="auto"/>
          <w:sz w:val="28"/>
        </w:rPr>
        <w:t>”栏目里</w:t>
      </w:r>
      <w:r>
        <w:rPr>
          <w:rFonts w:hint="eastAsia" w:eastAsia="仿宋"/>
          <w:color w:val="auto"/>
          <w:sz w:val="28"/>
          <w:lang w:eastAsia="zh-CN"/>
        </w:rPr>
        <w:t>《</w:t>
      </w:r>
      <w:r>
        <w:rPr>
          <w:rFonts w:hint="eastAsia" w:eastAsia="仿宋"/>
          <w:color w:val="auto"/>
          <w:sz w:val="28"/>
          <w:lang w:val="en-US" w:eastAsia="zh-CN"/>
        </w:rPr>
        <w:t>使用说明：投标人操作手册》</w:t>
      </w:r>
      <w:r>
        <w:rPr>
          <w:rFonts w:hint="eastAsia" w:eastAsia="仿宋"/>
          <w:color w:val="auto"/>
          <w:sz w:val="28"/>
        </w:rPr>
        <w:t xml:space="preserve">； </w:t>
      </w:r>
    </w:p>
    <w:p w14:paraId="330282CF">
      <w:pPr>
        <w:keepNext w:val="0"/>
        <w:keepLines w:val="0"/>
        <w:pageBreakBefore w:val="0"/>
        <w:kinsoku/>
        <w:wordWrap/>
        <w:overflowPunct/>
        <w:topLinePunct w:val="0"/>
        <w:autoSpaceDE/>
        <w:autoSpaceDN/>
        <w:bidi w:val="0"/>
        <w:spacing w:line="420" w:lineRule="auto"/>
        <w:ind w:firstLine="560" w:firstLineChars="200"/>
        <w:textAlignment w:val="auto"/>
        <w:rPr>
          <w:rFonts w:hint="eastAsia" w:eastAsia="仿宋" w:cs="Times New Roman"/>
          <w:color w:val="auto"/>
          <w:sz w:val="28"/>
        </w:rPr>
      </w:pPr>
      <w:r>
        <w:rPr>
          <w:rFonts w:hint="eastAsia" w:eastAsia="仿宋"/>
          <w:color w:val="auto"/>
          <w:sz w:val="28"/>
          <w:lang w:val="en-US" w:eastAsia="zh-CN"/>
        </w:rPr>
        <w:t>4</w:t>
      </w:r>
      <w:r>
        <w:rPr>
          <w:rFonts w:hint="eastAsia" w:eastAsia="仿宋"/>
          <w:color w:val="auto"/>
          <w:sz w:val="28"/>
        </w:rPr>
        <w:t>、本项目实行网上远程开标。请投标人按照招标文件规定的时间登录业务系统进</w:t>
      </w:r>
      <w:r>
        <w:rPr>
          <w:rFonts w:hint="eastAsia" w:eastAsia="仿宋" w:cs="Times New Roman"/>
          <w:color w:val="auto"/>
          <w:sz w:val="28"/>
        </w:rPr>
        <w:t>行电子投标文件</w:t>
      </w:r>
      <w:r>
        <w:rPr>
          <w:rFonts w:hint="eastAsia" w:eastAsia="仿宋" w:cs="Times New Roman"/>
          <w:color w:val="auto"/>
          <w:sz w:val="28"/>
          <w:lang w:val="en-US" w:eastAsia="zh-CN"/>
        </w:rPr>
        <w:t>签到并</w:t>
      </w:r>
      <w:r>
        <w:rPr>
          <w:rFonts w:hint="eastAsia" w:eastAsia="仿宋" w:cs="Times New Roman"/>
          <w:color w:val="auto"/>
          <w:sz w:val="28"/>
        </w:rPr>
        <w:t>解密，因投标人自身原因导致未在规定时间内解密或解密失败的，其投标被拒绝且投标文件被退回。</w:t>
      </w:r>
    </w:p>
    <w:p w14:paraId="2F855461">
      <w:pPr>
        <w:spacing w:line="420" w:lineRule="auto"/>
        <w:ind w:firstLine="560" w:firstLineChars="200"/>
        <w:jc w:val="right"/>
        <w:rPr>
          <w:rFonts w:hint="eastAsia" w:ascii="宋体" w:hAnsi="宋体" w:eastAsia="宋体" w:cs="宋体"/>
          <w:sz w:val="21"/>
          <w:szCs w:val="21"/>
          <w:highlight w:val="none"/>
        </w:rPr>
      </w:pPr>
      <w:r>
        <w:rPr>
          <w:rFonts w:hint="eastAsia" w:eastAsia="仿宋" w:cs="Times New Roman"/>
          <w:color w:val="auto"/>
          <w:sz w:val="28"/>
          <w:highlight w:val="none"/>
        </w:rPr>
        <w:t>发布时间 ：202</w:t>
      </w:r>
      <w:r>
        <w:rPr>
          <w:rFonts w:hint="eastAsia" w:eastAsia="仿宋" w:cs="Times New Roman"/>
          <w:color w:val="auto"/>
          <w:sz w:val="28"/>
          <w:highlight w:val="none"/>
          <w:lang w:val="en-US" w:eastAsia="zh-CN"/>
        </w:rPr>
        <w:t>5</w:t>
      </w:r>
      <w:r>
        <w:rPr>
          <w:rFonts w:hint="eastAsia" w:eastAsia="仿宋" w:cs="Times New Roman"/>
          <w:color w:val="auto"/>
          <w:sz w:val="28"/>
          <w:highlight w:val="none"/>
        </w:rPr>
        <w:t>年</w:t>
      </w:r>
      <w:r>
        <w:rPr>
          <w:rFonts w:hint="eastAsia" w:eastAsia="仿宋" w:cs="Times New Roman"/>
          <w:color w:val="auto"/>
          <w:sz w:val="28"/>
          <w:highlight w:val="none"/>
          <w:lang w:val="en-US" w:eastAsia="zh-CN"/>
        </w:rPr>
        <w:t>1</w:t>
      </w:r>
      <w:r>
        <w:rPr>
          <w:rFonts w:hint="eastAsia" w:eastAsia="仿宋" w:cs="Times New Roman"/>
          <w:color w:val="auto"/>
          <w:sz w:val="28"/>
          <w:highlight w:val="none"/>
        </w:rPr>
        <w:t>月</w:t>
      </w:r>
      <w:r>
        <w:rPr>
          <w:rFonts w:hint="eastAsia" w:eastAsia="仿宋" w:cs="Times New Roman"/>
          <w:color w:val="auto"/>
          <w:sz w:val="28"/>
          <w:highlight w:val="none"/>
          <w:lang w:val="en-US" w:eastAsia="zh-CN"/>
        </w:rPr>
        <w:t>22</w:t>
      </w:r>
      <w:r>
        <w:rPr>
          <w:rFonts w:hint="eastAsia" w:eastAsia="仿宋" w:cs="Times New Roman"/>
          <w:color w:val="auto"/>
          <w:sz w:val="28"/>
          <w:highlight w:val="none"/>
        </w:rPr>
        <w:t>日</w:t>
      </w:r>
    </w:p>
    <w:p w14:paraId="0A2B0559">
      <w:pPr>
        <w:jc w:val="right"/>
        <w:rPr>
          <w:color w:val="auto"/>
        </w:rPr>
      </w:pPr>
    </w:p>
    <w:p w14:paraId="7D977838">
      <w:pPr>
        <w:pStyle w:val="4"/>
        <w:spacing w:before="0" w:after="0" w:line="360" w:lineRule="auto"/>
        <w:jc w:val="center"/>
        <w:rPr>
          <w:color w:val="auto"/>
        </w:rPr>
      </w:pPr>
      <w:r>
        <w:rPr>
          <w:color w:val="auto"/>
        </w:rPr>
        <w:br w:type="page"/>
      </w:r>
      <w:bookmarkStart w:id="6" w:name="_Toc17697"/>
      <w:r>
        <w:rPr>
          <w:color w:val="auto"/>
        </w:rPr>
        <w:t>第二章</w:t>
      </w:r>
      <w:r>
        <w:rPr>
          <w:rFonts w:hint="eastAsia"/>
          <w:color w:val="auto"/>
        </w:rPr>
        <w:t xml:space="preserve"> </w:t>
      </w:r>
      <w:r>
        <w:rPr>
          <w:color w:val="auto"/>
        </w:rPr>
        <w:t>投标人须知</w:t>
      </w:r>
      <w:bookmarkEnd w:id="5"/>
      <w:bookmarkEnd w:id="6"/>
    </w:p>
    <w:p w14:paraId="5F98E145">
      <w:pPr>
        <w:pStyle w:val="2"/>
        <w:spacing w:before="0" w:after="0" w:line="240" w:lineRule="auto"/>
        <w:jc w:val="center"/>
        <w:rPr>
          <w:rFonts w:ascii="Times New Roman" w:hAnsi="Times New Roman"/>
          <w:color w:val="auto"/>
        </w:rPr>
      </w:pPr>
      <w:bookmarkStart w:id="7" w:name="_Toc534190076"/>
      <w:r>
        <w:rPr>
          <w:rFonts w:ascii="Times New Roman" w:hAnsi="Times New Roman"/>
          <w:color w:val="auto"/>
        </w:rPr>
        <w:t>投标人须知前附表</w:t>
      </w:r>
      <w:bookmarkEnd w:id="7"/>
    </w:p>
    <w:tbl>
      <w:tblPr>
        <w:tblStyle w:val="88"/>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234"/>
        <w:gridCol w:w="6777"/>
      </w:tblGrid>
      <w:tr w14:paraId="4726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blHeader/>
          <w:jc w:val="center"/>
        </w:trPr>
        <w:tc>
          <w:tcPr>
            <w:tcW w:w="1167" w:type="dxa"/>
            <w:tcBorders>
              <w:tl2br w:val="nil"/>
              <w:tr2bl w:val="nil"/>
            </w:tcBorders>
            <w:vAlign w:val="center"/>
          </w:tcPr>
          <w:p w14:paraId="5DA6BD5D">
            <w:pPr>
              <w:spacing w:line="50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条款号</w:t>
            </w:r>
          </w:p>
        </w:tc>
        <w:tc>
          <w:tcPr>
            <w:tcW w:w="2234" w:type="dxa"/>
            <w:tcBorders>
              <w:tl2br w:val="nil"/>
              <w:tr2bl w:val="nil"/>
            </w:tcBorders>
            <w:vAlign w:val="center"/>
          </w:tcPr>
          <w:p w14:paraId="48B3CE41">
            <w:pPr>
              <w:spacing w:line="50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条款名称</w:t>
            </w:r>
          </w:p>
        </w:tc>
        <w:tc>
          <w:tcPr>
            <w:tcW w:w="6777" w:type="dxa"/>
            <w:tcBorders>
              <w:tl2br w:val="nil"/>
              <w:tr2bl w:val="nil"/>
            </w:tcBorders>
            <w:vAlign w:val="center"/>
          </w:tcPr>
          <w:p w14:paraId="2FD23879">
            <w:pPr>
              <w:spacing w:line="500" w:lineRule="exact"/>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编列内容</w:t>
            </w:r>
          </w:p>
        </w:tc>
      </w:tr>
      <w:tr w14:paraId="770F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atLeast"/>
          <w:jc w:val="center"/>
        </w:trPr>
        <w:tc>
          <w:tcPr>
            <w:tcW w:w="1167" w:type="dxa"/>
            <w:tcBorders>
              <w:tl2br w:val="nil"/>
              <w:tr2bl w:val="nil"/>
            </w:tcBorders>
            <w:vAlign w:val="center"/>
          </w:tcPr>
          <w:p w14:paraId="671B58D7">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1.1.2</w:t>
            </w:r>
          </w:p>
        </w:tc>
        <w:tc>
          <w:tcPr>
            <w:tcW w:w="2234" w:type="dxa"/>
            <w:tcBorders>
              <w:tl2br w:val="nil"/>
              <w:tr2bl w:val="nil"/>
            </w:tcBorders>
            <w:vAlign w:val="center"/>
          </w:tcPr>
          <w:p w14:paraId="1DDCEC0F">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招标人</w:t>
            </w:r>
          </w:p>
        </w:tc>
        <w:tc>
          <w:tcPr>
            <w:tcW w:w="6777" w:type="dxa"/>
            <w:tcBorders>
              <w:tl2br w:val="nil"/>
              <w:tr2bl w:val="nil"/>
            </w:tcBorders>
            <w:vAlign w:val="center"/>
          </w:tcPr>
          <w:p w14:paraId="1A3520A7">
            <w:pPr>
              <w:spacing w:line="500" w:lineRule="exact"/>
              <w:rPr>
                <w:rFonts w:hint="eastAsia" w:eastAsia="宋体" w:asciiTheme="minorEastAsia" w:hAnsiTheme="minorEastAsia"/>
                <w:color w:val="auto"/>
                <w:szCs w:val="21"/>
                <w:lang w:eastAsia="zh-CN"/>
              </w:rPr>
            </w:pPr>
            <w:r>
              <w:rPr>
                <w:rFonts w:hint="eastAsia" w:eastAsia="宋体" w:asciiTheme="minorEastAsia" w:hAnsiTheme="minorEastAsia"/>
                <w:color w:val="auto"/>
                <w:szCs w:val="21"/>
                <w:lang w:eastAsia="zh-CN"/>
              </w:rPr>
              <w:t>招标人：菏泽国安文化旅游有限公司</w:t>
            </w:r>
          </w:p>
          <w:p w14:paraId="7CE2A165">
            <w:pPr>
              <w:spacing w:line="500" w:lineRule="exact"/>
              <w:rPr>
                <w:rFonts w:hint="eastAsia" w:eastAsia="宋体" w:asciiTheme="minorEastAsia" w:hAnsiTheme="minorEastAsia"/>
                <w:color w:val="auto"/>
                <w:szCs w:val="21"/>
                <w:lang w:eastAsia="zh-CN"/>
              </w:rPr>
            </w:pPr>
            <w:r>
              <w:rPr>
                <w:rFonts w:hint="eastAsia" w:eastAsia="宋体" w:asciiTheme="minorEastAsia" w:hAnsiTheme="minorEastAsia"/>
                <w:color w:val="auto"/>
                <w:szCs w:val="21"/>
                <w:lang w:eastAsia="zh-CN"/>
              </w:rPr>
              <w:t>地址： 菏泽市长城西路会盟台</w:t>
            </w:r>
          </w:p>
          <w:p w14:paraId="293E403D">
            <w:pPr>
              <w:spacing w:line="500" w:lineRule="exact"/>
              <w:rPr>
                <w:rFonts w:hint="eastAsia" w:eastAsia="宋体" w:asciiTheme="minorEastAsia" w:hAnsiTheme="minorEastAsia"/>
                <w:color w:val="auto"/>
                <w:szCs w:val="21"/>
                <w:lang w:eastAsia="zh-CN"/>
              </w:rPr>
            </w:pPr>
            <w:r>
              <w:rPr>
                <w:rFonts w:hint="eastAsia" w:eastAsia="宋体" w:asciiTheme="minorEastAsia" w:hAnsiTheme="minorEastAsia"/>
                <w:color w:val="auto"/>
                <w:szCs w:val="21"/>
                <w:lang w:eastAsia="zh-CN"/>
              </w:rPr>
              <w:t>联系人：</w:t>
            </w:r>
            <w:r>
              <w:rPr>
                <w:rFonts w:hint="eastAsia" w:eastAsia="宋体" w:asciiTheme="minorEastAsia" w:hAnsiTheme="minorEastAsia"/>
                <w:color w:val="auto"/>
                <w:szCs w:val="21"/>
                <w:lang w:val="en-US" w:eastAsia="zh-CN"/>
              </w:rPr>
              <w:t xml:space="preserve">冯先生   </w:t>
            </w:r>
          </w:p>
          <w:p w14:paraId="5DC843B4">
            <w:pPr>
              <w:spacing w:line="500" w:lineRule="exact"/>
              <w:rPr>
                <w:rFonts w:hint="eastAsia" w:eastAsia="宋体" w:asciiTheme="minorEastAsia" w:hAnsiTheme="minorEastAsia"/>
                <w:color w:val="auto"/>
                <w:szCs w:val="21"/>
                <w:lang w:eastAsia="zh-CN"/>
              </w:rPr>
            </w:pPr>
            <w:r>
              <w:rPr>
                <w:rFonts w:hint="eastAsia" w:eastAsia="宋体" w:asciiTheme="minorEastAsia" w:hAnsiTheme="minorEastAsia"/>
                <w:color w:val="auto"/>
                <w:szCs w:val="21"/>
                <w:lang w:eastAsia="zh-CN"/>
              </w:rPr>
              <w:t>电  话：</w:t>
            </w:r>
            <w:r>
              <w:rPr>
                <w:rFonts w:hint="eastAsia" w:eastAsia="宋体" w:asciiTheme="minorEastAsia" w:hAnsiTheme="minorEastAsia"/>
                <w:color w:val="auto"/>
                <w:szCs w:val="21"/>
                <w:lang w:val="en-US" w:eastAsia="zh-CN"/>
              </w:rPr>
              <w:t>0530-3186660</w:t>
            </w:r>
          </w:p>
        </w:tc>
      </w:tr>
      <w:tr w14:paraId="73DF9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1" w:hRule="atLeast"/>
          <w:jc w:val="center"/>
        </w:trPr>
        <w:tc>
          <w:tcPr>
            <w:tcW w:w="1167" w:type="dxa"/>
            <w:tcBorders>
              <w:tl2br w:val="nil"/>
              <w:tr2bl w:val="nil"/>
            </w:tcBorders>
            <w:vAlign w:val="center"/>
          </w:tcPr>
          <w:p w14:paraId="07279615">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1.1.3</w:t>
            </w:r>
          </w:p>
        </w:tc>
        <w:tc>
          <w:tcPr>
            <w:tcW w:w="2234" w:type="dxa"/>
            <w:tcBorders>
              <w:tl2br w:val="nil"/>
              <w:tr2bl w:val="nil"/>
            </w:tcBorders>
            <w:vAlign w:val="center"/>
          </w:tcPr>
          <w:p w14:paraId="0E72F7A5">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招标代理机构</w:t>
            </w:r>
          </w:p>
        </w:tc>
        <w:tc>
          <w:tcPr>
            <w:tcW w:w="6777" w:type="dxa"/>
            <w:tcBorders>
              <w:tl2br w:val="nil"/>
              <w:tr2bl w:val="nil"/>
            </w:tcBorders>
            <w:vAlign w:val="center"/>
          </w:tcPr>
          <w:p w14:paraId="4EF3894E">
            <w:pPr>
              <w:spacing w:line="5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招标代理机构：</w:t>
            </w:r>
            <w:r>
              <w:rPr>
                <w:rFonts w:hint="eastAsia" w:asciiTheme="minorEastAsia" w:hAnsiTheme="minorEastAsia" w:eastAsiaTheme="minorEastAsia"/>
                <w:bCs/>
                <w:color w:val="auto"/>
                <w:szCs w:val="21"/>
                <w:lang w:val="zh-CN"/>
              </w:rPr>
              <w:t>法正项目管理集团有限公司</w:t>
            </w:r>
          </w:p>
          <w:p w14:paraId="33F60FB9">
            <w:pPr>
              <w:spacing w:line="500" w:lineRule="exact"/>
              <w:rPr>
                <w:rFonts w:hint="eastAsia" w:asciiTheme="minorEastAsia" w:hAnsiTheme="minorEastAsia" w:eastAsiaTheme="minorEastAsia"/>
                <w:bCs/>
                <w:color w:val="auto"/>
                <w:szCs w:val="21"/>
              </w:rPr>
            </w:pPr>
            <w:r>
              <w:rPr>
                <w:rFonts w:hint="eastAsia" w:asciiTheme="minorEastAsia" w:hAnsiTheme="minorEastAsia" w:eastAsiaTheme="minorEastAsia"/>
                <w:bCs/>
                <w:color w:val="auto"/>
                <w:szCs w:val="21"/>
              </w:rPr>
              <w:t>地  址：菏泽市人民路数码大厦</w:t>
            </w:r>
            <w:r>
              <w:rPr>
                <w:rFonts w:hint="eastAsia" w:asciiTheme="minorEastAsia" w:hAnsiTheme="minorEastAsia" w:eastAsiaTheme="minorEastAsia"/>
                <w:bCs/>
                <w:color w:val="auto"/>
                <w:szCs w:val="21"/>
                <w:lang w:val="en-US" w:eastAsia="zh-CN"/>
              </w:rPr>
              <w:t>A座</w:t>
            </w:r>
          </w:p>
          <w:p w14:paraId="43D03462">
            <w:pPr>
              <w:spacing w:line="5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 xml:space="preserve">联系人：赵女士  </w:t>
            </w:r>
          </w:p>
          <w:p w14:paraId="5D9E30F8">
            <w:pPr>
              <w:spacing w:line="5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联系电话：</w:t>
            </w:r>
            <w:r>
              <w:rPr>
                <w:rFonts w:hint="eastAsia" w:asciiTheme="minorEastAsia" w:hAnsiTheme="minorEastAsia" w:eastAsiaTheme="minorEastAsia"/>
                <w:bCs/>
                <w:color w:val="auto"/>
                <w:szCs w:val="21"/>
                <w:lang w:eastAsia="zh-CN"/>
              </w:rPr>
              <w:t>15865144686</w:t>
            </w:r>
          </w:p>
        </w:tc>
      </w:tr>
      <w:tr w14:paraId="465D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67" w:type="dxa"/>
            <w:tcBorders>
              <w:tl2br w:val="nil"/>
              <w:tr2bl w:val="nil"/>
            </w:tcBorders>
            <w:vAlign w:val="center"/>
          </w:tcPr>
          <w:p w14:paraId="6C79748B">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1.1.4</w:t>
            </w:r>
          </w:p>
        </w:tc>
        <w:tc>
          <w:tcPr>
            <w:tcW w:w="2234" w:type="dxa"/>
            <w:tcBorders>
              <w:tl2br w:val="nil"/>
              <w:tr2bl w:val="nil"/>
            </w:tcBorders>
            <w:vAlign w:val="center"/>
          </w:tcPr>
          <w:p w14:paraId="48746E55">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项目名称</w:t>
            </w:r>
          </w:p>
        </w:tc>
        <w:tc>
          <w:tcPr>
            <w:tcW w:w="6777" w:type="dxa"/>
            <w:tcBorders>
              <w:tl2br w:val="nil"/>
              <w:tr2bl w:val="nil"/>
            </w:tcBorders>
            <w:vAlign w:val="center"/>
          </w:tcPr>
          <w:p w14:paraId="780D4C14">
            <w:pPr>
              <w:spacing w:line="500" w:lineRule="exact"/>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val="zh-CN" w:eastAsia="zh-CN"/>
              </w:rPr>
              <w:t>菏泽市农高区城乡冷链物流建设项目</w:t>
            </w:r>
          </w:p>
        </w:tc>
      </w:tr>
      <w:tr w14:paraId="21DF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167" w:type="dxa"/>
            <w:tcBorders>
              <w:tl2br w:val="nil"/>
              <w:tr2bl w:val="nil"/>
            </w:tcBorders>
            <w:vAlign w:val="center"/>
          </w:tcPr>
          <w:p w14:paraId="36C79805">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1.1.5</w:t>
            </w:r>
          </w:p>
        </w:tc>
        <w:tc>
          <w:tcPr>
            <w:tcW w:w="2234" w:type="dxa"/>
            <w:tcBorders>
              <w:tl2br w:val="nil"/>
              <w:tr2bl w:val="nil"/>
            </w:tcBorders>
            <w:vAlign w:val="center"/>
          </w:tcPr>
          <w:p w14:paraId="05AA2C6A">
            <w:pPr>
              <w:spacing w:line="500" w:lineRule="exact"/>
              <w:jc w:val="center"/>
              <w:rPr>
                <w:rFonts w:asciiTheme="minorEastAsia" w:hAnsiTheme="minorEastAsia" w:eastAsiaTheme="minorEastAsia"/>
                <w:color w:val="auto"/>
                <w:szCs w:val="21"/>
              </w:rPr>
            </w:pPr>
            <w:r>
              <w:rPr>
                <w:rFonts w:hint="eastAsia"/>
                <w:color w:val="auto"/>
                <w:szCs w:val="21"/>
              </w:rPr>
              <w:t>项目地点</w:t>
            </w:r>
          </w:p>
        </w:tc>
        <w:tc>
          <w:tcPr>
            <w:tcW w:w="6777" w:type="dxa"/>
            <w:tcBorders>
              <w:tl2br w:val="nil"/>
              <w:tr2bl w:val="nil"/>
            </w:tcBorders>
            <w:vAlign w:val="center"/>
          </w:tcPr>
          <w:p w14:paraId="41192730">
            <w:pPr>
              <w:spacing w:line="500" w:lineRule="exact"/>
              <w:rPr>
                <w:rFonts w:asciiTheme="minorEastAsia" w:hAnsiTheme="minorEastAsia"/>
                <w:color w:val="auto"/>
                <w:szCs w:val="21"/>
              </w:rPr>
            </w:pPr>
            <w:r>
              <w:rPr>
                <w:rFonts w:hint="eastAsia" w:asciiTheme="minorEastAsia" w:hAnsiTheme="minorEastAsia"/>
                <w:color w:val="auto"/>
                <w:szCs w:val="21"/>
                <w:lang w:val="zh-CN"/>
              </w:rPr>
              <w:t>菏泽市牡丹区黄堽镇昝庄路以南，临商路以西，规划路以东，国花交易中心以北</w:t>
            </w:r>
          </w:p>
        </w:tc>
      </w:tr>
      <w:tr w14:paraId="27EEF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167" w:type="dxa"/>
            <w:tcBorders>
              <w:tl2br w:val="nil"/>
              <w:tr2bl w:val="nil"/>
            </w:tcBorders>
            <w:vAlign w:val="center"/>
          </w:tcPr>
          <w:p w14:paraId="17B59627">
            <w:pPr>
              <w:autoSpaceDE w:val="0"/>
              <w:autoSpaceDN w:val="0"/>
              <w:spacing w:line="500" w:lineRule="exact"/>
              <w:jc w:val="center"/>
              <w:rPr>
                <w:rFonts w:ascii="宋体" w:hAnsi="宋体" w:cs="宋体"/>
                <w:color w:val="auto"/>
                <w:szCs w:val="21"/>
                <w:lang w:val="zh-CN" w:bidi="zh-CN"/>
              </w:rPr>
            </w:pPr>
            <w:r>
              <w:rPr>
                <w:rFonts w:hint="eastAsia" w:ascii="宋体" w:hAnsi="宋体" w:cs="宋体"/>
                <w:color w:val="auto"/>
                <w:szCs w:val="21"/>
                <w:lang w:val="zh-CN" w:bidi="zh-CN"/>
              </w:rPr>
              <w:t>1.1.6</w:t>
            </w:r>
          </w:p>
        </w:tc>
        <w:tc>
          <w:tcPr>
            <w:tcW w:w="2234" w:type="dxa"/>
            <w:tcBorders>
              <w:tl2br w:val="nil"/>
              <w:tr2bl w:val="nil"/>
            </w:tcBorders>
            <w:vAlign w:val="center"/>
          </w:tcPr>
          <w:p w14:paraId="29C2ECA6">
            <w:pPr>
              <w:autoSpaceDE w:val="0"/>
              <w:autoSpaceDN w:val="0"/>
              <w:spacing w:line="500" w:lineRule="exact"/>
              <w:jc w:val="center"/>
              <w:rPr>
                <w:rFonts w:ascii="宋体" w:hAnsi="宋体" w:cs="宋体"/>
                <w:color w:val="auto"/>
                <w:szCs w:val="21"/>
                <w:lang w:val="zh-CN" w:bidi="zh-CN"/>
              </w:rPr>
            </w:pPr>
            <w:r>
              <w:rPr>
                <w:rFonts w:hint="eastAsia" w:ascii="宋体" w:hAnsi="宋体" w:cs="宋体"/>
                <w:color w:val="auto"/>
                <w:szCs w:val="21"/>
                <w:lang w:val="zh-CN" w:bidi="zh-CN"/>
              </w:rPr>
              <w:t>项目规模及标段划分</w:t>
            </w:r>
          </w:p>
        </w:tc>
        <w:tc>
          <w:tcPr>
            <w:tcW w:w="6777" w:type="dxa"/>
            <w:tcBorders>
              <w:tl2br w:val="nil"/>
              <w:tr2bl w:val="nil"/>
            </w:tcBorders>
            <w:vAlign w:val="center"/>
          </w:tcPr>
          <w:p w14:paraId="0784F994">
            <w:pPr>
              <w:autoSpaceDE w:val="0"/>
              <w:autoSpaceDN w:val="0"/>
              <w:spacing w:line="500" w:lineRule="exact"/>
              <w:rPr>
                <w:rFonts w:ascii="宋体" w:hAnsi="宋体" w:cs="宋体"/>
                <w:color w:val="auto"/>
                <w:szCs w:val="21"/>
                <w:lang w:bidi="zh-CN"/>
              </w:rPr>
            </w:pPr>
            <w:r>
              <w:rPr>
                <w:rFonts w:hint="eastAsia" w:ascii="宋体" w:hAnsi="宋体" w:cs="宋体"/>
                <w:color w:val="auto"/>
                <w:szCs w:val="21"/>
                <w:lang w:bidi="zh-CN"/>
              </w:rPr>
              <w:t>详见招标公告</w:t>
            </w:r>
          </w:p>
        </w:tc>
      </w:tr>
      <w:tr w14:paraId="126E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167" w:type="dxa"/>
            <w:tcBorders>
              <w:tl2br w:val="nil"/>
              <w:tr2bl w:val="nil"/>
            </w:tcBorders>
            <w:vAlign w:val="center"/>
          </w:tcPr>
          <w:p w14:paraId="291F72BC">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1.2.</w:t>
            </w:r>
            <w:r>
              <w:rPr>
                <w:rFonts w:hint="eastAsia" w:asciiTheme="minorEastAsia" w:hAnsiTheme="minorEastAsia" w:eastAsiaTheme="minorEastAsia"/>
                <w:color w:val="auto"/>
                <w:szCs w:val="21"/>
              </w:rPr>
              <w:t>1</w:t>
            </w:r>
          </w:p>
        </w:tc>
        <w:tc>
          <w:tcPr>
            <w:tcW w:w="2234" w:type="dxa"/>
            <w:tcBorders>
              <w:tl2br w:val="nil"/>
              <w:tr2bl w:val="nil"/>
            </w:tcBorders>
            <w:vAlign w:val="center"/>
          </w:tcPr>
          <w:p w14:paraId="7517A2B3">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资金来源</w:t>
            </w:r>
          </w:p>
        </w:tc>
        <w:tc>
          <w:tcPr>
            <w:tcW w:w="6777" w:type="dxa"/>
            <w:tcBorders>
              <w:tl2br w:val="nil"/>
              <w:tr2bl w:val="nil"/>
            </w:tcBorders>
            <w:vAlign w:val="center"/>
          </w:tcPr>
          <w:p w14:paraId="5F60AC67">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自筹</w:t>
            </w:r>
            <w:r>
              <w:rPr>
                <w:rFonts w:hint="eastAsia" w:asciiTheme="minorEastAsia" w:hAnsiTheme="minorEastAsia" w:eastAsiaTheme="minorEastAsia"/>
                <w:color w:val="auto"/>
                <w:szCs w:val="21"/>
                <w:lang w:val="en-US" w:eastAsia="zh-CN"/>
              </w:rPr>
              <w:t>资金</w:t>
            </w:r>
          </w:p>
        </w:tc>
      </w:tr>
      <w:tr w14:paraId="3B9C6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67" w:type="dxa"/>
            <w:tcBorders>
              <w:tl2br w:val="nil"/>
              <w:tr2bl w:val="nil"/>
            </w:tcBorders>
            <w:vAlign w:val="center"/>
          </w:tcPr>
          <w:p w14:paraId="5E5A7CBA">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1.2.</w:t>
            </w:r>
            <w:r>
              <w:rPr>
                <w:rFonts w:hint="eastAsia" w:asciiTheme="minorEastAsia" w:hAnsiTheme="minorEastAsia" w:eastAsiaTheme="minorEastAsia"/>
                <w:color w:val="auto"/>
                <w:szCs w:val="21"/>
              </w:rPr>
              <w:t>2</w:t>
            </w:r>
          </w:p>
        </w:tc>
        <w:tc>
          <w:tcPr>
            <w:tcW w:w="2234" w:type="dxa"/>
            <w:tcBorders>
              <w:tl2br w:val="nil"/>
              <w:tr2bl w:val="nil"/>
            </w:tcBorders>
            <w:vAlign w:val="center"/>
          </w:tcPr>
          <w:p w14:paraId="105AD7ED">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资金落实情况</w:t>
            </w:r>
          </w:p>
        </w:tc>
        <w:tc>
          <w:tcPr>
            <w:tcW w:w="6777" w:type="dxa"/>
            <w:tcBorders>
              <w:tl2br w:val="nil"/>
              <w:tr2bl w:val="nil"/>
            </w:tcBorders>
            <w:vAlign w:val="center"/>
          </w:tcPr>
          <w:p w14:paraId="7EC2A4D1">
            <w:pPr>
              <w:spacing w:line="500" w:lineRule="exact"/>
              <w:rPr>
                <w:rFonts w:hint="eastAsia" w:asciiTheme="minorEastAsia" w:hAnsiTheme="minorEastAsia" w:eastAsiaTheme="minorEastAsia"/>
                <w:color w:val="auto"/>
                <w:szCs w:val="21"/>
                <w:lang w:eastAsia="zh-CN"/>
              </w:rPr>
            </w:pPr>
            <w:r>
              <w:rPr>
                <w:rFonts w:hint="eastAsia" w:eastAsiaTheme="minorEastAsia"/>
                <w:color w:val="auto"/>
                <w:szCs w:val="21"/>
                <w:lang w:eastAsia="zh-CN"/>
              </w:rPr>
              <w:t>已落实</w:t>
            </w:r>
          </w:p>
        </w:tc>
      </w:tr>
      <w:tr w14:paraId="24528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167" w:type="dxa"/>
            <w:tcBorders>
              <w:tl2br w:val="nil"/>
              <w:tr2bl w:val="nil"/>
            </w:tcBorders>
            <w:vAlign w:val="center"/>
          </w:tcPr>
          <w:p w14:paraId="27930D9E">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1.3.1</w:t>
            </w:r>
          </w:p>
        </w:tc>
        <w:tc>
          <w:tcPr>
            <w:tcW w:w="2234" w:type="dxa"/>
            <w:tcBorders>
              <w:tl2br w:val="nil"/>
              <w:tr2bl w:val="nil"/>
            </w:tcBorders>
            <w:vAlign w:val="center"/>
          </w:tcPr>
          <w:p w14:paraId="1B0548BF">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招标范围</w:t>
            </w:r>
          </w:p>
        </w:tc>
        <w:tc>
          <w:tcPr>
            <w:tcW w:w="6777" w:type="dxa"/>
            <w:tcBorders>
              <w:tl2br w:val="nil"/>
              <w:tr2bl w:val="nil"/>
            </w:tcBorders>
            <w:vAlign w:val="center"/>
          </w:tcPr>
          <w:p w14:paraId="2D1C4C0C">
            <w:pPr>
              <w:spacing w:line="500" w:lineRule="exact"/>
              <w:rPr>
                <w:rFonts w:asciiTheme="minorEastAsia" w:hAnsiTheme="minorEastAsia" w:eastAsiaTheme="minorEastAsia"/>
                <w:color w:val="auto"/>
                <w:szCs w:val="21"/>
              </w:rPr>
            </w:pPr>
            <w:r>
              <w:rPr>
                <w:rFonts w:hint="eastAsia"/>
                <w:color w:val="auto"/>
                <w:szCs w:val="21"/>
              </w:rPr>
              <w:t>招标人提供的设计文件及有关资料所包括的所有内容</w:t>
            </w:r>
          </w:p>
        </w:tc>
      </w:tr>
      <w:tr w14:paraId="1214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167" w:type="dxa"/>
            <w:tcBorders>
              <w:tl2br w:val="nil"/>
              <w:tr2bl w:val="nil"/>
            </w:tcBorders>
            <w:vAlign w:val="center"/>
          </w:tcPr>
          <w:p w14:paraId="2496F5E5">
            <w:pPr>
              <w:spacing w:line="5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1.3.2</w:t>
            </w:r>
          </w:p>
        </w:tc>
        <w:tc>
          <w:tcPr>
            <w:tcW w:w="2234" w:type="dxa"/>
            <w:tcBorders>
              <w:tl2br w:val="nil"/>
              <w:tr2bl w:val="nil"/>
            </w:tcBorders>
            <w:vAlign w:val="center"/>
          </w:tcPr>
          <w:p w14:paraId="7D95F190">
            <w:pPr>
              <w:spacing w:line="5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计划工期</w:t>
            </w:r>
          </w:p>
        </w:tc>
        <w:tc>
          <w:tcPr>
            <w:tcW w:w="6777" w:type="dxa"/>
            <w:tcBorders>
              <w:tl2br w:val="nil"/>
              <w:tr2bl w:val="nil"/>
            </w:tcBorders>
            <w:vAlign w:val="center"/>
          </w:tcPr>
          <w:p w14:paraId="1A6E49A9">
            <w:pPr>
              <w:spacing w:line="500" w:lineRule="exact"/>
              <w:rPr>
                <w:rFonts w:hint="default"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6个月</w:t>
            </w:r>
          </w:p>
        </w:tc>
      </w:tr>
      <w:tr w14:paraId="5A6A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1167" w:type="dxa"/>
            <w:tcBorders>
              <w:tl2br w:val="nil"/>
              <w:tr2bl w:val="nil"/>
            </w:tcBorders>
            <w:vAlign w:val="center"/>
          </w:tcPr>
          <w:p w14:paraId="2278B140">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1.3.3</w:t>
            </w:r>
          </w:p>
        </w:tc>
        <w:tc>
          <w:tcPr>
            <w:tcW w:w="2234" w:type="dxa"/>
            <w:tcBorders>
              <w:tl2br w:val="nil"/>
              <w:tr2bl w:val="nil"/>
            </w:tcBorders>
            <w:vAlign w:val="center"/>
          </w:tcPr>
          <w:p w14:paraId="460D041D">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质量要求</w:t>
            </w:r>
          </w:p>
        </w:tc>
        <w:tc>
          <w:tcPr>
            <w:tcW w:w="6777" w:type="dxa"/>
            <w:tcBorders>
              <w:tl2br w:val="nil"/>
              <w:tr2bl w:val="nil"/>
            </w:tcBorders>
            <w:vAlign w:val="center"/>
          </w:tcPr>
          <w:p w14:paraId="67253336">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达到国家现行《施工质量验收规范》合格标准和设计文件要求。</w:t>
            </w:r>
          </w:p>
        </w:tc>
      </w:tr>
      <w:tr w14:paraId="787B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67" w:type="dxa"/>
            <w:tcBorders>
              <w:tl2br w:val="nil"/>
              <w:tr2bl w:val="nil"/>
            </w:tcBorders>
            <w:vAlign w:val="center"/>
          </w:tcPr>
          <w:p w14:paraId="4A90CEED">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1.4.1</w:t>
            </w:r>
          </w:p>
        </w:tc>
        <w:tc>
          <w:tcPr>
            <w:tcW w:w="2234" w:type="dxa"/>
            <w:tcBorders>
              <w:tl2br w:val="nil"/>
              <w:tr2bl w:val="nil"/>
            </w:tcBorders>
            <w:vAlign w:val="center"/>
          </w:tcPr>
          <w:p w14:paraId="3B890A78">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投标人</w:t>
            </w:r>
            <w:r>
              <w:rPr>
                <w:rFonts w:hint="eastAsia" w:asciiTheme="minorEastAsia" w:hAnsiTheme="minorEastAsia" w:eastAsiaTheme="minorEastAsia"/>
                <w:color w:val="auto"/>
                <w:szCs w:val="21"/>
              </w:rPr>
              <w:t>资格要求</w:t>
            </w:r>
          </w:p>
        </w:tc>
        <w:tc>
          <w:tcPr>
            <w:tcW w:w="6777" w:type="dxa"/>
            <w:tcBorders>
              <w:tl2br w:val="nil"/>
              <w:tr2bl w:val="nil"/>
            </w:tcBorders>
            <w:vAlign w:val="center"/>
          </w:tcPr>
          <w:p w14:paraId="4EEC3715">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详见招标公告</w:t>
            </w:r>
          </w:p>
        </w:tc>
      </w:tr>
      <w:tr w14:paraId="3D304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67" w:type="dxa"/>
            <w:tcBorders>
              <w:tl2br w:val="nil"/>
              <w:tr2bl w:val="nil"/>
            </w:tcBorders>
            <w:vAlign w:val="center"/>
          </w:tcPr>
          <w:p w14:paraId="72501DAB">
            <w:pPr>
              <w:spacing w:line="500" w:lineRule="exact"/>
              <w:jc w:val="center"/>
              <w:rPr>
                <w:rFonts w:asciiTheme="minorEastAsia" w:hAnsiTheme="minorEastAsia" w:eastAsiaTheme="minorEastAsia"/>
                <w:color w:val="auto"/>
                <w:szCs w:val="21"/>
              </w:rPr>
            </w:pPr>
            <w:r>
              <w:rPr>
                <w:rFonts w:hint="eastAsia" w:ascii="宋体" w:hAnsi="宋体" w:cs="宋体"/>
                <w:color w:val="auto"/>
                <w:szCs w:val="21"/>
              </w:rPr>
              <w:t>1.4.2</w:t>
            </w:r>
          </w:p>
        </w:tc>
        <w:tc>
          <w:tcPr>
            <w:tcW w:w="2234" w:type="dxa"/>
            <w:tcBorders>
              <w:tl2br w:val="nil"/>
              <w:tr2bl w:val="nil"/>
            </w:tcBorders>
            <w:vAlign w:val="center"/>
          </w:tcPr>
          <w:p w14:paraId="41AC055C">
            <w:pPr>
              <w:spacing w:line="500" w:lineRule="exact"/>
              <w:jc w:val="center"/>
              <w:rPr>
                <w:rFonts w:asciiTheme="minorEastAsia" w:hAnsiTheme="minorEastAsia" w:eastAsiaTheme="minorEastAsia"/>
                <w:color w:val="auto"/>
                <w:szCs w:val="21"/>
              </w:rPr>
            </w:pPr>
            <w:r>
              <w:rPr>
                <w:rFonts w:hint="eastAsia" w:ascii="宋体" w:hAnsi="宋体" w:cs="宋体"/>
                <w:color w:val="auto"/>
                <w:szCs w:val="21"/>
              </w:rPr>
              <w:t>是否接受联合体投标</w:t>
            </w:r>
          </w:p>
        </w:tc>
        <w:tc>
          <w:tcPr>
            <w:tcW w:w="6777" w:type="dxa"/>
            <w:tcBorders>
              <w:tl2br w:val="nil"/>
              <w:tr2bl w:val="nil"/>
            </w:tcBorders>
            <w:vAlign w:val="center"/>
          </w:tcPr>
          <w:p w14:paraId="445C3B6C">
            <w:pPr>
              <w:spacing w:line="500" w:lineRule="exact"/>
              <w:rPr>
                <w:rFonts w:asciiTheme="minorEastAsia" w:hAnsiTheme="minorEastAsia" w:eastAsiaTheme="minorEastAsia"/>
                <w:color w:val="auto"/>
                <w:szCs w:val="21"/>
              </w:rPr>
            </w:pPr>
            <w:r>
              <w:rPr>
                <w:rFonts w:hint="eastAsia" w:ascii="宋体" w:hAnsi="宋体" w:cs="宋体"/>
                <w:color w:val="auto"/>
                <w:szCs w:val="21"/>
              </w:rPr>
              <w:t>不接受</w:t>
            </w:r>
          </w:p>
        </w:tc>
      </w:tr>
      <w:tr w14:paraId="77B5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167" w:type="dxa"/>
            <w:tcBorders>
              <w:tl2br w:val="nil"/>
              <w:tr2bl w:val="nil"/>
            </w:tcBorders>
            <w:vAlign w:val="center"/>
          </w:tcPr>
          <w:p w14:paraId="0340C1E7">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w:t>
            </w:r>
            <w:r>
              <w:rPr>
                <w:rFonts w:hint="eastAsia" w:asciiTheme="minorEastAsia" w:hAnsiTheme="minorEastAsia" w:eastAsiaTheme="minorEastAsia"/>
                <w:color w:val="auto"/>
                <w:szCs w:val="21"/>
              </w:rPr>
              <w:t>9</w:t>
            </w:r>
            <w:r>
              <w:rPr>
                <w:rFonts w:asciiTheme="minorEastAsia" w:hAnsiTheme="minorEastAsia" w:eastAsiaTheme="minorEastAsia"/>
                <w:color w:val="auto"/>
                <w:szCs w:val="21"/>
              </w:rPr>
              <w:t>.1</w:t>
            </w:r>
          </w:p>
        </w:tc>
        <w:tc>
          <w:tcPr>
            <w:tcW w:w="2234" w:type="dxa"/>
            <w:tcBorders>
              <w:tl2br w:val="nil"/>
              <w:tr2bl w:val="nil"/>
            </w:tcBorders>
            <w:vAlign w:val="center"/>
          </w:tcPr>
          <w:p w14:paraId="1B70DFA1">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踏勘现场</w:t>
            </w:r>
          </w:p>
        </w:tc>
        <w:tc>
          <w:tcPr>
            <w:tcW w:w="6777" w:type="dxa"/>
            <w:tcBorders>
              <w:tl2br w:val="nil"/>
              <w:tr2bl w:val="nil"/>
            </w:tcBorders>
            <w:vAlign w:val="center"/>
          </w:tcPr>
          <w:p w14:paraId="497D5FCC">
            <w:pPr>
              <w:pStyle w:val="31"/>
              <w:topLinePunct/>
              <w:spacing w:line="500" w:lineRule="exact"/>
              <w:rPr>
                <w:rFonts w:asciiTheme="minorEastAsia" w:hAnsiTheme="minorEastAsia" w:eastAsiaTheme="minorEastAsia"/>
                <w:color w:val="auto"/>
                <w:sz w:val="21"/>
                <w:szCs w:val="21"/>
              </w:rPr>
            </w:pPr>
            <w:r>
              <w:rPr>
                <w:rFonts w:hint="eastAsia" w:hAnsi="宋体" w:cs="宋体"/>
                <w:color w:val="auto"/>
                <w:sz w:val="21"/>
                <w:szCs w:val="21"/>
              </w:rPr>
              <w:t>投标单位根据制作投标文件的需要，自行勘踏，费用自理。各潜在投标人在获取招标文件后可以到项目现场进行踏勘，根据现场踏勘显示的所有内容做出详细的施工报价。不论施工报价中是否含有踏勘现场显示的所有工程内容，均视其已包含在其他施工报价中。</w:t>
            </w:r>
          </w:p>
        </w:tc>
      </w:tr>
      <w:tr w14:paraId="4BAE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67" w:type="dxa"/>
            <w:tcBorders>
              <w:tl2br w:val="nil"/>
              <w:tr2bl w:val="nil"/>
            </w:tcBorders>
            <w:vAlign w:val="center"/>
          </w:tcPr>
          <w:p w14:paraId="3FAAF895">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1.10.1</w:t>
            </w:r>
          </w:p>
        </w:tc>
        <w:tc>
          <w:tcPr>
            <w:tcW w:w="2234" w:type="dxa"/>
            <w:tcBorders>
              <w:tl2br w:val="nil"/>
              <w:tr2bl w:val="nil"/>
            </w:tcBorders>
            <w:vAlign w:val="center"/>
          </w:tcPr>
          <w:p w14:paraId="4BB07C9C">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投标预备会</w:t>
            </w:r>
          </w:p>
        </w:tc>
        <w:tc>
          <w:tcPr>
            <w:tcW w:w="6777" w:type="dxa"/>
            <w:tcBorders>
              <w:tl2br w:val="nil"/>
              <w:tr2bl w:val="nil"/>
            </w:tcBorders>
            <w:vAlign w:val="center"/>
          </w:tcPr>
          <w:p w14:paraId="3B0B5CE4">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不召开。</w:t>
            </w:r>
          </w:p>
          <w:p w14:paraId="02208880">
            <w:pPr>
              <w:pStyle w:val="31"/>
              <w:topLinePunct/>
              <w:spacing w:line="500" w:lineRule="exact"/>
              <w:rPr>
                <w:color w:val="auto"/>
              </w:rPr>
            </w:pPr>
            <w:r>
              <w:rPr>
                <w:rFonts w:hint="eastAsia" w:hAnsi="宋体" w:cs="宋体"/>
                <w:color w:val="auto"/>
                <w:sz w:val="21"/>
                <w:szCs w:val="21"/>
              </w:rPr>
              <w:t>投标人领到工程量清单后，首先核实工程量清单中是否有漏项或误差的项目，如果发现上述问题，请指出项目名称及具体数量，并在投标截止时间10日前以书面形式提出。电子文本请发</w:t>
            </w:r>
            <w:r>
              <w:rPr>
                <w:rFonts w:hint="eastAsia" w:ascii="宋体" w:hAnsi="宋体" w:eastAsia="宋体" w:cs="宋体"/>
                <w:color w:val="auto"/>
                <w:sz w:val="21"/>
                <w:szCs w:val="21"/>
              </w:rPr>
              <w:t>送至</w:t>
            </w:r>
            <w:r>
              <w:rPr>
                <w:rFonts w:hint="eastAsia" w:ascii="宋体" w:hAnsi="宋体" w:eastAsia="宋体" w:cs="宋体"/>
                <w:color w:val="auto"/>
                <w:sz w:val="21"/>
                <w:szCs w:val="21"/>
                <w:lang w:eastAsia="zh-CN"/>
              </w:rPr>
              <w:t>fzjtjy02@163.com</w:t>
            </w:r>
            <w:r>
              <w:rPr>
                <w:rFonts w:hint="eastAsia" w:ascii="宋体" w:hAnsi="宋体" w:eastAsia="宋体" w:cs="宋体"/>
                <w:color w:val="auto"/>
                <w:sz w:val="21"/>
                <w:szCs w:val="21"/>
              </w:rPr>
              <w:t>。如果投标人不提交书面问题，视为认可招标人提供的所有资料。</w:t>
            </w:r>
          </w:p>
        </w:tc>
      </w:tr>
      <w:tr w14:paraId="5FE1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67" w:type="dxa"/>
            <w:tcBorders>
              <w:tl2br w:val="nil"/>
              <w:tr2bl w:val="nil"/>
            </w:tcBorders>
            <w:vAlign w:val="center"/>
          </w:tcPr>
          <w:p w14:paraId="34F2AD8A">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1.10.2</w:t>
            </w:r>
          </w:p>
        </w:tc>
        <w:tc>
          <w:tcPr>
            <w:tcW w:w="2234" w:type="dxa"/>
            <w:tcBorders>
              <w:tl2br w:val="nil"/>
              <w:tr2bl w:val="nil"/>
            </w:tcBorders>
            <w:vAlign w:val="center"/>
          </w:tcPr>
          <w:p w14:paraId="499E3483">
            <w:pPr>
              <w:tabs>
                <w:tab w:val="left" w:pos="1758"/>
              </w:tabs>
              <w:spacing w:line="360" w:lineRule="auto"/>
              <w:jc w:val="center"/>
              <w:rPr>
                <w:rFonts w:cs="宋体" w:asciiTheme="minorEastAsia" w:hAnsiTheme="minorEastAsia" w:eastAsiaTheme="minorEastAsia"/>
                <w:color w:val="auto"/>
                <w:szCs w:val="21"/>
              </w:rPr>
            </w:pPr>
            <w:r>
              <w:rPr>
                <w:rFonts w:hint="eastAsia" w:cs="宋体" w:asciiTheme="minorEastAsia" w:hAnsiTheme="minorEastAsia" w:eastAsiaTheme="minorEastAsia"/>
                <w:color w:val="auto"/>
                <w:szCs w:val="21"/>
              </w:rPr>
              <w:t>投标人提出问题的</w:t>
            </w:r>
          </w:p>
          <w:p w14:paraId="42FD0B04">
            <w:pPr>
              <w:tabs>
                <w:tab w:val="left" w:pos="1758"/>
              </w:tabs>
              <w:spacing w:line="360" w:lineRule="auto"/>
              <w:jc w:val="center"/>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截止时间</w:t>
            </w:r>
          </w:p>
        </w:tc>
        <w:tc>
          <w:tcPr>
            <w:tcW w:w="6777" w:type="dxa"/>
            <w:tcBorders>
              <w:tl2br w:val="nil"/>
              <w:tr2bl w:val="nil"/>
            </w:tcBorders>
            <w:vAlign w:val="center"/>
          </w:tcPr>
          <w:p w14:paraId="1C93A47C">
            <w:pPr>
              <w:tabs>
                <w:tab w:val="left" w:pos="1758"/>
              </w:tabs>
              <w:spacing w:line="360" w:lineRule="auto"/>
              <w:rPr>
                <w:rFonts w:asciiTheme="minorEastAsia" w:hAnsiTheme="minorEastAsia" w:eastAsiaTheme="minorEastAsia"/>
                <w:color w:val="auto"/>
                <w:szCs w:val="21"/>
              </w:rPr>
            </w:pPr>
            <w:r>
              <w:rPr>
                <w:rFonts w:hint="eastAsia" w:ascii="宋体" w:hAnsi="宋体" w:cs="宋体"/>
                <w:color w:val="auto"/>
                <w:szCs w:val="21"/>
              </w:rPr>
              <w:t>潜在投标人如对招标文件有疑问或异议的，可以在</w:t>
            </w:r>
            <w:r>
              <w:rPr>
                <w:rFonts w:hint="eastAsia" w:ascii="宋体" w:hAnsi="宋体" w:cs="宋体"/>
                <w:color w:val="auto"/>
                <w:sz w:val="22"/>
              </w:rPr>
              <w:t>投标截止时间前10日前</w:t>
            </w:r>
            <w:r>
              <w:rPr>
                <w:rFonts w:hint="eastAsia" w:ascii="宋体" w:hAnsi="宋体" w:cs="宋体"/>
                <w:color w:val="auto"/>
                <w:szCs w:val="21"/>
                <w:lang w:val="zh-CN" w:bidi="zh-CN"/>
              </w:rPr>
              <w:t>将需要澄清的问题以加盖单位公章</w:t>
            </w:r>
            <w:r>
              <w:rPr>
                <w:rFonts w:hint="eastAsia" w:ascii="宋体" w:hAnsi="宋体" w:cs="宋体"/>
                <w:color w:val="auto"/>
                <w:szCs w:val="21"/>
                <w:lang w:bidi="zh-CN"/>
              </w:rPr>
              <w:t>的</w:t>
            </w:r>
            <w:r>
              <w:rPr>
                <w:rFonts w:hint="eastAsia" w:ascii="宋体" w:hAnsi="宋体" w:cs="宋体"/>
                <w:color w:val="auto"/>
                <w:szCs w:val="21"/>
                <w:lang w:val="zh-CN" w:bidi="zh-CN"/>
              </w:rPr>
              <w:t>文本形式</w:t>
            </w:r>
            <w:r>
              <w:rPr>
                <w:rFonts w:hint="eastAsia" w:ascii="宋体" w:hAnsi="宋体" w:cs="宋体"/>
                <w:color w:val="auto"/>
                <w:szCs w:val="21"/>
                <w:lang w:bidi="zh-CN"/>
              </w:rPr>
              <w:t>，</w:t>
            </w:r>
            <w:r>
              <w:rPr>
                <w:rFonts w:hint="eastAsia" w:ascii="宋体" w:hAnsi="宋体" w:cs="宋体"/>
                <w:color w:val="auto"/>
                <w:szCs w:val="21"/>
                <w:lang w:val="zh-CN" w:bidi="zh-CN"/>
              </w:rPr>
              <w:t>发送电子邮件</w:t>
            </w:r>
            <w:r>
              <w:rPr>
                <w:rFonts w:hint="eastAsia" w:ascii="宋体" w:hAnsi="宋体" w:cs="宋体"/>
                <w:color w:val="auto"/>
                <w:szCs w:val="21"/>
                <w:lang w:bidi="zh-CN"/>
              </w:rPr>
              <w:t>至fzjtjy02@163.com</w:t>
            </w:r>
            <w:r>
              <w:rPr>
                <w:rFonts w:hint="eastAsia" w:ascii="宋体" w:hAnsi="宋体" w:cs="宋体"/>
                <w:color w:val="auto"/>
                <w:szCs w:val="21"/>
                <w:lang w:val="zh-CN" w:bidi="zh-CN"/>
              </w:rPr>
              <w:t>并电话通知</w:t>
            </w:r>
            <w:r>
              <w:rPr>
                <w:rFonts w:hint="eastAsia" w:ascii="宋体" w:hAnsi="宋体" w:cs="宋体"/>
                <w:color w:val="auto"/>
                <w:szCs w:val="21"/>
                <w:lang w:bidi="zh-CN"/>
              </w:rPr>
              <w:t>招标</w:t>
            </w:r>
            <w:r>
              <w:rPr>
                <w:rFonts w:hint="eastAsia" w:ascii="宋体" w:hAnsi="宋体" w:cs="宋体"/>
                <w:color w:val="auto"/>
                <w:szCs w:val="21"/>
                <w:lang w:val="zh-CN" w:bidi="zh-CN"/>
              </w:rPr>
              <w:t>代理机构</w:t>
            </w:r>
            <w:r>
              <w:rPr>
                <w:rFonts w:hint="eastAsia" w:ascii="宋体" w:hAnsi="宋体" w:cs="宋体"/>
                <w:color w:val="auto"/>
                <w:szCs w:val="21"/>
                <w:lang w:bidi="zh-CN"/>
              </w:rPr>
              <w:t>。</w:t>
            </w:r>
          </w:p>
        </w:tc>
      </w:tr>
      <w:tr w14:paraId="223D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167" w:type="dxa"/>
            <w:tcBorders>
              <w:tl2br w:val="nil"/>
              <w:tr2bl w:val="nil"/>
            </w:tcBorders>
            <w:vAlign w:val="center"/>
          </w:tcPr>
          <w:p w14:paraId="34E14A8C">
            <w:pPr>
              <w:spacing w:line="500" w:lineRule="exact"/>
              <w:jc w:val="center"/>
              <w:rPr>
                <w:rFonts w:asciiTheme="minorEastAsia" w:hAnsiTheme="minorEastAsia" w:eastAsiaTheme="minorEastAsia"/>
                <w:color w:val="auto"/>
                <w:szCs w:val="21"/>
              </w:rPr>
            </w:pPr>
            <w:r>
              <w:rPr>
                <w:rFonts w:hint="eastAsia" w:ascii="宋体" w:hAnsi="宋体" w:cs="宋体"/>
                <w:color w:val="auto"/>
                <w:szCs w:val="21"/>
              </w:rPr>
              <w:t>1.10.3</w:t>
            </w:r>
          </w:p>
        </w:tc>
        <w:tc>
          <w:tcPr>
            <w:tcW w:w="2234" w:type="dxa"/>
            <w:tcBorders>
              <w:tl2br w:val="nil"/>
              <w:tr2bl w:val="nil"/>
            </w:tcBorders>
            <w:vAlign w:val="center"/>
          </w:tcPr>
          <w:p w14:paraId="730E1F45">
            <w:pPr>
              <w:tabs>
                <w:tab w:val="left" w:pos="1758"/>
              </w:tabs>
              <w:spacing w:line="360" w:lineRule="auto"/>
              <w:jc w:val="center"/>
              <w:rPr>
                <w:rFonts w:cs="宋体" w:asciiTheme="minorEastAsia" w:hAnsiTheme="minorEastAsia" w:eastAsiaTheme="minorEastAsia"/>
                <w:color w:val="auto"/>
                <w:szCs w:val="21"/>
              </w:rPr>
            </w:pPr>
            <w:r>
              <w:rPr>
                <w:rFonts w:hint="eastAsia" w:ascii="宋体" w:hAnsi="宋体"/>
                <w:color w:val="auto"/>
                <w:szCs w:val="21"/>
              </w:rPr>
              <w:t>招标人澄清或修改招标文件的时间及方式</w:t>
            </w:r>
          </w:p>
        </w:tc>
        <w:tc>
          <w:tcPr>
            <w:tcW w:w="6777" w:type="dxa"/>
            <w:tcBorders>
              <w:tl2br w:val="nil"/>
              <w:tr2bl w:val="nil"/>
            </w:tcBorders>
            <w:vAlign w:val="center"/>
          </w:tcPr>
          <w:p w14:paraId="144020C6">
            <w:pPr>
              <w:tabs>
                <w:tab w:val="left" w:pos="1758"/>
              </w:tabs>
              <w:spacing w:line="360" w:lineRule="auto"/>
              <w:rPr>
                <w:rFonts w:ascii="宋体" w:hAnsi="宋体" w:cs="宋体"/>
                <w:color w:val="auto"/>
                <w:szCs w:val="21"/>
              </w:rPr>
            </w:pPr>
            <w:r>
              <w:rPr>
                <w:rFonts w:hint="eastAsia" w:ascii="宋体" w:hAnsi="宋体"/>
                <w:color w:val="auto"/>
                <w:szCs w:val="21"/>
              </w:rPr>
              <w:t>时间：</w:t>
            </w:r>
            <w:r>
              <w:rPr>
                <w:rFonts w:hint="eastAsia" w:ascii="宋体" w:hAnsi="宋体" w:cs="宋体"/>
                <w:color w:val="auto"/>
                <w:szCs w:val="21"/>
              </w:rPr>
              <w:t>投标截止时间15日前。</w:t>
            </w:r>
          </w:p>
          <w:p w14:paraId="2FF36035">
            <w:pPr>
              <w:spacing w:line="360" w:lineRule="auto"/>
              <w:rPr>
                <w:color w:val="auto"/>
              </w:rPr>
            </w:pPr>
            <w:r>
              <w:rPr>
                <w:rFonts w:hint="eastAsia" w:ascii="宋体" w:hAnsi="宋体"/>
                <w:color w:val="auto"/>
                <w:szCs w:val="21"/>
              </w:rPr>
              <w:t>方式：关于本项目的变更、修改、澄清、补充内容及对项目的暂停、延期通知等情况均在</w:t>
            </w:r>
            <w:r>
              <w:rPr>
                <w:rFonts w:hint="eastAsia" w:ascii="宋体" w:hAnsi="宋体" w:cs="Arial"/>
                <w:color w:val="auto"/>
                <w:szCs w:val="21"/>
              </w:rPr>
              <w:t>招标公告发布媒介发布</w:t>
            </w:r>
            <w:r>
              <w:rPr>
                <w:rFonts w:hint="eastAsia" w:ascii="宋体" w:hAnsi="宋体"/>
                <w:color w:val="auto"/>
                <w:szCs w:val="21"/>
              </w:rPr>
              <w:t>，请各投标人及时自行查阅或于开标会议前向招标</w:t>
            </w:r>
            <w:r>
              <w:rPr>
                <w:rFonts w:hint="eastAsia" w:ascii="宋体" w:hAnsi="宋体" w:cs="宋体"/>
                <w:color w:val="auto"/>
                <w:szCs w:val="21"/>
              </w:rPr>
              <w:t>代理机构电话询问确认，未按要求查阅者自行承担相应后果。</w:t>
            </w:r>
          </w:p>
        </w:tc>
      </w:tr>
      <w:tr w14:paraId="75AF0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67" w:type="dxa"/>
            <w:tcBorders>
              <w:tl2br w:val="nil"/>
              <w:tr2bl w:val="nil"/>
            </w:tcBorders>
            <w:vAlign w:val="center"/>
          </w:tcPr>
          <w:p w14:paraId="37E4AD3C">
            <w:pPr>
              <w:autoSpaceDE w:val="0"/>
              <w:autoSpaceDN w:val="0"/>
              <w:adjustRightInd w:val="0"/>
              <w:spacing w:line="440" w:lineRule="exact"/>
              <w:jc w:val="center"/>
              <w:rPr>
                <w:rFonts w:ascii="宋体" w:hAnsi="宋体" w:cs="黑体"/>
                <w:color w:val="auto"/>
                <w:kern w:val="0"/>
                <w:szCs w:val="21"/>
              </w:rPr>
            </w:pPr>
            <w:r>
              <w:rPr>
                <w:rFonts w:ascii="宋体" w:hAnsi="宋体" w:cs="TimesNewRomanPSMT"/>
                <w:color w:val="auto"/>
                <w:kern w:val="0"/>
                <w:szCs w:val="21"/>
              </w:rPr>
              <w:t>1.</w:t>
            </w:r>
            <w:r>
              <w:rPr>
                <w:rFonts w:hint="eastAsia" w:ascii="宋体" w:hAnsi="宋体" w:cs="TimesNewRomanPSMT"/>
                <w:color w:val="auto"/>
                <w:kern w:val="0"/>
                <w:szCs w:val="21"/>
              </w:rPr>
              <w:t>11</w:t>
            </w:r>
          </w:p>
        </w:tc>
        <w:tc>
          <w:tcPr>
            <w:tcW w:w="2234" w:type="dxa"/>
            <w:tcBorders>
              <w:tl2br w:val="nil"/>
              <w:tr2bl w:val="nil"/>
            </w:tcBorders>
            <w:vAlign w:val="center"/>
          </w:tcPr>
          <w:p w14:paraId="46D9075D">
            <w:pPr>
              <w:spacing w:line="440" w:lineRule="exact"/>
              <w:jc w:val="center"/>
              <w:rPr>
                <w:rFonts w:ascii="宋体" w:hAnsi="宋体" w:cs="宋体"/>
                <w:color w:val="auto"/>
                <w:szCs w:val="21"/>
              </w:rPr>
            </w:pPr>
            <w:r>
              <w:rPr>
                <w:rFonts w:hint="eastAsia" w:ascii="宋体" w:hAnsi="宋体" w:cs="宋体"/>
                <w:color w:val="auto"/>
                <w:szCs w:val="21"/>
              </w:rPr>
              <w:t>转包、分包</w:t>
            </w:r>
          </w:p>
        </w:tc>
        <w:tc>
          <w:tcPr>
            <w:tcW w:w="6777" w:type="dxa"/>
            <w:tcBorders>
              <w:tl2br w:val="nil"/>
              <w:tr2bl w:val="nil"/>
            </w:tcBorders>
            <w:vAlign w:val="center"/>
          </w:tcPr>
          <w:p w14:paraId="476D8F35">
            <w:pPr>
              <w:spacing w:line="440" w:lineRule="exact"/>
              <w:rPr>
                <w:rFonts w:ascii="宋体" w:hAnsi="宋体" w:cs="宋体"/>
                <w:color w:val="auto"/>
                <w:szCs w:val="21"/>
              </w:rPr>
            </w:pPr>
            <w:r>
              <w:rPr>
                <w:rFonts w:hint="eastAsia" w:ascii="宋体" w:hAnsi="宋体" w:cs="宋体"/>
                <w:color w:val="auto"/>
                <w:szCs w:val="21"/>
              </w:rPr>
              <w:t>不允许。</w:t>
            </w:r>
          </w:p>
        </w:tc>
      </w:tr>
      <w:tr w14:paraId="1F49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167" w:type="dxa"/>
            <w:tcBorders>
              <w:tl2br w:val="nil"/>
              <w:tr2bl w:val="nil"/>
            </w:tcBorders>
            <w:vAlign w:val="center"/>
          </w:tcPr>
          <w:p w14:paraId="366374B8">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1.12</w:t>
            </w:r>
          </w:p>
        </w:tc>
        <w:tc>
          <w:tcPr>
            <w:tcW w:w="2234" w:type="dxa"/>
            <w:tcBorders>
              <w:tl2br w:val="nil"/>
              <w:tr2bl w:val="nil"/>
            </w:tcBorders>
            <w:vAlign w:val="center"/>
          </w:tcPr>
          <w:p w14:paraId="11F06B17">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偏离</w:t>
            </w:r>
          </w:p>
        </w:tc>
        <w:tc>
          <w:tcPr>
            <w:tcW w:w="6777" w:type="dxa"/>
            <w:tcBorders>
              <w:tl2br w:val="nil"/>
              <w:tr2bl w:val="nil"/>
            </w:tcBorders>
            <w:vAlign w:val="center"/>
          </w:tcPr>
          <w:p w14:paraId="75035A92">
            <w:pPr>
              <w:pStyle w:val="31"/>
              <w:topLinePunct/>
              <w:spacing w:line="500" w:lineRule="exact"/>
              <w:rPr>
                <w:rFonts w:asciiTheme="minorEastAsia" w:hAnsiTheme="minorEastAsia" w:eastAsiaTheme="minorEastAsia"/>
                <w:color w:val="auto"/>
                <w:sz w:val="21"/>
                <w:szCs w:val="21"/>
              </w:rPr>
            </w:pPr>
            <w:r>
              <w:rPr>
                <w:rFonts w:hint="eastAsia"/>
                <w:color w:val="auto"/>
                <w:sz w:val="21"/>
                <w:szCs w:val="21"/>
              </w:rPr>
              <w:t>对招标文件的实质性要求不允许偏离</w:t>
            </w:r>
          </w:p>
        </w:tc>
      </w:tr>
      <w:tr w14:paraId="5F86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167" w:type="dxa"/>
            <w:tcBorders>
              <w:tl2br w:val="nil"/>
              <w:tr2bl w:val="nil"/>
            </w:tcBorders>
            <w:vAlign w:val="center"/>
          </w:tcPr>
          <w:p w14:paraId="4E357A46">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2.1</w:t>
            </w:r>
          </w:p>
        </w:tc>
        <w:tc>
          <w:tcPr>
            <w:tcW w:w="2234" w:type="dxa"/>
            <w:tcBorders>
              <w:tl2br w:val="nil"/>
              <w:tr2bl w:val="nil"/>
            </w:tcBorders>
            <w:vAlign w:val="center"/>
          </w:tcPr>
          <w:p w14:paraId="7E9A7B9A">
            <w:pPr>
              <w:spacing w:line="50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构成招标文件的其他材料</w:t>
            </w:r>
          </w:p>
        </w:tc>
        <w:tc>
          <w:tcPr>
            <w:tcW w:w="6777" w:type="dxa"/>
            <w:tcBorders>
              <w:tl2br w:val="nil"/>
              <w:tr2bl w:val="nil"/>
            </w:tcBorders>
            <w:vAlign w:val="center"/>
          </w:tcPr>
          <w:p w14:paraId="5E5A4398">
            <w:pPr>
              <w:spacing w:line="500" w:lineRule="exact"/>
              <w:rPr>
                <w:rFonts w:asciiTheme="minorEastAsia" w:hAnsiTheme="minorEastAsia" w:eastAsiaTheme="minorEastAsia" w:cstheme="minorEastAsia"/>
                <w:color w:val="auto"/>
                <w:szCs w:val="21"/>
              </w:rPr>
            </w:pPr>
            <w:r>
              <w:rPr>
                <w:rFonts w:hint="eastAsia" w:asciiTheme="minorEastAsia" w:hAnsiTheme="minorEastAsia" w:eastAsiaTheme="minorEastAsia"/>
                <w:color w:val="auto"/>
                <w:szCs w:val="21"/>
              </w:rPr>
              <w:t>招标文件、工程量清单、图纸、答疑文件（如有）等</w:t>
            </w:r>
          </w:p>
        </w:tc>
      </w:tr>
      <w:tr w14:paraId="29EF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jc w:val="center"/>
        </w:trPr>
        <w:tc>
          <w:tcPr>
            <w:tcW w:w="1167" w:type="dxa"/>
            <w:tcBorders>
              <w:tl2br w:val="nil"/>
              <w:tr2bl w:val="nil"/>
            </w:tcBorders>
            <w:vAlign w:val="center"/>
          </w:tcPr>
          <w:p w14:paraId="0AECA131">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2.2.1</w:t>
            </w:r>
          </w:p>
        </w:tc>
        <w:tc>
          <w:tcPr>
            <w:tcW w:w="2234" w:type="dxa"/>
            <w:tcBorders>
              <w:tl2br w:val="nil"/>
              <w:tr2bl w:val="nil"/>
            </w:tcBorders>
            <w:vAlign w:val="center"/>
          </w:tcPr>
          <w:p w14:paraId="1DF870A0">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投标人要求澄清招标文件的截止时间</w:t>
            </w:r>
            <w:r>
              <w:rPr>
                <w:rFonts w:hint="eastAsia" w:asciiTheme="minorEastAsia" w:hAnsiTheme="minorEastAsia" w:eastAsiaTheme="minorEastAsia"/>
                <w:color w:val="auto"/>
                <w:szCs w:val="21"/>
              </w:rPr>
              <w:t>及方式</w:t>
            </w:r>
          </w:p>
        </w:tc>
        <w:tc>
          <w:tcPr>
            <w:tcW w:w="6777" w:type="dxa"/>
            <w:tcBorders>
              <w:tl2br w:val="nil"/>
              <w:tr2bl w:val="nil"/>
            </w:tcBorders>
            <w:vAlign w:val="center"/>
          </w:tcPr>
          <w:p w14:paraId="201F9B9E">
            <w:pPr>
              <w:spacing w:line="500" w:lineRule="exact"/>
              <w:rPr>
                <w:rFonts w:asciiTheme="minorEastAsia" w:hAnsiTheme="minorEastAsia" w:eastAsiaTheme="minorEastAsia"/>
                <w:color w:val="auto"/>
                <w:szCs w:val="21"/>
              </w:rPr>
            </w:pPr>
            <w:r>
              <w:rPr>
                <w:rFonts w:hint="eastAsia" w:ascii="宋体" w:hAnsi="宋体" w:cs="宋体"/>
                <w:color w:val="auto"/>
                <w:szCs w:val="21"/>
                <w:lang w:val="zh-CN" w:bidi="zh-CN"/>
              </w:rPr>
              <w:t>投标人应于投标截止时间</w:t>
            </w:r>
            <w:r>
              <w:rPr>
                <w:rFonts w:hint="eastAsia" w:ascii="宋体" w:hAnsi="宋体" w:cs="宋体"/>
                <w:color w:val="auto"/>
                <w:szCs w:val="21"/>
                <w:lang w:bidi="zh-CN"/>
              </w:rPr>
              <w:t>15</w:t>
            </w:r>
            <w:r>
              <w:rPr>
                <w:rFonts w:hint="eastAsia" w:ascii="宋体" w:hAnsi="宋体" w:cs="宋体"/>
                <w:color w:val="auto"/>
                <w:szCs w:val="21"/>
                <w:lang w:val="zh-CN" w:bidi="zh-CN"/>
              </w:rPr>
              <w:t>日前</w:t>
            </w:r>
            <w:r>
              <w:rPr>
                <w:rFonts w:hint="eastAsia" w:ascii="宋体" w:hAnsi="宋体" w:cs="宋体"/>
                <w:color w:val="auto"/>
                <w:szCs w:val="21"/>
                <w:lang w:bidi="zh-CN"/>
              </w:rPr>
              <w:t>，</w:t>
            </w:r>
            <w:r>
              <w:rPr>
                <w:rFonts w:hint="eastAsia" w:ascii="宋体" w:hAnsi="宋体" w:cs="宋体"/>
                <w:color w:val="auto"/>
                <w:szCs w:val="21"/>
                <w:lang w:val="zh-CN" w:bidi="zh-CN"/>
              </w:rPr>
              <w:t>将需要澄清的问题以加盖单位公章</w:t>
            </w:r>
            <w:r>
              <w:rPr>
                <w:rFonts w:hint="eastAsia" w:ascii="宋体" w:hAnsi="宋体" w:cs="宋体"/>
                <w:color w:val="auto"/>
                <w:szCs w:val="21"/>
                <w:lang w:bidi="zh-CN"/>
              </w:rPr>
              <w:t>的</w:t>
            </w:r>
            <w:r>
              <w:rPr>
                <w:rFonts w:hint="eastAsia" w:ascii="宋体" w:hAnsi="宋体" w:cs="宋体"/>
                <w:color w:val="auto"/>
                <w:szCs w:val="21"/>
                <w:lang w:val="zh-CN" w:bidi="zh-CN"/>
              </w:rPr>
              <w:t>文本形式</w:t>
            </w:r>
            <w:r>
              <w:rPr>
                <w:rFonts w:hint="eastAsia" w:ascii="宋体" w:hAnsi="宋体" w:cs="宋体"/>
                <w:color w:val="auto"/>
                <w:szCs w:val="21"/>
                <w:lang w:bidi="zh-CN"/>
              </w:rPr>
              <w:t>，</w:t>
            </w:r>
            <w:r>
              <w:rPr>
                <w:rFonts w:hint="eastAsia" w:ascii="宋体" w:hAnsi="宋体" w:cs="宋体"/>
                <w:color w:val="auto"/>
                <w:szCs w:val="21"/>
                <w:lang w:val="zh-CN" w:bidi="zh-CN"/>
              </w:rPr>
              <w:t>发送电子邮件</w:t>
            </w:r>
            <w:r>
              <w:rPr>
                <w:rFonts w:hint="eastAsia" w:ascii="宋体" w:hAnsi="宋体" w:cs="宋体"/>
                <w:color w:val="auto"/>
                <w:szCs w:val="21"/>
                <w:lang w:bidi="zh-CN"/>
              </w:rPr>
              <w:t>至fzjtjy02@163.com</w:t>
            </w:r>
            <w:r>
              <w:rPr>
                <w:rFonts w:hint="eastAsia" w:ascii="宋体" w:hAnsi="宋体" w:cs="宋体"/>
                <w:color w:val="auto"/>
                <w:szCs w:val="21"/>
                <w:lang w:val="zh-CN" w:bidi="zh-CN"/>
              </w:rPr>
              <w:t>并电话通知</w:t>
            </w:r>
            <w:r>
              <w:rPr>
                <w:rFonts w:hint="eastAsia" w:ascii="宋体" w:hAnsi="宋体" w:cs="宋体"/>
                <w:color w:val="auto"/>
                <w:szCs w:val="21"/>
                <w:lang w:bidi="zh-CN"/>
              </w:rPr>
              <w:t>招标</w:t>
            </w:r>
            <w:r>
              <w:rPr>
                <w:rFonts w:hint="eastAsia" w:ascii="宋体" w:hAnsi="宋体" w:cs="宋体"/>
                <w:color w:val="auto"/>
                <w:szCs w:val="21"/>
                <w:lang w:val="zh-CN" w:bidi="zh-CN"/>
              </w:rPr>
              <w:t>代理机构</w:t>
            </w:r>
            <w:r>
              <w:rPr>
                <w:rFonts w:hint="eastAsia" w:ascii="宋体" w:hAnsi="宋体" w:cs="宋体"/>
                <w:color w:val="auto"/>
                <w:szCs w:val="21"/>
                <w:lang w:bidi="zh-CN"/>
              </w:rPr>
              <w:t>，</w:t>
            </w:r>
            <w:r>
              <w:rPr>
                <w:rFonts w:hint="eastAsia" w:ascii="宋体" w:hAnsi="宋体" w:cs="宋体"/>
                <w:color w:val="auto"/>
                <w:szCs w:val="21"/>
                <w:lang w:val="zh-CN" w:bidi="zh-CN"/>
              </w:rPr>
              <w:t>逾期任何问题不作答复</w:t>
            </w:r>
            <w:r>
              <w:rPr>
                <w:rFonts w:hint="eastAsia" w:ascii="宋体" w:hAnsi="宋体" w:cs="宋体"/>
                <w:color w:val="auto"/>
                <w:szCs w:val="21"/>
                <w:lang w:bidi="zh-CN"/>
              </w:rPr>
              <w:t>，</w:t>
            </w:r>
            <w:r>
              <w:rPr>
                <w:rFonts w:hint="eastAsia" w:ascii="宋体" w:hAnsi="宋体" w:cs="宋体"/>
                <w:color w:val="auto"/>
                <w:szCs w:val="21"/>
                <w:lang w:val="zh-CN" w:bidi="zh-CN"/>
              </w:rPr>
              <w:t>并视为无需要澄清的问</w:t>
            </w:r>
            <w:r>
              <w:rPr>
                <w:rFonts w:hint="eastAsia" w:ascii="宋体" w:hAnsi="宋体" w:cs="宋体"/>
                <w:color w:val="auto"/>
                <w:szCs w:val="21"/>
                <w:lang w:bidi="zh-CN"/>
              </w:rPr>
              <w:t>题。</w:t>
            </w:r>
          </w:p>
        </w:tc>
      </w:tr>
      <w:tr w14:paraId="3980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67" w:type="dxa"/>
            <w:tcBorders>
              <w:tl2br w:val="nil"/>
              <w:tr2bl w:val="nil"/>
            </w:tcBorders>
            <w:vAlign w:val="center"/>
          </w:tcPr>
          <w:p w14:paraId="045E8FBB">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2.2.2</w:t>
            </w:r>
          </w:p>
        </w:tc>
        <w:tc>
          <w:tcPr>
            <w:tcW w:w="2234" w:type="dxa"/>
            <w:tcBorders>
              <w:tl2br w:val="nil"/>
              <w:tr2bl w:val="nil"/>
            </w:tcBorders>
            <w:vAlign w:val="center"/>
          </w:tcPr>
          <w:p w14:paraId="30B30E6D">
            <w:pPr>
              <w:spacing w:line="500" w:lineRule="exact"/>
              <w:jc w:val="center"/>
              <w:rPr>
                <w:rFonts w:asciiTheme="minorEastAsia" w:hAnsiTheme="minorEastAsia" w:eastAsiaTheme="minorEastAsia"/>
                <w:b/>
                <w:bCs/>
                <w:color w:val="auto"/>
                <w:szCs w:val="21"/>
                <w:highlight w:val="none"/>
              </w:rPr>
            </w:pPr>
            <w:r>
              <w:rPr>
                <w:rFonts w:hint="eastAsia" w:ascii="宋体" w:hAnsi="宋体"/>
                <w:color w:val="auto"/>
                <w:szCs w:val="21"/>
                <w:highlight w:val="none"/>
              </w:rPr>
              <w:t>投标截止时间</w:t>
            </w:r>
          </w:p>
        </w:tc>
        <w:tc>
          <w:tcPr>
            <w:tcW w:w="6777" w:type="dxa"/>
            <w:tcBorders>
              <w:tl2br w:val="nil"/>
              <w:tr2bl w:val="nil"/>
            </w:tcBorders>
            <w:vAlign w:val="center"/>
          </w:tcPr>
          <w:p w14:paraId="4AD341C2">
            <w:pPr>
              <w:spacing w:line="500" w:lineRule="exact"/>
              <w:rPr>
                <w:rFonts w:ascii="宋体" w:hAnsi="宋体"/>
                <w:b/>
                <w:color w:val="auto"/>
                <w:szCs w:val="21"/>
                <w:highlight w:val="none"/>
              </w:rPr>
            </w:pPr>
            <w:r>
              <w:rPr>
                <w:rFonts w:hint="eastAsia" w:ascii="宋体" w:hAnsi="宋体"/>
                <w:color w:val="auto"/>
                <w:szCs w:val="21"/>
                <w:highlight w:val="none"/>
              </w:rPr>
              <w:t>202</w:t>
            </w:r>
            <w:r>
              <w:rPr>
                <w:rFonts w:hint="eastAsia" w:ascii="宋体" w:hAnsi="宋体"/>
                <w:color w:val="auto"/>
                <w:szCs w:val="21"/>
                <w:highlight w:val="none"/>
                <w:lang w:val="en-US" w:eastAsia="zh-CN"/>
              </w:rPr>
              <w:t>5</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w:t>
            </w:r>
            <w:r>
              <w:rPr>
                <w:rFonts w:hint="eastAsia" w:ascii="宋体" w:hAnsi="宋体"/>
                <w:color w:val="auto"/>
                <w:szCs w:val="21"/>
                <w:highlight w:val="none"/>
                <w:lang w:val="en-US" w:eastAsia="zh-CN"/>
              </w:rPr>
              <w:t>13</w:t>
            </w:r>
            <w:r>
              <w:rPr>
                <w:rFonts w:hint="eastAsia" w:ascii="宋体" w:hAnsi="宋体"/>
                <w:color w:val="auto"/>
                <w:szCs w:val="21"/>
                <w:highlight w:val="none"/>
              </w:rPr>
              <w:t>日</w:t>
            </w:r>
            <w:r>
              <w:rPr>
                <w:rFonts w:hint="eastAsia" w:ascii="宋体" w:hAnsi="宋体"/>
                <w:color w:val="auto"/>
                <w:szCs w:val="21"/>
                <w:highlight w:val="none"/>
                <w:lang w:val="en-US" w:eastAsia="zh-CN"/>
              </w:rPr>
              <w:t>上午</w:t>
            </w:r>
            <w:r>
              <w:rPr>
                <w:rFonts w:hint="eastAsia" w:ascii="宋体" w:hAnsi="宋体"/>
                <w:color w:val="auto"/>
                <w:szCs w:val="21"/>
                <w:highlight w:val="none"/>
              </w:rPr>
              <w:t>09时</w:t>
            </w:r>
            <w:r>
              <w:rPr>
                <w:rFonts w:hint="eastAsia" w:ascii="宋体" w:hAnsi="宋体"/>
                <w:color w:val="auto"/>
                <w:szCs w:val="21"/>
                <w:highlight w:val="none"/>
                <w:lang w:val="en-US" w:eastAsia="zh-CN"/>
              </w:rPr>
              <w:t>0</w:t>
            </w:r>
            <w:r>
              <w:rPr>
                <w:rFonts w:hint="eastAsia" w:ascii="宋体" w:hAnsi="宋体"/>
                <w:color w:val="auto"/>
                <w:szCs w:val="21"/>
                <w:highlight w:val="none"/>
              </w:rPr>
              <w:t>0分</w:t>
            </w:r>
          </w:p>
        </w:tc>
      </w:tr>
      <w:tr w14:paraId="27E1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67" w:type="dxa"/>
            <w:tcBorders>
              <w:tl2br w:val="nil"/>
              <w:tr2bl w:val="nil"/>
            </w:tcBorders>
            <w:vAlign w:val="center"/>
          </w:tcPr>
          <w:p w14:paraId="5750EDF9">
            <w:pPr>
              <w:spacing w:line="500" w:lineRule="exact"/>
              <w:jc w:val="center"/>
              <w:rPr>
                <w:rFonts w:asciiTheme="minorEastAsia" w:hAnsiTheme="minorEastAsia" w:eastAsiaTheme="minorEastAsia"/>
                <w:color w:val="auto"/>
                <w:szCs w:val="21"/>
              </w:rPr>
            </w:pPr>
            <w:r>
              <w:rPr>
                <w:rFonts w:hint="eastAsia" w:ascii="宋体" w:hAnsi="宋体"/>
                <w:color w:val="auto"/>
                <w:szCs w:val="21"/>
              </w:rPr>
              <w:t>2.2.3</w:t>
            </w:r>
          </w:p>
        </w:tc>
        <w:tc>
          <w:tcPr>
            <w:tcW w:w="2234" w:type="dxa"/>
            <w:tcBorders>
              <w:tl2br w:val="nil"/>
              <w:tr2bl w:val="nil"/>
            </w:tcBorders>
            <w:vAlign w:val="center"/>
          </w:tcPr>
          <w:p w14:paraId="6CECDAAF">
            <w:pPr>
              <w:spacing w:line="500" w:lineRule="exact"/>
              <w:jc w:val="center"/>
              <w:rPr>
                <w:rFonts w:ascii="宋体" w:hAnsi="宋体"/>
                <w:color w:val="auto"/>
                <w:szCs w:val="21"/>
              </w:rPr>
            </w:pPr>
            <w:r>
              <w:rPr>
                <w:rFonts w:hint="eastAsia" w:ascii="宋体" w:hAnsi="宋体"/>
                <w:color w:val="auto"/>
                <w:szCs w:val="21"/>
              </w:rPr>
              <w:t>投标人确认收到招标文件澄清的时间</w:t>
            </w:r>
          </w:p>
        </w:tc>
        <w:tc>
          <w:tcPr>
            <w:tcW w:w="6777" w:type="dxa"/>
            <w:tcBorders>
              <w:tl2br w:val="nil"/>
              <w:tr2bl w:val="nil"/>
            </w:tcBorders>
            <w:vAlign w:val="center"/>
          </w:tcPr>
          <w:p w14:paraId="7406ABF6">
            <w:pPr>
              <w:spacing w:line="500" w:lineRule="exact"/>
              <w:rPr>
                <w:rFonts w:ascii="宋体" w:hAnsi="宋体"/>
                <w:color w:val="auto"/>
                <w:szCs w:val="21"/>
              </w:rPr>
            </w:pPr>
            <w:r>
              <w:rPr>
                <w:rFonts w:hint="eastAsia" w:ascii="宋体" w:hAnsi="宋体"/>
                <w:color w:val="auto"/>
                <w:szCs w:val="21"/>
              </w:rPr>
              <w:t>在收到相应澄清文件后24小时内</w:t>
            </w:r>
          </w:p>
        </w:tc>
      </w:tr>
      <w:tr w14:paraId="6B97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167" w:type="dxa"/>
            <w:tcBorders>
              <w:tl2br w:val="nil"/>
              <w:tr2bl w:val="nil"/>
            </w:tcBorders>
            <w:vAlign w:val="center"/>
          </w:tcPr>
          <w:p w14:paraId="0B4594BC">
            <w:pPr>
              <w:spacing w:line="500" w:lineRule="exact"/>
              <w:jc w:val="center"/>
              <w:rPr>
                <w:rFonts w:asciiTheme="minorEastAsia" w:hAnsiTheme="minorEastAsia" w:eastAsiaTheme="minorEastAsia"/>
                <w:color w:val="auto"/>
                <w:szCs w:val="21"/>
              </w:rPr>
            </w:pPr>
            <w:r>
              <w:rPr>
                <w:rFonts w:hint="eastAsia" w:ascii="宋体" w:hAnsi="宋体"/>
                <w:color w:val="auto"/>
                <w:szCs w:val="21"/>
              </w:rPr>
              <w:t>2.3.2</w:t>
            </w:r>
          </w:p>
        </w:tc>
        <w:tc>
          <w:tcPr>
            <w:tcW w:w="2234" w:type="dxa"/>
            <w:tcBorders>
              <w:tl2br w:val="nil"/>
              <w:tr2bl w:val="nil"/>
            </w:tcBorders>
            <w:vAlign w:val="center"/>
          </w:tcPr>
          <w:p w14:paraId="5BEA476D">
            <w:pPr>
              <w:spacing w:line="500" w:lineRule="exact"/>
              <w:jc w:val="center"/>
              <w:rPr>
                <w:rFonts w:ascii="宋体" w:hAnsi="宋体"/>
                <w:color w:val="auto"/>
                <w:szCs w:val="21"/>
              </w:rPr>
            </w:pPr>
            <w:r>
              <w:rPr>
                <w:rFonts w:hint="eastAsia" w:ascii="宋体" w:hAnsi="宋体"/>
                <w:color w:val="auto"/>
                <w:szCs w:val="21"/>
              </w:rPr>
              <w:t>投标人确认收到招标文件修改的时间</w:t>
            </w:r>
          </w:p>
        </w:tc>
        <w:tc>
          <w:tcPr>
            <w:tcW w:w="6777" w:type="dxa"/>
            <w:tcBorders>
              <w:tl2br w:val="nil"/>
              <w:tr2bl w:val="nil"/>
            </w:tcBorders>
            <w:vAlign w:val="center"/>
          </w:tcPr>
          <w:p w14:paraId="1F5F24BC">
            <w:pPr>
              <w:spacing w:line="500" w:lineRule="exact"/>
              <w:rPr>
                <w:rFonts w:ascii="宋体" w:hAnsi="宋体"/>
                <w:color w:val="auto"/>
                <w:szCs w:val="21"/>
              </w:rPr>
            </w:pPr>
            <w:r>
              <w:rPr>
                <w:rFonts w:hint="eastAsia" w:ascii="宋体" w:hAnsi="宋体"/>
                <w:color w:val="auto"/>
                <w:szCs w:val="21"/>
              </w:rPr>
              <w:t>在收到相应修改文件后24小时内</w:t>
            </w:r>
          </w:p>
        </w:tc>
      </w:tr>
      <w:tr w14:paraId="48F51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1167" w:type="dxa"/>
            <w:tcBorders>
              <w:tl2br w:val="nil"/>
              <w:tr2bl w:val="nil"/>
            </w:tcBorders>
            <w:vAlign w:val="center"/>
          </w:tcPr>
          <w:p w14:paraId="61A0908A">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3.1.1</w:t>
            </w:r>
          </w:p>
        </w:tc>
        <w:tc>
          <w:tcPr>
            <w:tcW w:w="2234" w:type="dxa"/>
            <w:tcBorders>
              <w:tl2br w:val="nil"/>
              <w:tr2bl w:val="nil"/>
            </w:tcBorders>
            <w:vAlign w:val="center"/>
          </w:tcPr>
          <w:p w14:paraId="2C9E67C4">
            <w:pPr>
              <w:spacing w:line="500" w:lineRule="exact"/>
              <w:jc w:val="center"/>
              <w:rPr>
                <w:rFonts w:ascii="宋体" w:hAnsi="宋体"/>
                <w:color w:val="auto"/>
                <w:w w:val="99"/>
                <w:szCs w:val="21"/>
              </w:rPr>
            </w:pPr>
            <w:r>
              <w:rPr>
                <w:rFonts w:ascii="宋体" w:hAnsi="宋体"/>
                <w:color w:val="auto"/>
                <w:szCs w:val="21"/>
              </w:rPr>
              <w:t>构成投标文件的其他材料</w:t>
            </w:r>
          </w:p>
        </w:tc>
        <w:tc>
          <w:tcPr>
            <w:tcW w:w="6777" w:type="dxa"/>
            <w:tcBorders>
              <w:tl2br w:val="nil"/>
              <w:tr2bl w:val="nil"/>
            </w:tcBorders>
            <w:vAlign w:val="center"/>
          </w:tcPr>
          <w:p w14:paraId="41DEC6DC">
            <w:pPr>
              <w:spacing w:line="500" w:lineRule="exact"/>
              <w:rPr>
                <w:rFonts w:ascii="宋体" w:hAnsi="宋体"/>
                <w:color w:val="auto"/>
                <w:szCs w:val="21"/>
              </w:rPr>
            </w:pPr>
            <w:r>
              <w:rPr>
                <w:rFonts w:ascii="宋体" w:hAnsi="宋体"/>
                <w:color w:val="auto"/>
                <w:szCs w:val="21"/>
              </w:rPr>
              <w:t>投标文件的修改文件、澄清文件及有关问题的说明</w:t>
            </w:r>
          </w:p>
        </w:tc>
      </w:tr>
      <w:tr w14:paraId="4292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167" w:type="dxa"/>
            <w:tcBorders>
              <w:tl2br w:val="nil"/>
              <w:tr2bl w:val="nil"/>
            </w:tcBorders>
            <w:vAlign w:val="center"/>
          </w:tcPr>
          <w:p w14:paraId="520E2A6D">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3.3.1</w:t>
            </w:r>
          </w:p>
        </w:tc>
        <w:tc>
          <w:tcPr>
            <w:tcW w:w="2234" w:type="dxa"/>
            <w:tcBorders>
              <w:tl2br w:val="nil"/>
              <w:tr2bl w:val="nil"/>
            </w:tcBorders>
            <w:vAlign w:val="center"/>
          </w:tcPr>
          <w:p w14:paraId="2BAA4B2B">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投标有效期</w:t>
            </w:r>
          </w:p>
        </w:tc>
        <w:tc>
          <w:tcPr>
            <w:tcW w:w="6777" w:type="dxa"/>
            <w:tcBorders>
              <w:tl2br w:val="nil"/>
              <w:tr2bl w:val="nil"/>
            </w:tcBorders>
            <w:vAlign w:val="center"/>
          </w:tcPr>
          <w:p w14:paraId="339F33A5">
            <w:pPr>
              <w:spacing w:line="500" w:lineRule="exact"/>
              <w:rPr>
                <w:rFonts w:asciiTheme="minorEastAsia" w:hAnsiTheme="minorEastAsia" w:eastAsiaTheme="minorEastAsia"/>
                <w:color w:val="auto"/>
                <w:szCs w:val="21"/>
              </w:rPr>
            </w:pPr>
            <w:bookmarkStart w:id="8" w:name="_Toc361508582"/>
            <w:bookmarkStart w:id="9" w:name="_Toc384308207"/>
            <w:bookmarkStart w:id="10" w:name="_Toc300834946"/>
            <w:bookmarkStart w:id="11" w:name="_Toc1789"/>
            <w:bookmarkStart w:id="12" w:name="_Toc369531512"/>
            <w:bookmarkStart w:id="13" w:name="_Toc352691470"/>
            <w:r>
              <w:rPr>
                <w:rFonts w:hint="eastAsia" w:ascii="宋体" w:hAnsi="宋体" w:cs="宋体"/>
                <w:color w:val="auto"/>
                <w:szCs w:val="21"/>
                <w:u w:val="single"/>
              </w:rPr>
              <w:t>90</w:t>
            </w:r>
            <w:r>
              <w:rPr>
                <w:rFonts w:hint="eastAsia" w:ascii="宋体" w:hAnsi="宋体" w:cs="宋体"/>
                <w:color w:val="auto"/>
                <w:kern w:val="0"/>
                <w:szCs w:val="21"/>
              </w:rPr>
              <w:t>日历天（自投标截止之日算起）</w:t>
            </w:r>
          </w:p>
        </w:tc>
      </w:tr>
      <w:tr w14:paraId="428F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67" w:type="dxa"/>
            <w:tcBorders>
              <w:tl2br w:val="nil"/>
              <w:tr2bl w:val="nil"/>
            </w:tcBorders>
            <w:vAlign w:val="center"/>
          </w:tcPr>
          <w:p w14:paraId="2BEC4281">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3.4.</w:t>
            </w:r>
            <w:bookmarkEnd w:id="8"/>
            <w:bookmarkEnd w:id="9"/>
            <w:bookmarkEnd w:id="10"/>
            <w:bookmarkEnd w:id="11"/>
            <w:bookmarkEnd w:id="12"/>
            <w:bookmarkEnd w:id="13"/>
            <w:r>
              <w:rPr>
                <w:rFonts w:asciiTheme="minorEastAsia" w:hAnsiTheme="minorEastAsia" w:eastAsiaTheme="minorEastAsia"/>
                <w:color w:val="auto"/>
                <w:szCs w:val="21"/>
              </w:rPr>
              <w:t>1</w:t>
            </w:r>
          </w:p>
        </w:tc>
        <w:tc>
          <w:tcPr>
            <w:tcW w:w="2234" w:type="dxa"/>
            <w:tcBorders>
              <w:tl2br w:val="nil"/>
              <w:tr2bl w:val="nil"/>
            </w:tcBorders>
            <w:vAlign w:val="center"/>
          </w:tcPr>
          <w:p w14:paraId="318C446F">
            <w:pPr>
              <w:spacing w:line="360" w:lineRule="auto"/>
              <w:jc w:val="center"/>
              <w:rPr>
                <w:rFonts w:ascii="宋体" w:hAnsi="宋体" w:cs="宋体"/>
                <w:color w:val="auto"/>
                <w:kern w:val="0"/>
                <w:szCs w:val="21"/>
              </w:rPr>
            </w:pPr>
            <w:r>
              <w:rPr>
                <w:rFonts w:hint="eastAsia" w:ascii="宋体" w:hAnsi="宋体" w:eastAsia="宋体" w:cs="宋体"/>
                <w:b/>
                <w:bCs/>
                <w:color w:val="auto"/>
                <w:szCs w:val="21"/>
                <w:highlight w:val="none"/>
              </w:rPr>
              <w:t>投标保证金</w:t>
            </w:r>
          </w:p>
        </w:tc>
        <w:tc>
          <w:tcPr>
            <w:tcW w:w="6777" w:type="dxa"/>
            <w:tcBorders>
              <w:tl2br w:val="nil"/>
              <w:tr2bl w:val="nil"/>
            </w:tcBorders>
            <w:vAlign w:val="center"/>
          </w:tcPr>
          <w:p w14:paraId="75315C1B">
            <w:pPr>
              <w:spacing w:line="470" w:lineRule="exact"/>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无</w:t>
            </w:r>
          </w:p>
        </w:tc>
      </w:tr>
      <w:tr w14:paraId="2FE8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67" w:type="dxa"/>
            <w:tcBorders>
              <w:tl2br w:val="nil"/>
              <w:tr2bl w:val="nil"/>
            </w:tcBorders>
            <w:vAlign w:val="center"/>
          </w:tcPr>
          <w:p w14:paraId="331D83E5">
            <w:pPr>
              <w:spacing w:line="440" w:lineRule="exact"/>
              <w:jc w:val="center"/>
              <w:rPr>
                <w:rFonts w:asciiTheme="minorEastAsia" w:hAnsiTheme="minorEastAsia" w:eastAsiaTheme="minorEastAsia"/>
                <w:color w:val="auto"/>
                <w:szCs w:val="21"/>
              </w:rPr>
            </w:pPr>
            <w:r>
              <w:rPr>
                <w:rFonts w:hint="eastAsia" w:ascii="宋体" w:hAnsi="宋体" w:cs="宋体"/>
                <w:color w:val="auto"/>
                <w:szCs w:val="21"/>
              </w:rPr>
              <w:t>3.5.3</w:t>
            </w:r>
          </w:p>
        </w:tc>
        <w:tc>
          <w:tcPr>
            <w:tcW w:w="2234" w:type="dxa"/>
            <w:tcBorders>
              <w:tl2br w:val="nil"/>
              <w:tr2bl w:val="nil"/>
            </w:tcBorders>
            <w:vAlign w:val="center"/>
          </w:tcPr>
          <w:p w14:paraId="486989A7">
            <w:pPr>
              <w:spacing w:line="440" w:lineRule="exact"/>
              <w:jc w:val="center"/>
              <w:rPr>
                <w:rFonts w:asciiTheme="minorEastAsia" w:hAnsiTheme="minorEastAsia" w:eastAsiaTheme="minorEastAsia"/>
                <w:color w:val="auto"/>
                <w:szCs w:val="21"/>
              </w:rPr>
            </w:pPr>
            <w:r>
              <w:rPr>
                <w:rFonts w:hint="eastAsia" w:ascii="宋体" w:hAnsi="宋体" w:cs="宋体"/>
                <w:color w:val="auto"/>
                <w:szCs w:val="21"/>
              </w:rPr>
              <w:t>近年完成的类似项目</w:t>
            </w:r>
          </w:p>
        </w:tc>
        <w:tc>
          <w:tcPr>
            <w:tcW w:w="6777" w:type="dxa"/>
            <w:tcBorders>
              <w:tl2br w:val="nil"/>
              <w:tr2bl w:val="nil"/>
            </w:tcBorders>
            <w:vAlign w:val="center"/>
          </w:tcPr>
          <w:p w14:paraId="76FC771A">
            <w:pPr>
              <w:rPr>
                <w:rFonts w:asciiTheme="minorEastAsia" w:hAnsiTheme="minorEastAsia" w:eastAsiaTheme="minorEastAsia"/>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年1月1日至今</w:t>
            </w:r>
          </w:p>
        </w:tc>
      </w:tr>
      <w:tr w14:paraId="46E7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67" w:type="dxa"/>
            <w:tcBorders>
              <w:tl2br w:val="nil"/>
              <w:tr2bl w:val="nil"/>
            </w:tcBorders>
            <w:vAlign w:val="center"/>
          </w:tcPr>
          <w:p w14:paraId="56CC9E7C">
            <w:pPr>
              <w:spacing w:line="440" w:lineRule="exact"/>
              <w:jc w:val="center"/>
              <w:rPr>
                <w:rFonts w:asciiTheme="minorEastAsia" w:hAnsiTheme="minorEastAsia" w:eastAsiaTheme="minorEastAsia"/>
                <w:color w:val="auto"/>
                <w:szCs w:val="21"/>
              </w:rPr>
            </w:pPr>
            <w:r>
              <w:rPr>
                <w:rFonts w:hint="eastAsia" w:ascii="宋体" w:hAnsi="宋体" w:cs="宋体"/>
                <w:color w:val="auto"/>
                <w:szCs w:val="21"/>
              </w:rPr>
              <w:t>3.5.5</w:t>
            </w:r>
          </w:p>
        </w:tc>
        <w:tc>
          <w:tcPr>
            <w:tcW w:w="2234" w:type="dxa"/>
            <w:tcBorders>
              <w:tl2br w:val="nil"/>
              <w:tr2bl w:val="nil"/>
            </w:tcBorders>
            <w:vAlign w:val="center"/>
          </w:tcPr>
          <w:p w14:paraId="75865F16">
            <w:pPr>
              <w:spacing w:line="440" w:lineRule="exact"/>
              <w:jc w:val="center"/>
              <w:rPr>
                <w:rFonts w:asciiTheme="minorEastAsia" w:hAnsiTheme="minorEastAsia" w:eastAsiaTheme="minorEastAsia"/>
                <w:color w:val="auto"/>
                <w:szCs w:val="21"/>
              </w:rPr>
            </w:pPr>
            <w:r>
              <w:rPr>
                <w:rFonts w:hint="eastAsia" w:ascii="宋体" w:hAnsi="宋体" w:cs="宋体"/>
                <w:color w:val="auto"/>
                <w:szCs w:val="21"/>
              </w:rPr>
              <w:t>近年发生的重大诉讼及仲裁情况</w:t>
            </w:r>
          </w:p>
        </w:tc>
        <w:tc>
          <w:tcPr>
            <w:tcW w:w="6777" w:type="dxa"/>
            <w:tcBorders>
              <w:tl2br w:val="nil"/>
              <w:tr2bl w:val="nil"/>
            </w:tcBorders>
            <w:vAlign w:val="center"/>
          </w:tcPr>
          <w:p w14:paraId="452B9419">
            <w:pPr>
              <w:spacing w:line="440" w:lineRule="exact"/>
              <w:rPr>
                <w:rFonts w:asciiTheme="minorEastAsia" w:hAnsiTheme="minorEastAsia" w:eastAsiaTheme="minorEastAsia"/>
                <w:color w:val="auto"/>
                <w:szCs w:val="21"/>
              </w:rPr>
            </w:pPr>
            <w:r>
              <w:rPr>
                <w:rFonts w:hint="eastAsia" w:ascii="宋体" w:hAnsi="宋体" w:cs="宋体"/>
                <w:color w:val="auto"/>
                <w:szCs w:val="21"/>
              </w:rPr>
              <w:t>202</w:t>
            </w:r>
            <w:r>
              <w:rPr>
                <w:rFonts w:hint="eastAsia" w:ascii="宋体" w:hAnsi="宋体" w:cs="宋体"/>
                <w:color w:val="auto"/>
                <w:szCs w:val="21"/>
                <w:lang w:val="en-US" w:eastAsia="zh-CN"/>
              </w:rPr>
              <w:t>2</w:t>
            </w:r>
            <w:r>
              <w:rPr>
                <w:rFonts w:hint="eastAsia" w:ascii="宋体" w:hAnsi="宋体" w:cs="宋体"/>
                <w:color w:val="auto"/>
                <w:szCs w:val="21"/>
              </w:rPr>
              <w:t>年1月1日至今</w:t>
            </w:r>
          </w:p>
        </w:tc>
      </w:tr>
      <w:tr w14:paraId="10B31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167" w:type="dxa"/>
            <w:tcBorders>
              <w:tl2br w:val="nil"/>
              <w:tr2bl w:val="nil"/>
            </w:tcBorders>
            <w:vAlign w:val="center"/>
          </w:tcPr>
          <w:p w14:paraId="00410D23">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3.6</w:t>
            </w:r>
          </w:p>
        </w:tc>
        <w:tc>
          <w:tcPr>
            <w:tcW w:w="2234" w:type="dxa"/>
            <w:tcBorders>
              <w:tl2br w:val="nil"/>
              <w:tr2bl w:val="nil"/>
            </w:tcBorders>
            <w:vAlign w:val="center"/>
          </w:tcPr>
          <w:p w14:paraId="2D37D3DF">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是否允许递交备选投标方案</w:t>
            </w:r>
          </w:p>
        </w:tc>
        <w:tc>
          <w:tcPr>
            <w:tcW w:w="6777" w:type="dxa"/>
            <w:tcBorders>
              <w:tl2br w:val="nil"/>
              <w:tr2bl w:val="nil"/>
            </w:tcBorders>
            <w:vAlign w:val="center"/>
          </w:tcPr>
          <w:p w14:paraId="7EB95508">
            <w:pPr>
              <w:pStyle w:val="31"/>
              <w:topLinePunct/>
              <w:spacing w:line="500" w:lineRule="exac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sym w:font="Wingdings" w:char="00FE"/>
            </w:r>
            <w:r>
              <w:rPr>
                <w:rFonts w:asciiTheme="minorEastAsia" w:hAnsiTheme="minorEastAsia" w:eastAsiaTheme="minorEastAsia"/>
                <w:color w:val="auto"/>
                <w:sz w:val="21"/>
                <w:szCs w:val="21"/>
              </w:rPr>
              <w:t>不允许</w:t>
            </w:r>
          </w:p>
          <w:p w14:paraId="3B32A169">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□允许</w:t>
            </w:r>
          </w:p>
        </w:tc>
      </w:tr>
      <w:tr w14:paraId="0DA2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167" w:type="dxa"/>
            <w:tcBorders>
              <w:tl2br w:val="nil"/>
              <w:tr2bl w:val="nil"/>
            </w:tcBorders>
            <w:vAlign w:val="center"/>
          </w:tcPr>
          <w:p w14:paraId="417F501E">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3.7.3</w:t>
            </w:r>
          </w:p>
        </w:tc>
        <w:tc>
          <w:tcPr>
            <w:tcW w:w="2234" w:type="dxa"/>
            <w:tcBorders>
              <w:tl2br w:val="nil"/>
              <w:tr2bl w:val="nil"/>
            </w:tcBorders>
            <w:vAlign w:val="center"/>
          </w:tcPr>
          <w:p w14:paraId="4D7C2A5C">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投标文件签字或盖章要求</w:t>
            </w:r>
          </w:p>
        </w:tc>
        <w:tc>
          <w:tcPr>
            <w:tcW w:w="6777" w:type="dxa"/>
            <w:tcBorders>
              <w:tl2br w:val="nil"/>
              <w:tr2bl w:val="nil"/>
            </w:tcBorders>
            <w:vAlign w:val="center"/>
          </w:tcPr>
          <w:p w14:paraId="60468BAE">
            <w:pPr>
              <w:pStyle w:val="31"/>
              <w:topLinePunct/>
              <w:spacing w:line="500" w:lineRule="exact"/>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由投标人的法定代表人或其授权的委托代理人签字或盖章并盖单位章</w:t>
            </w:r>
            <w:r>
              <w:rPr>
                <w:rFonts w:hint="eastAsia" w:hAnsi="宋体" w:cs="宋体"/>
                <w:color w:val="auto"/>
                <w:sz w:val="21"/>
                <w:szCs w:val="21"/>
              </w:rPr>
              <w:t>（可采用电子签章）</w:t>
            </w:r>
            <w:r>
              <w:rPr>
                <w:rFonts w:hint="eastAsia" w:asciiTheme="minorEastAsia" w:hAnsiTheme="minorEastAsia" w:eastAsiaTheme="minorEastAsia"/>
                <w:color w:val="auto"/>
                <w:sz w:val="21"/>
                <w:szCs w:val="21"/>
              </w:rPr>
              <w:t>。</w:t>
            </w:r>
          </w:p>
        </w:tc>
      </w:tr>
      <w:tr w14:paraId="7309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167" w:type="dxa"/>
            <w:tcBorders>
              <w:tl2br w:val="nil"/>
              <w:tr2bl w:val="nil"/>
            </w:tcBorders>
            <w:vAlign w:val="center"/>
          </w:tcPr>
          <w:p w14:paraId="3FCD9B65">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3.7.</w:t>
            </w:r>
            <w:r>
              <w:rPr>
                <w:rFonts w:hint="eastAsia" w:asciiTheme="minorEastAsia" w:hAnsiTheme="minorEastAsia" w:eastAsiaTheme="minorEastAsia"/>
                <w:color w:val="auto"/>
                <w:szCs w:val="21"/>
              </w:rPr>
              <w:t>4</w:t>
            </w:r>
          </w:p>
        </w:tc>
        <w:tc>
          <w:tcPr>
            <w:tcW w:w="2234" w:type="dxa"/>
            <w:tcBorders>
              <w:tl2br w:val="nil"/>
              <w:tr2bl w:val="nil"/>
            </w:tcBorders>
            <w:vAlign w:val="center"/>
          </w:tcPr>
          <w:p w14:paraId="0DA39FBE">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投标文件份数</w:t>
            </w:r>
          </w:p>
        </w:tc>
        <w:tc>
          <w:tcPr>
            <w:tcW w:w="6777" w:type="dxa"/>
            <w:tcBorders>
              <w:tl2br w:val="nil"/>
              <w:tr2bl w:val="nil"/>
            </w:tcBorders>
            <w:vAlign w:val="center"/>
          </w:tcPr>
          <w:p w14:paraId="5A0D35B0">
            <w:pPr>
              <w:pStyle w:val="150"/>
              <w:spacing w:line="360" w:lineRule="auto"/>
              <w:rPr>
                <w:rFonts w:hint="eastAsia" w:asciiTheme="minorEastAsia" w:hAnsiTheme="minorEastAsia" w:eastAsiaTheme="minorEastAsia"/>
                <w:color w:val="auto"/>
                <w:sz w:val="21"/>
                <w:szCs w:val="21"/>
                <w:lang w:eastAsia="zh-CN"/>
              </w:rPr>
            </w:pPr>
            <w:r>
              <w:rPr>
                <w:rFonts w:hint="eastAsia" w:hAnsi="宋体" w:cs="宋体"/>
                <w:b/>
                <w:bCs/>
                <w:color w:val="auto"/>
                <w:sz w:val="21"/>
                <w:szCs w:val="21"/>
              </w:rPr>
              <w:t>电子投标文件：加密文件 1 份，</w:t>
            </w:r>
            <w:r>
              <w:rPr>
                <w:rFonts w:hint="eastAsia" w:asciiTheme="minorEastAsia" w:hAnsiTheme="minorEastAsia" w:eastAsiaTheme="minorEastAsia"/>
                <w:color w:val="auto"/>
                <w:sz w:val="21"/>
                <w:szCs w:val="21"/>
              </w:rPr>
              <w:t>在开标时间之前通过电子交易系统“上传投标文件”菜单上传至赢标电子招标采购交易系统</w:t>
            </w:r>
            <w:r>
              <w:rPr>
                <w:rFonts w:hint="eastAsia" w:asciiTheme="minorEastAsia" w:hAnsiTheme="minorEastAsia" w:eastAsiaTheme="minorEastAsia"/>
                <w:color w:val="auto"/>
                <w:sz w:val="21"/>
                <w:szCs w:val="21"/>
                <w:lang w:eastAsia="zh-CN"/>
              </w:rPr>
              <w:t>。</w:t>
            </w:r>
          </w:p>
          <w:p w14:paraId="723DB231">
            <w:pPr>
              <w:pStyle w:val="150"/>
              <w:spacing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入围定标候选人，需在候选人公示期间提供系统内生成的PDF格式的纸质版投标文件5份（一正四副）。</w:t>
            </w:r>
          </w:p>
        </w:tc>
      </w:tr>
      <w:tr w14:paraId="082D6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167" w:type="dxa"/>
            <w:tcBorders>
              <w:tl2br w:val="nil"/>
              <w:tr2bl w:val="nil"/>
            </w:tcBorders>
            <w:vAlign w:val="center"/>
          </w:tcPr>
          <w:p w14:paraId="4F1F6398">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4.2.1</w:t>
            </w:r>
          </w:p>
        </w:tc>
        <w:tc>
          <w:tcPr>
            <w:tcW w:w="2234" w:type="dxa"/>
            <w:tcBorders>
              <w:tl2br w:val="nil"/>
              <w:tr2bl w:val="nil"/>
            </w:tcBorders>
            <w:vAlign w:val="center"/>
          </w:tcPr>
          <w:p w14:paraId="460D83E8">
            <w:pPr>
              <w:tabs>
                <w:tab w:val="left" w:pos="1758"/>
              </w:tabs>
              <w:spacing w:line="360"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递交投标文件</w:t>
            </w:r>
          </w:p>
          <w:p w14:paraId="2C36317F">
            <w:pPr>
              <w:tabs>
                <w:tab w:val="left" w:pos="1758"/>
              </w:tabs>
              <w:spacing w:line="360" w:lineRule="auto"/>
              <w:jc w:val="center"/>
              <w:rPr>
                <w:color w:val="auto"/>
                <w:szCs w:val="21"/>
                <w:highlight w:val="none"/>
              </w:rPr>
            </w:pPr>
            <w:r>
              <w:rPr>
                <w:rFonts w:hint="eastAsia" w:ascii="宋体" w:hAnsi="宋体" w:eastAsia="宋体" w:cs="宋体"/>
                <w:color w:val="auto"/>
                <w:szCs w:val="21"/>
                <w:highlight w:val="none"/>
              </w:rPr>
              <w:t>截止时间和地点</w:t>
            </w:r>
          </w:p>
        </w:tc>
        <w:tc>
          <w:tcPr>
            <w:tcW w:w="6777" w:type="dxa"/>
            <w:tcBorders>
              <w:tl2br w:val="nil"/>
              <w:tr2bl w:val="nil"/>
            </w:tcBorders>
            <w:vAlign w:val="center"/>
          </w:tcPr>
          <w:p w14:paraId="555E2310">
            <w:pPr>
              <w:widowControl/>
              <w:tabs>
                <w:tab w:val="left" w:pos="1758"/>
              </w:tabs>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年</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09</w:t>
            </w:r>
            <w:r>
              <w:rPr>
                <w:rFonts w:hint="eastAsia" w:ascii="宋体" w:hAnsi="宋体" w:eastAsia="宋体" w:cs="宋体"/>
                <w:color w:val="auto"/>
                <w:szCs w:val="21"/>
                <w:highlight w:val="none"/>
              </w:rPr>
              <w:t>时</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0分（北京时间）</w:t>
            </w:r>
          </w:p>
          <w:p w14:paraId="57B471DD">
            <w:pPr>
              <w:widowControl/>
              <w:tabs>
                <w:tab w:val="left" w:pos="1758"/>
              </w:tabs>
              <w:spacing w:line="360" w:lineRule="auto"/>
              <w:rPr>
                <w:b/>
                <w:bCs/>
                <w:color w:val="auto"/>
                <w:szCs w:val="21"/>
                <w:highlight w:val="none"/>
              </w:rPr>
            </w:pPr>
            <w:r>
              <w:rPr>
                <w:rFonts w:hint="eastAsia" w:ascii="宋体" w:hAnsi="宋体" w:eastAsia="宋体" w:cs="宋体"/>
                <w:color w:val="auto"/>
                <w:szCs w:val="21"/>
                <w:highlight w:val="none"/>
              </w:rPr>
              <w:t>地点:</w:t>
            </w:r>
            <w:r>
              <w:rPr>
                <w:rFonts w:hint="eastAsia" w:ascii="宋体" w:hAnsi="宋体" w:cs="宋体"/>
                <w:b/>
                <w:bCs/>
                <w:color w:val="auto"/>
                <w:szCs w:val="21"/>
                <w:highlight w:val="none"/>
              </w:rPr>
              <w:t>本项目网上开标，投标单位无需到达开标现场，在赢标电子招标采购交易系统（http://hzsjyzx.cn:50000/#/login）虚拟开标大厅开启</w:t>
            </w:r>
          </w:p>
        </w:tc>
      </w:tr>
      <w:tr w14:paraId="0E3DD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67" w:type="dxa"/>
            <w:tcBorders>
              <w:tl2br w:val="nil"/>
              <w:tr2bl w:val="nil"/>
            </w:tcBorders>
            <w:vAlign w:val="center"/>
          </w:tcPr>
          <w:p w14:paraId="4C9D41C7">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4.2.3</w:t>
            </w:r>
          </w:p>
        </w:tc>
        <w:tc>
          <w:tcPr>
            <w:tcW w:w="2234" w:type="dxa"/>
            <w:tcBorders>
              <w:tl2br w:val="nil"/>
              <w:tr2bl w:val="nil"/>
            </w:tcBorders>
            <w:vAlign w:val="center"/>
          </w:tcPr>
          <w:p w14:paraId="6B06A8E5">
            <w:pPr>
              <w:spacing w:line="500" w:lineRule="exact"/>
              <w:jc w:val="center"/>
              <w:rPr>
                <w:color w:val="auto"/>
                <w:szCs w:val="21"/>
              </w:rPr>
            </w:pPr>
            <w:r>
              <w:rPr>
                <w:rFonts w:hint="eastAsia" w:asciiTheme="minorEastAsia" w:hAnsiTheme="minorEastAsia" w:eastAsiaTheme="minorEastAsia"/>
                <w:color w:val="auto"/>
                <w:szCs w:val="21"/>
              </w:rPr>
              <w:t>是否退还投标文件</w:t>
            </w:r>
          </w:p>
        </w:tc>
        <w:tc>
          <w:tcPr>
            <w:tcW w:w="6777" w:type="dxa"/>
            <w:tcBorders>
              <w:tl2br w:val="nil"/>
              <w:tr2bl w:val="nil"/>
            </w:tcBorders>
            <w:vAlign w:val="center"/>
          </w:tcPr>
          <w:p w14:paraId="13B124FF">
            <w:pPr>
              <w:spacing w:line="500" w:lineRule="exact"/>
              <w:rPr>
                <w:color w:val="auto"/>
                <w:szCs w:val="21"/>
              </w:rPr>
            </w:pPr>
            <w:r>
              <w:rPr>
                <w:rFonts w:hint="eastAsia" w:ascii="宋体" w:hAnsi="宋体" w:cs="宋体"/>
                <w:color w:val="auto"/>
                <w:szCs w:val="21"/>
              </w:rPr>
              <w:t>否</w:t>
            </w:r>
          </w:p>
        </w:tc>
      </w:tr>
      <w:tr w14:paraId="5F71C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167" w:type="dxa"/>
            <w:tcBorders>
              <w:tl2br w:val="nil"/>
              <w:tr2bl w:val="nil"/>
            </w:tcBorders>
            <w:vAlign w:val="center"/>
          </w:tcPr>
          <w:p w14:paraId="4519186B">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5.1</w:t>
            </w:r>
            <w:r>
              <w:rPr>
                <w:rFonts w:hint="eastAsia" w:asciiTheme="minorEastAsia" w:hAnsiTheme="minorEastAsia" w:eastAsiaTheme="minorEastAsia"/>
                <w:color w:val="auto"/>
                <w:szCs w:val="21"/>
              </w:rPr>
              <w:t>.1</w:t>
            </w:r>
          </w:p>
        </w:tc>
        <w:tc>
          <w:tcPr>
            <w:tcW w:w="2234" w:type="dxa"/>
            <w:tcBorders>
              <w:tl2br w:val="nil"/>
              <w:tr2bl w:val="nil"/>
            </w:tcBorders>
            <w:vAlign w:val="center"/>
          </w:tcPr>
          <w:p w14:paraId="1631D53C">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开标时间和地点</w:t>
            </w:r>
          </w:p>
        </w:tc>
        <w:tc>
          <w:tcPr>
            <w:tcW w:w="6777" w:type="dxa"/>
            <w:tcBorders>
              <w:tl2br w:val="nil"/>
              <w:tr2bl w:val="nil"/>
            </w:tcBorders>
            <w:vAlign w:val="center"/>
          </w:tcPr>
          <w:p w14:paraId="5FA2B19A">
            <w:pPr>
              <w:spacing w:line="500" w:lineRule="exact"/>
              <w:rPr>
                <w:rFonts w:ascii="宋体" w:hAnsi="宋体" w:cs="宋体"/>
                <w:color w:val="auto"/>
                <w:szCs w:val="21"/>
              </w:rPr>
            </w:pPr>
            <w:r>
              <w:rPr>
                <w:rFonts w:hint="eastAsia" w:ascii="宋体" w:hAnsi="宋体" w:cs="宋体"/>
                <w:color w:val="auto"/>
                <w:szCs w:val="21"/>
              </w:rPr>
              <w:t>开标时间：同投标截止时间</w:t>
            </w:r>
          </w:p>
          <w:p w14:paraId="3892B763">
            <w:pPr>
              <w:spacing w:line="500" w:lineRule="exact"/>
              <w:rPr>
                <w:rFonts w:ascii="宋体" w:hAnsi="宋体" w:cs="宋体"/>
                <w:color w:val="auto"/>
                <w:szCs w:val="21"/>
              </w:rPr>
            </w:pPr>
            <w:r>
              <w:rPr>
                <w:rFonts w:hint="eastAsia" w:hAnsi="宋体" w:cs="宋体"/>
                <w:color w:val="auto"/>
                <w:szCs w:val="21"/>
              </w:rPr>
              <w:t>开标地点</w:t>
            </w:r>
            <w:r>
              <w:rPr>
                <w:rFonts w:hint="eastAsia" w:ascii="宋体" w:hAnsi="宋体" w:cs="宋体"/>
                <w:color w:val="auto"/>
                <w:szCs w:val="21"/>
              </w:rPr>
              <w:t>：</w:t>
            </w:r>
            <w:r>
              <w:rPr>
                <w:rFonts w:hint="eastAsia" w:ascii="宋体" w:hAnsi="宋体" w:cs="宋体"/>
                <w:color w:val="auto"/>
                <w:szCs w:val="21"/>
                <w:highlight w:val="none"/>
                <w:lang w:val="en-US" w:eastAsia="zh-CN"/>
              </w:rPr>
              <w:t>菏泽市公共资源交易中心（菏泽市中华路426号）不见面开标室。</w:t>
            </w:r>
          </w:p>
          <w:p w14:paraId="0780EEAB">
            <w:pPr>
              <w:spacing w:line="500" w:lineRule="exact"/>
              <w:rPr>
                <w:rFonts w:asciiTheme="minorEastAsia" w:hAnsiTheme="minorEastAsia" w:eastAsiaTheme="minorEastAsia"/>
                <w:b/>
                <w:color w:val="auto"/>
                <w:szCs w:val="21"/>
                <w:u w:val="single"/>
              </w:rPr>
            </w:pPr>
            <w:r>
              <w:rPr>
                <w:rFonts w:hint="eastAsia" w:ascii="宋体" w:hAnsi="宋体" w:cs="宋体"/>
                <w:b/>
                <w:bCs/>
                <w:color w:val="auto"/>
                <w:szCs w:val="21"/>
              </w:rPr>
              <w:t>注：本项目网上开标，投标单位无需到达开标现场，在赢标电子招标采购交易系统（http://hzsjyzx.cn:50000/#/login）虚拟开标大厅开启</w:t>
            </w:r>
          </w:p>
        </w:tc>
      </w:tr>
      <w:tr w14:paraId="62C6D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1167" w:type="dxa"/>
            <w:tcBorders>
              <w:tl2br w:val="nil"/>
              <w:tr2bl w:val="nil"/>
            </w:tcBorders>
            <w:vAlign w:val="center"/>
          </w:tcPr>
          <w:p w14:paraId="4413D18C">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5.2</w:t>
            </w:r>
          </w:p>
        </w:tc>
        <w:tc>
          <w:tcPr>
            <w:tcW w:w="2234" w:type="dxa"/>
            <w:tcBorders>
              <w:tl2br w:val="nil"/>
              <w:tr2bl w:val="nil"/>
            </w:tcBorders>
            <w:vAlign w:val="center"/>
          </w:tcPr>
          <w:p w14:paraId="44F99987">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开标程序</w:t>
            </w:r>
          </w:p>
        </w:tc>
        <w:tc>
          <w:tcPr>
            <w:tcW w:w="6777" w:type="dxa"/>
            <w:tcBorders>
              <w:tl2br w:val="nil"/>
              <w:tr2bl w:val="nil"/>
            </w:tcBorders>
            <w:vAlign w:val="center"/>
          </w:tcPr>
          <w:p w14:paraId="7AC33C38">
            <w:pPr>
              <w:spacing w:line="500" w:lineRule="exact"/>
              <w:rPr>
                <w:rFonts w:asciiTheme="minorEastAsia" w:hAnsiTheme="minorEastAsia" w:eastAsiaTheme="minorEastAsia"/>
                <w:color w:val="auto"/>
                <w:szCs w:val="21"/>
              </w:rPr>
            </w:pPr>
            <w:r>
              <w:rPr>
                <w:rFonts w:hint="eastAsia" w:cs="宋体" w:asciiTheme="minorEastAsia" w:hAnsiTheme="minorEastAsia" w:eastAsiaTheme="minorEastAsia"/>
                <w:color w:val="auto"/>
                <w:szCs w:val="21"/>
              </w:rPr>
              <w:t>本次开标为网上交易，投标人无需到达开标现场，须准时在线参加开标并签到，招标人按招标文件中规定的时间公开开标，投标人必须准时在线参加开标并网上签到，解密时间规定为30分钟，投标人需使用CA在规定的时间内自行完成解密，解密结束后对开标记录进行电子签名。若投标人在解密规定时间内未完成电子标解密操作，视为放弃该项目投标。电子交易过程出现故障时，按相关部门的规定处理。开标活动数据以电文为准，由于电脑或操作不当造成文件解密、报价延误等一切后果由投标人自负。</w:t>
            </w:r>
          </w:p>
        </w:tc>
      </w:tr>
      <w:tr w14:paraId="3142A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4EE2E4F5">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6.1.1</w:t>
            </w:r>
          </w:p>
        </w:tc>
        <w:tc>
          <w:tcPr>
            <w:tcW w:w="2234" w:type="dxa"/>
            <w:tcBorders>
              <w:tl2br w:val="nil"/>
              <w:tr2bl w:val="nil"/>
            </w:tcBorders>
            <w:vAlign w:val="center"/>
          </w:tcPr>
          <w:p w14:paraId="0BC533F9">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评标委员会的组建</w:t>
            </w:r>
          </w:p>
        </w:tc>
        <w:tc>
          <w:tcPr>
            <w:tcW w:w="6777" w:type="dxa"/>
            <w:tcBorders>
              <w:tl2br w:val="nil"/>
              <w:tr2bl w:val="nil"/>
            </w:tcBorders>
            <w:vAlign w:val="center"/>
          </w:tcPr>
          <w:p w14:paraId="667A1D88">
            <w:pPr>
              <w:spacing w:line="500" w:lineRule="exact"/>
              <w:rPr>
                <w:rFonts w:ascii="宋体" w:hAnsi="宋体" w:cs="宋体"/>
                <w:color w:val="auto"/>
                <w:szCs w:val="21"/>
              </w:rPr>
            </w:pPr>
            <w:r>
              <w:rPr>
                <w:rFonts w:hint="eastAsia" w:ascii="宋体" w:hAnsi="宋体" w:cs="宋体"/>
                <w:color w:val="auto"/>
                <w:szCs w:val="21"/>
              </w:rPr>
              <w:t>评标委员会构成：5人或以上单数，由招标人依法组建。</w:t>
            </w:r>
          </w:p>
        </w:tc>
      </w:tr>
      <w:tr w14:paraId="6267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5828507C">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6.3</w:t>
            </w:r>
          </w:p>
        </w:tc>
        <w:tc>
          <w:tcPr>
            <w:tcW w:w="2234" w:type="dxa"/>
            <w:tcBorders>
              <w:tl2br w:val="nil"/>
              <w:tr2bl w:val="nil"/>
            </w:tcBorders>
            <w:vAlign w:val="center"/>
          </w:tcPr>
          <w:p w14:paraId="63E7FA05">
            <w:pPr>
              <w:spacing w:line="500" w:lineRule="exact"/>
              <w:jc w:val="center"/>
              <w:rPr>
                <w:rFonts w:asciiTheme="minorEastAsia" w:hAnsiTheme="minorEastAsia" w:eastAsiaTheme="minorEastAsia"/>
                <w:color w:val="auto"/>
                <w:szCs w:val="21"/>
              </w:rPr>
            </w:pPr>
            <w:r>
              <w:rPr>
                <w:rFonts w:hint="eastAsia" w:hAnsi="宋体" w:cs="宋体"/>
                <w:color w:val="auto"/>
              </w:rPr>
              <w:t>评标委员会推荐的定标候选人的数量</w:t>
            </w:r>
          </w:p>
        </w:tc>
        <w:tc>
          <w:tcPr>
            <w:tcW w:w="6777" w:type="dxa"/>
            <w:tcBorders>
              <w:tl2br w:val="nil"/>
              <w:tr2bl w:val="nil"/>
            </w:tcBorders>
            <w:vAlign w:val="center"/>
          </w:tcPr>
          <w:p w14:paraId="57B552FF">
            <w:pPr>
              <w:spacing w:line="500" w:lineRule="exact"/>
              <w:rPr>
                <w:rFonts w:ascii="宋体" w:hAnsi="宋体" w:cs="宋体"/>
                <w:color w:val="auto"/>
                <w:szCs w:val="21"/>
              </w:rPr>
            </w:pPr>
            <w:r>
              <w:rPr>
                <w:rFonts w:hint="eastAsia" w:ascii="宋体" w:hAnsi="宋体" w:cs="宋体"/>
                <w:color w:val="auto"/>
                <w:szCs w:val="21"/>
              </w:rPr>
              <w:t>本项目采用评定分离：</w:t>
            </w:r>
          </w:p>
          <w:p w14:paraId="34E5ADF8">
            <w:pPr>
              <w:spacing w:line="500" w:lineRule="exact"/>
              <w:rPr>
                <w:rFonts w:hint="eastAsia" w:ascii="宋体" w:hAnsi="宋体" w:eastAsia="宋体" w:cs="宋体"/>
                <w:color w:val="auto"/>
                <w:szCs w:val="21"/>
                <w:lang w:eastAsia="zh-CN"/>
              </w:rPr>
            </w:pPr>
            <w:r>
              <w:rPr>
                <w:rFonts w:hint="eastAsia" w:ascii="宋体" w:hAnsi="宋体" w:cs="宋体"/>
                <w:color w:val="auto"/>
                <w:szCs w:val="21"/>
              </w:rPr>
              <w:t>经评标委员会评审,当有效投标人为3-5名时,推荐3名定标候选人</w:t>
            </w:r>
            <w:r>
              <w:rPr>
                <w:rFonts w:hint="eastAsia" w:ascii="宋体" w:hAnsi="宋体" w:cs="宋体"/>
                <w:color w:val="auto"/>
                <w:szCs w:val="21"/>
                <w:lang w:eastAsia="zh-CN"/>
              </w:rPr>
              <w:t>；</w:t>
            </w:r>
          </w:p>
          <w:p w14:paraId="74FFDEB2">
            <w:pPr>
              <w:spacing w:line="500" w:lineRule="exact"/>
              <w:rPr>
                <w:rFonts w:hint="eastAsia" w:ascii="宋体" w:hAnsi="宋体" w:eastAsia="宋体" w:cs="宋体"/>
                <w:color w:val="auto"/>
                <w:szCs w:val="21"/>
                <w:lang w:eastAsia="zh-CN"/>
              </w:rPr>
            </w:pPr>
            <w:r>
              <w:rPr>
                <w:rFonts w:hint="eastAsia" w:ascii="宋体" w:hAnsi="宋体" w:cs="宋体"/>
                <w:color w:val="auto"/>
                <w:szCs w:val="21"/>
              </w:rPr>
              <w:t>当有效投标人为6-10名时,推荐5名定标候选人</w:t>
            </w:r>
            <w:r>
              <w:rPr>
                <w:rFonts w:hint="eastAsia" w:ascii="宋体" w:hAnsi="宋体" w:cs="宋体"/>
                <w:color w:val="auto"/>
                <w:szCs w:val="21"/>
                <w:lang w:eastAsia="zh-CN"/>
              </w:rPr>
              <w:t>；</w:t>
            </w:r>
          </w:p>
          <w:p w14:paraId="773E3578">
            <w:pPr>
              <w:spacing w:line="500" w:lineRule="exact"/>
              <w:rPr>
                <w:rFonts w:hint="eastAsia" w:ascii="宋体" w:hAnsi="宋体" w:eastAsia="宋体" w:cs="宋体"/>
                <w:color w:val="auto"/>
                <w:szCs w:val="21"/>
                <w:lang w:eastAsia="zh-CN"/>
              </w:rPr>
            </w:pPr>
            <w:r>
              <w:rPr>
                <w:rFonts w:hint="eastAsia" w:ascii="宋体" w:hAnsi="宋体" w:cs="宋体"/>
                <w:color w:val="auto"/>
                <w:szCs w:val="21"/>
              </w:rPr>
              <w:t>当有效投标人为11名及以上时,推荐7名定标候选人</w:t>
            </w:r>
            <w:r>
              <w:rPr>
                <w:rFonts w:hint="eastAsia" w:ascii="宋体" w:hAnsi="宋体" w:cs="宋体"/>
                <w:color w:val="auto"/>
                <w:szCs w:val="21"/>
                <w:lang w:eastAsia="zh-CN"/>
              </w:rPr>
              <w:t>；</w:t>
            </w:r>
          </w:p>
          <w:p w14:paraId="6FC3DE1D">
            <w:pPr>
              <w:spacing w:line="500" w:lineRule="exact"/>
              <w:rPr>
                <w:rFonts w:ascii="宋体" w:hAnsi="宋体" w:cs="宋体"/>
                <w:color w:val="auto"/>
                <w:szCs w:val="21"/>
              </w:rPr>
            </w:pPr>
            <w:r>
              <w:rPr>
                <w:rFonts w:hint="eastAsia" w:ascii="宋体" w:hAnsi="宋体" w:cs="宋体"/>
                <w:color w:val="auto"/>
                <w:szCs w:val="21"/>
              </w:rPr>
              <w:t>评标委员会完成评标后，应当向招标人提出书面评标报告，并推荐出不排序的定标候选人；书面评标报告应当由评标委员会全体成员签字。评标报告在现有要求基础上,还应包括定标侯选人名单、各定标侯选人投标文件优点和缺点、签订合同前应注意和澄清的事项等内容。</w:t>
            </w:r>
          </w:p>
          <w:p w14:paraId="59737BCC">
            <w:pPr>
              <w:spacing w:line="500" w:lineRule="exact"/>
              <w:rPr>
                <w:rFonts w:hint="eastAsia" w:ascii="宋体" w:hAnsi="宋体" w:cs="宋体"/>
                <w:color w:val="auto"/>
                <w:szCs w:val="21"/>
              </w:rPr>
            </w:pPr>
            <w:r>
              <w:rPr>
                <w:rFonts w:hint="eastAsia" w:ascii="宋体" w:hAnsi="宋体" w:cs="宋体"/>
                <w:color w:val="auto"/>
                <w:szCs w:val="21"/>
              </w:rPr>
              <w:t>评标委员会在在评审结束前还需填写中标候选人奖项、荣誉、信誉表。</w:t>
            </w:r>
          </w:p>
        </w:tc>
      </w:tr>
      <w:tr w14:paraId="0DE0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2338C67F">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6.3.3</w:t>
            </w:r>
          </w:p>
        </w:tc>
        <w:tc>
          <w:tcPr>
            <w:tcW w:w="2234" w:type="dxa"/>
            <w:tcBorders>
              <w:tl2br w:val="nil"/>
              <w:tr2bl w:val="nil"/>
            </w:tcBorders>
            <w:vAlign w:val="center"/>
          </w:tcPr>
          <w:p w14:paraId="26CE906A">
            <w:pPr>
              <w:spacing w:line="500" w:lineRule="exact"/>
              <w:jc w:val="center"/>
              <w:rPr>
                <w:rFonts w:asciiTheme="minorEastAsia" w:hAnsiTheme="minorEastAsia" w:eastAsiaTheme="minorEastAsia"/>
                <w:color w:val="auto"/>
                <w:szCs w:val="21"/>
              </w:rPr>
            </w:pPr>
            <w:r>
              <w:rPr>
                <w:rFonts w:hint="eastAsia" w:hAnsi="宋体" w:cs="宋体"/>
                <w:color w:val="auto"/>
              </w:rPr>
              <w:t>评标委员会成员的参加定标会议</w:t>
            </w:r>
          </w:p>
        </w:tc>
        <w:tc>
          <w:tcPr>
            <w:tcW w:w="6777" w:type="dxa"/>
            <w:tcBorders>
              <w:tl2br w:val="nil"/>
              <w:tr2bl w:val="nil"/>
            </w:tcBorders>
            <w:vAlign w:val="center"/>
          </w:tcPr>
          <w:p w14:paraId="6668800C">
            <w:pPr>
              <w:spacing w:line="500" w:lineRule="exact"/>
              <w:rPr>
                <w:rFonts w:hint="eastAsia" w:ascii="宋体" w:hAnsi="宋体" w:cs="宋体"/>
                <w:color w:val="auto"/>
                <w:szCs w:val="21"/>
              </w:rPr>
            </w:pPr>
            <w:r>
              <w:rPr>
                <w:rFonts w:hint="eastAsia" w:ascii="宋体" w:hAnsi="宋体" w:cs="宋体"/>
                <w:color w:val="auto"/>
                <w:szCs w:val="21"/>
              </w:rPr>
              <w:t>评委组长及其他任意1 名评委代表后期须参加项目定标会议，评委组长须在会议现场以书面形式汇报项目评标情况。</w:t>
            </w:r>
          </w:p>
        </w:tc>
      </w:tr>
      <w:tr w14:paraId="3745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52033EB7">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6.4</w:t>
            </w:r>
          </w:p>
        </w:tc>
        <w:tc>
          <w:tcPr>
            <w:tcW w:w="2234" w:type="dxa"/>
            <w:tcBorders>
              <w:tl2br w:val="nil"/>
              <w:tr2bl w:val="nil"/>
            </w:tcBorders>
            <w:vAlign w:val="center"/>
          </w:tcPr>
          <w:p w14:paraId="304F4AFD">
            <w:pPr>
              <w:spacing w:line="500" w:lineRule="exact"/>
              <w:jc w:val="center"/>
              <w:rPr>
                <w:rFonts w:asciiTheme="minorEastAsia" w:hAnsiTheme="minorEastAsia" w:eastAsiaTheme="minorEastAsia"/>
                <w:color w:val="auto"/>
                <w:szCs w:val="21"/>
              </w:rPr>
            </w:pPr>
            <w:r>
              <w:rPr>
                <w:color w:val="auto"/>
              </w:rPr>
              <w:t>定标候选人公示媒介、期限</w:t>
            </w:r>
          </w:p>
        </w:tc>
        <w:tc>
          <w:tcPr>
            <w:tcW w:w="6777" w:type="dxa"/>
            <w:tcBorders>
              <w:tl2br w:val="nil"/>
              <w:tr2bl w:val="nil"/>
            </w:tcBorders>
            <w:vAlign w:val="center"/>
          </w:tcPr>
          <w:p w14:paraId="03BD3A0F">
            <w:pPr>
              <w:spacing w:line="500" w:lineRule="exact"/>
              <w:rPr>
                <w:rFonts w:ascii="宋体" w:hAnsi="宋体" w:cs="宋体"/>
                <w:color w:val="auto"/>
                <w:szCs w:val="21"/>
              </w:rPr>
            </w:pPr>
            <w:r>
              <w:rPr>
                <w:rFonts w:hint="eastAsia" w:ascii="宋体" w:hAnsi="宋体" w:cs="宋体"/>
                <w:color w:val="auto"/>
                <w:szCs w:val="21"/>
              </w:rPr>
              <w:t>（1）公示媒介：同招标公告发布媒介</w:t>
            </w:r>
          </w:p>
          <w:p w14:paraId="4A628182">
            <w:pPr>
              <w:spacing w:line="500" w:lineRule="exact"/>
              <w:rPr>
                <w:rFonts w:hint="eastAsia" w:ascii="宋体" w:hAnsi="宋体" w:cs="宋体"/>
                <w:color w:val="auto"/>
                <w:szCs w:val="21"/>
              </w:rPr>
            </w:pPr>
            <w:r>
              <w:rPr>
                <w:rFonts w:hint="eastAsia" w:ascii="宋体" w:hAnsi="宋体" w:cs="宋体"/>
                <w:color w:val="auto"/>
                <w:szCs w:val="21"/>
              </w:rPr>
              <w:t>（2）公示期限：3日（公示期截止时间在法定休息日的应顺延至首个工作日）</w:t>
            </w:r>
          </w:p>
        </w:tc>
      </w:tr>
      <w:tr w14:paraId="7725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7E0110F8">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6.7</w:t>
            </w:r>
          </w:p>
        </w:tc>
        <w:tc>
          <w:tcPr>
            <w:tcW w:w="2234" w:type="dxa"/>
            <w:tcBorders>
              <w:tl2br w:val="nil"/>
              <w:tr2bl w:val="nil"/>
            </w:tcBorders>
            <w:vAlign w:val="center"/>
          </w:tcPr>
          <w:p w14:paraId="7B4DCD6B">
            <w:pPr>
              <w:spacing w:line="500" w:lineRule="exact"/>
              <w:jc w:val="center"/>
              <w:rPr>
                <w:rFonts w:asciiTheme="minorEastAsia" w:hAnsiTheme="minorEastAsia" w:eastAsiaTheme="minorEastAsia"/>
                <w:color w:val="auto"/>
                <w:szCs w:val="21"/>
              </w:rPr>
            </w:pPr>
            <w:r>
              <w:rPr>
                <w:rFonts w:hint="eastAsia"/>
                <w:color w:val="auto"/>
              </w:rPr>
              <w:t>是否递补定标候选人</w:t>
            </w:r>
          </w:p>
        </w:tc>
        <w:tc>
          <w:tcPr>
            <w:tcW w:w="6777" w:type="dxa"/>
            <w:tcBorders>
              <w:tl2br w:val="nil"/>
              <w:tr2bl w:val="nil"/>
            </w:tcBorders>
            <w:vAlign w:val="center"/>
          </w:tcPr>
          <w:p w14:paraId="4185C4C7">
            <w:pPr>
              <w:spacing w:line="500" w:lineRule="exac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不递补：继续定标或重新招标；</w:t>
            </w:r>
          </w:p>
          <w:p w14:paraId="51A33352">
            <w:pPr>
              <w:spacing w:line="500" w:lineRule="exact"/>
              <w:rPr>
                <w:rFonts w:hint="eastAsia"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递补：按照得分由高到低的顺序从其他有效投标人中依次递补；</w:t>
            </w:r>
          </w:p>
        </w:tc>
      </w:tr>
      <w:tr w14:paraId="61889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7B0445F0">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7.1</w:t>
            </w:r>
          </w:p>
        </w:tc>
        <w:tc>
          <w:tcPr>
            <w:tcW w:w="2234" w:type="dxa"/>
            <w:tcBorders>
              <w:tl2br w:val="nil"/>
              <w:tr2bl w:val="nil"/>
            </w:tcBorders>
            <w:vAlign w:val="center"/>
          </w:tcPr>
          <w:p w14:paraId="258CA785">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定标方式</w:t>
            </w:r>
          </w:p>
        </w:tc>
        <w:tc>
          <w:tcPr>
            <w:tcW w:w="6777" w:type="dxa"/>
            <w:tcBorders>
              <w:tl2br w:val="nil"/>
              <w:tr2bl w:val="nil"/>
            </w:tcBorders>
            <w:vAlign w:val="center"/>
          </w:tcPr>
          <w:p w14:paraId="62C9A136">
            <w:pPr>
              <w:spacing w:line="500" w:lineRule="exact"/>
              <w:rPr>
                <w:rFonts w:hint="eastAsia" w:ascii="宋体" w:hAnsi="宋体" w:cs="宋体"/>
                <w:color w:val="auto"/>
                <w:szCs w:val="21"/>
              </w:rPr>
            </w:pPr>
            <w:r>
              <w:rPr>
                <w:rFonts w:hint="eastAsia" w:ascii="宋体" w:hAnsi="宋体" w:cs="宋体"/>
                <w:color w:val="auto"/>
                <w:szCs w:val="21"/>
              </w:rPr>
              <w:t>采用评定分离方式</w:t>
            </w:r>
          </w:p>
        </w:tc>
      </w:tr>
      <w:tr w14:paraId="634FD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2819D802">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7.2</w:t>
            </w:r>
          </w:p>
        </w:tc>
        <w:tc>
          <w:tcPr>
            <w:tcW w:w="2234" w:type="dxa"/>
            <w:tcBorders>
              <w:tl2br w:val="nil"/>
              <w:tr2bl w:val="nil"/>
            </w:tcBorders>
            <w:vAlign w:val="center"/>
          </w:tcPr>
          <w:p w14:paraId="51FA91A7">
            <w:pPr>
              <w:snapToGrid w:val="0"/>
              <w:jc w:val="center"/>
              <w:rPr>
                <w:rFonts w:cs="宋体"/>
                <w:bCs/>
                <w:color w:val="auto"/>
              </w:rPr>
            </w:pPr>
            <w:r>
              <w:rPr>
                <w:rFonts w:hint="eastAsia" w:cs="宋体"/>
                <w:bCs/>
                <w:color w:val="auto"/>
              </w:rPr>
              <w:t>定标委员会</w:t>
            </w:r>
          </w:p>
          <w:p w14:paraId="17E14AD9">
            <w:pPr>
              <w:spacing w:line="500" w:lineRule="exact"/>
              <w:jc w:val="center"/>
              <w:rPr>
                <w:rFonts w:asciiTheme="minorEastAsia" w:hAnsiTheme="minorEastAsia" w:eastAsiaTheme="minorEastAsia"/>
                <w:color w:val="auto"/>
                <w:szCs w:val="21"/>
              </w:rPr>
            </w:pPr>
            <w:r>
              <w:rPr>
                <w:rFonts w:hint="eastAsia" w:cs="宋体"/>
                <w:bCs/>
                <w:color w:val="auto"/>
              </w:rPr>
              <w:t>组建</w:t>
            </w:r>
          </w:p>
        </w:tc>
        <w:tc>
          <w:tcPr>
            <w:tcW w:w="6777" w:type="dxa"/>
            <w:tcBorders>
              <w:tl2br w:val="nil"/>
              <w:tr2bl w:val="nil"/>
            </w:tcBorders>
            <w:vAlign w:val="center"/>
          </w:tcPr>
          <w:p w14:paraId="3256A95A">
            <w:pPr>
              <w:spacing w:line="500" w:lineRule="exact"/>
              <w:rPr>
                <w:rFonts w:ascii="宋体" w:hAnsi="宋体" w:cs="宋体"/>
                <w:color w:val="auto"/>
                <w:szCs w:val="21"/>
              </w:rPr>
            </w:pPr>
            <w:r>
              <w:rPr>
                <w:rFonts w:hint="eastAsia" w:ascii="宋体" w:hAnsi="宋体" w:cs="宋体"/>
                <w:color w:val="auto"/>
                <w:szCs w:val="21"/>
              </w:rPr>
              <w:t>由招标人按规定组建，成员数量为5人及以上单数；</w:t>
            </w:r>
          </w:p>
          <w:p w14:paraId="23A9B490">
            <w:pPr>
              <w:spacing w:line="500" w:lineRule="exact"/>
              <w:rPr>
                <w:rFonts w:hint="eastAsia" w:ascii="宋体" w:hAnsi="宋体" w:cs="宋体"/>
                <w:color w:val="auto"/>
                <w:szCs w:val="21"/>
              </w:rPr>
            </w:pPr>
            <w:r>
              <w:rPr>
                <w:rFonts w:hint="eastAsia" w:ascii="宋体" w:hAnsi="宋体" w:cs="宋体"/>
                <w:color w:val="auto"/>
                <w:szCs w:val="21"/>
              </w:rPr>
              <w:t>本项目定标成员库类别：依法组建；</w:t>
            </w:r>
          </w:p>
        </w:tc>
      </w:tr>
      <w:tr w14:paraId="1B158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6090DB86">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7.3</w:t>
            </w:r>
          </w:p>
        </w:tc>
        <w:tc>
          <w:tcPr>
            <w:tcW w:w="2234" w:type="dxa"/>
            <w:tcBorders>
              <w:tl2br w:val="nil"/>
              <w:tr2bl w:val="nil"/>
            </w:tcBorders>
            <w:vAlign w:val="center"/>
          </w:tcPr>
          <w:p w14:paraId="46238576">
            <w:pPr>
              <w:spacing w:line="500" w:lineRule="exact"/>
              <w:rPr>
                <w:rFonts w:asciiTheme="minorEastAsia" w:hAnsiTheme="minorEastAsia" w:eastAsiaTheme="minorEastAsia"/>
                <w:color w:val="auto"/>
                <w:szCs w:val="21"/>
              </w:rPr>
            </w:pPr>
            <w:r>
              <w:rPr>
                <w:rFonts w:hint="eastAsia" w:ascii="宋体" w:hAnsi="宋体" w:cs="宋体"/>
                <w:color w:val="auto"/>
                <w:szCs w:val="21"/>
              </w:rPr>
              <w:t>考察定标候选人情况</w:t>
            </w:r>
          </w:p>
        </w:tc>
        <w:tc>
          <w:tcPr>
            <w:tcW w:w="6777" w:type="dxa"/>
            <w:tcBorders>
              <w:tl2br w:val="nil"/>
              <w:tr2bl w:val="nil"/>
            </w:tcBorders>
            <w:vAlign w:val="center"/>
          </w:tcPr>
          <w:p w14:paraId="7AFB1E5A">
            <w:pPr>
              <w:spacing w:line="340" w:lineRule="exact"/>
              <w:rPr>
                <w:rFonts w:ascii="宋体" w:hAnsi="宋体" w:cs="宋体"/>
                <w:color w:val="auto"/>
                <w:szCs w:val="21"/>
              </w:rPr>
            </w:pPr>
            <w:r>
              <w:rPr>
                <w:rFonts w:hint="eastAsia" w:ascii="宋体" w:hAnsi="宋体" w:cs="宋体"/>
                <w:color w:val="auto"/>
                <w:szCs w:val="21"/>
              </w:rPr>
              <w:t>是否考察定标候选人：</w:t>
            </w:r>
          </w:p>
          <w:p w14:paraId="123AF280">
            <w:pPr>
              <w:spacing w:line="340" w:lineRule="exact"/>
              <w:rPr>
                <w:rFonts w:ascii="宋体" w:hAnsi="宋体" w:cs="宋体"/>
                <w:color w:val="auto"/>
                <w:szCs w:val="21"/>
              </w:rPr>
            </w:pPr>
            <w:r>
              <w:rPr>
                <w:rFonts w:hint="eastAsia" w:ascii="宋体" w:hAnsi="宋体" w:cs="宋体"/>
                <w:color w:val="auto"/>
                <w:szCs w:val="21"/>
              </w:rPr>
              <w:sym w:font="Wingdings 2" w:char="0052"/>
            </w:r>
            <w:r>
              <w:rPr>
                <w:rFonts w:hint="eastAsia" w:ascii="宋体" w:hAnsi="宋体" w:cs="宋体"/>
                <w:color w:val="auto"/>
                <w:szCs w:val="21"/>
              </w:rPr>
              <w:t>不考察；</w:t>
            </w:r>
          </w:p>
          <w:p w14:paraId="1D5FF845">
            <w:pPr>
              <w:spacing w:line="500" w:lineRule="exact"/>
              <w:rPr>
                <w:rFonts w:hint="eastAsia" w:ascii="宋体" w:hAnsi="宋体" w:cs="宋体"/>
                <w:color w:val="auto"/>
                <w:szCs w:val="21"/>
              </w:rPr>
            </w:pPr>
            <w:r>
              <w:rPr>
                <w:rFonts w:hint="eastAsia" w:ascii="宋体" w:hAnsi="宋体" w:cs="宋体"/>
                <w:color w:val="auto"/>
                <w:szCs w:val="21"/>
              </w:rPr>
              <w:sym w:font="Wingdings 2" w:char="00A3"/>
            </w:r>
            <w:r>
              <w:rPr>
                <w:rFonts w:hint="eastAsia" w:ascii="宋体" w:hAnsi="宋体" w:cs="宋体"/>
                <w:color w:val="auto"/>
                <w:szCs w:val="21"/>
              </w:rPr>
              <w:t>考察：考察小组人员由招标人确定；考察小组在定标会议召开前需要对中标候选人进行考察、质询，并出具考察报告作为定标辅助。考察报告中不得有明示或暗示中标单位的内容。考察时，对所有定标候选人进行考察；</w:t>
            </w:r>
          </w:p>
        </w:tc>
      </w:tr>
      <w:tr w14:paraId="15B1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517A29E9">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7.4</w:t>
            </w:r>
          </w:p>
        </w:tc>
        <w:tc>
          <w:tcPr>
            <w:tcW w:w="2234" w:type="dxa"/>
            <w:tcBorders>
              <w:tl2br w:val="nil"/>
              <w:tr2bl w:val="nil"/>
            </w:tcBorders>
            <w:vAlign w:val="center"/>
          </w:tcPr>
          <w:p w14:paraId="4C9E3983">
            <w:pPr>
              <w:spacing w:line="500" w:lineRule="exact"/>
              <w:rPr>
                <w:rFonts w:asciiTheme="minorEastAsia" w:hAnsiTheme="minorEastAsia" w:eastAsiaTheme="minorEastAsia"/>
                <w:color w:val="auto"/>
                <w:szCs w:val="21"/>
              </w:rPr>
            </w:pPr>
            <w:r>
              <w:rPr>
                <w:rFonts w:hint="eastAsia" w:ascii="宋体" w:hAnsi="宋体" w:cs="宋体"/>
                <w:color w:val="auto"/>
                <w:szCs w:val="21"/>
              </w:rPr>
              <w:t>定标方法</w:t>
            </w:r>
          </w:p>
        </w:tc>
        <w:tc>
          <w:tcPr>
            <w:tcW w:w="6777" w:type="dxa"/>
            <w:tcBorders>
              <w:tl2br w:val="nil"/>
              <w:tr2bl w:val="nil"/>
            </w:tcBorders>
            <w:vAlign w:val="center"/>
          </w:tcPr>
          <w:p w14:paraId="5275AF9F">
            <w:pPr>
              <w:spacing w:line="500" w:lineRule="exact"/>
              <w:rPr>
                <w:rFonts w:ascii="宋体" w:hAnsi="宋体" w:cs="宋体"/>
                <w:color w:val="auto"/>
                <w:szCs w:val="21"/>
              </w:rPr>
            </w:pPr>
            <w:r>
              <w:rPr>
                <w:rFonts w:hint="eastAsia" w:ascii="宋体" w:hAnsi="宋体" w:cs="宋体"/>
                <w:color w:val="auto"/>
                <w:szCs w:val="21"/>
              </w:rPr>
              <w:t>□集体议事法</w:t>
            </w:r>
          </w:p>
          <w:p w14:paraId="603D37BC">
            <w:pPr>
              <w:spacing w:line="500" w:lineRule="exact"/>
              <w:rPr>
                <w:rFonts w:ascii="宋体" w:hAnsi="宋体" w:cs="宋体"/>
                <w:color w:val="auto"/>
                <w:szCs w:val="21"/>
              </w:rPr>
            </w:pPr>
            <w:r>
              <w:rPr>
                <w:rFonts w:ascii="Segoe UI Emoji" w:hAnsi="Segoe UI Emoji" w:cs="Segoe UI Emoji"/>
                <w:color w:val="auto"/>
                <w:szCs w:val="21"/>
              </w:rPr>
              <w:t>☑</w:t>
            </w:r>
            <w:r>
              <w:rPr>
                <w:rFonts w:hint="eastAsia" w:ascii="宋体" w:hAnsi="宋体" w:cs="宋体"/>
                <w:color w:val="auto"/>
                <w:szCs w:val="21"/>
              </w:rPr>
              <w:t>票决定标法</w:t>
            </w:r>
          </w:p>
          <w:p w14:paraId="23678995">
            <w:pPr>
              <w:spacing w:line="500" w:lineRule="exact"/>
              <w:rPr>
                <w:rFonts w:ascii="宋体" w:hAnsi="宋体" w:cs="宋体"/>
                <w:color w:val="auto"/>
                <w:szCs w:val="21"/>
              </w:rPr>
            </w:pPr>
            <w:r>
              <w:rPr>
                <w:rFonts w:hint="eastAsia" w:ascii="宋体" w:hAnsi="宋体" w:cs="宋体"/>
                <w:color w:val="auto"/>
                <w:szCs w:val="21"/>
              </w:rPr>
              <w:t xml:space="preserve">□低中选优定标法  </w:t>
            </w:r>
          </w:p>
          <w:p w14:paraId="525D269F">
            <w:pPr>
              <w:spacing w:line="500" w:lineRule="exact"/>
              <w:rPr>
                <w:rFonts w:hint="eastAsia" w:ascii="宋体" w:hAnsi="宋体" w:cs="宋体"/>
                <w:color w:val="auto"/>
                <w:szCs w:val="21"/>
              </w:rPr>
            </w:pPr>
            <w:r>
              <w:rPr>
                <w:rFonts w:hint="eastAsia" w:ascii="宋体" w:hAnsi="宋体" w:cs="宋体"/>
                <w:color w:val="auto"/>
                <w:szCs w:val="21"/>
              </w:rPr>
              <w:t>具体程序按菏政办字【2023】53号文件执行。</w:t>
            </w:r>
          </w:p>
        </w:tc>
      </w:tr>
      <w:tr w14:paraId="22C6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48C4F955">
            <w:pPr>
              <w:spacing w:line="500" w:lineRule="exact"/>
              <w:jc w:val="center"/>
              <w:rPr>
                <w:rFonts w:asciiTheme="minorEastAsia" w:hAnsiTheme="minorEastAsia" w:eastAsiaTheme="minorEastAsia"/>
                <w:color w:val="auto"/>
                <w:szCs w:val="21"/>
              </w:rPr>
            </w:pPr>
            <w:r>
              <w:rPr>
                <w:rFonts w:hint="eastAsia" w:ascii="宋体" w:hAnsi="宋体" w:cs="宋体"/>
                <w:color w:val="auto"/>
                <w:kern w:val="0"/>
              </w:rPr>
              <w:t>7.4.4</w:t>
            </w:r>
          </w:p>
        </w:tc>
        <w:tc>
          <w:tcPr>
            <w:tcW w:w="2234" w:type="dxa"/>
            <w:tcBorders>
              <w:tl2br w:val="nil"/>
              <w:tr2bl w:val="nil"/>
            </w:tcBorders>
            <w:vAlign w:val="center"/>
          </w:tcPr>
          <w:p w14:paraId="13868D71">
            <w:pPr>
              <w:spacing w:line="500" w:lineRule="exact"/>
              <w:jc w:val="center"/>
              <w:rPr>
                <w:rFonts w:asciiTheme="minorEastAsia" w:hAnsiTheme="minorEastAsia" w:eastAsiaTheme="minorEastAsia"/>
                <w:color w:val="auto"/>
                <w:szCs w:val="21"/>
              </w:rPr>
            </w:pPr>
            <w:r>
              <w:rPr>
                <w:rFonts w:hint="eastAsia" w:ascii="宋体" w:hAnsi="宋体" w:cs="宋体"/>
                <w:color w:val="auto"/>
                <w:spacing w:val="-2"/>
                <w:szCs w:val="21"/>
              </w:rPr>
              <w:t>是否由定标候选人向定标委员会进行答辩</w:t>
            </w:r>
          </w:p>
        </w:tc>
        <w:tc>
          <w:tcPr>
            <w:tcW w:w="6777" w:type="dxa"/>
            <w:tcBorders>
              <w:tl2br w:val="nil"/>
              <w:tr2bl w:val="nil"/>
            </w:tcBorders>
            <w:vAlign w:val="center"/>
          </w:tcPr>
          <w:p w14:paraId="3562F6E7">
            <w:pPr>
              <w:spacing w:line="360" w:lineRule="exact"/>
              <w:ind w:right="105" w:rightChars="50"/>
              <w:rPr>
                <w:rFonts w:hint="eastAsia" w:ascii="宋体" w:hAnsi="宋体" w:cs="宋体"/>
                <w:color w:val="auto"/>
                <w:szCs w:val="21"/>
              </w:rPr>
            </w:pPr>
            <w:r>
              <w:rPr>
                <w:rFonts w:hint="eastAsia" w:ascii="宋体" w:hAnsi="宋体" w:cs="宋体"/>
                <w:color w:val="auto"/>
                <w:szCs w:val="21"/>
              </w:rPr>
              <w:t>否</w:t>
            </w:r>
          </w:p>
        </w:tc>
      </w:tr>
      <w:tr w14:paraId="456F7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67" w:type="dxa"/>
            <w:tcBorders>
              <w:tl2br w:val="nil"/>
              <w:tr2bl w:val="nil"/>
            </w:tcBorders>
            <w:vAlign w:val="center"/>
          </w:tcPr>
          <w:p w14:paraId="22E99FFD">
            <w:pPr>
              <w:spacing w:line="500" w:lineRule="exact"/>
              <w:jc w:val="center"/>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7.</w:t>
            </w:r>
            <w:r>
              <w:rPr>
                <w:rFonts w:hint="eastAsia" w:asciiTheme="minorEastAsia" w:hAnsiTheme="minorEastAsia" w:eastAsiaTheme="minorEastAsia"/>
                <w:color w:val="auto"/>
                <w:szCs w:val="21"/>
                <w:lang w:val="en-US" w:eastAsia="zh-CN"/>
              </w:rPr>
              <w:t>5</w:t>
            </w:r>
          </w:p>
        </w:tc>
        <w:tc>
          <w:tcPr>
            <w:tcW w:w="2234" w:type="dxa"/>
            <w:tcBorders>
              <w:tl2br w:val="nil"/>
              <w:tr2bl w:val="nil"/>
            </w:tcBorders>
            <w:vAlign w:val="center"/>
          </w:tcPr>
          <w:p w14:paraId="4B561E89">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履约保证金</w:t>
            </w:r>
          </w:p>
        </w:tc>
        <w:tc>
          <w:tcPr>
            <w:tcW w:w="6777" w:type="dxa"/>
            <w:tcBorders>
              <w:tl2br w:val="nil"/>
              <w:tr2bl w:val="nil"/>
            </w:tcBorders>
            <w:vAlign w:val="center"/>
          </w:tcPr>
          <w:p w14:paraId="33D18058">
            <w:pPr>
              <w:autoSpaceDN w:val="0"/>
              <w:spacing w:line="360" w:lineRule="auto"/>
              <w:jc w:val="left"/>
              <w:textAlignment w:val="bottom"/>
              <w:rPr>
                <w:rFonts w:hint="default" w:eastAsiaTheme="minorEastAsia"/>
                <w:color w:val="auto"/>
                <w:szCs w:val="21"/>
                <w:lang w:val="en-US"/>
              </w:rPr>
            </w:pPr>
            <w:r>
              <w:rPr>
                <w:rFonts w:hint="eastAsia" w:ascii="宋体" w:hAnsi="宋体" w:cs="宋体"/>
                <w:color w:val="auto"/>
                <w:sz w:val="21"/>
                <w:szCs w:val="21"/>
                <w:highlight w:val="none"/>
                <w:lang w:val="en-US" w:eastAsia="zh-CN"/>
              </w:rPr>
              <w:t>无</w:t>
            </w:r>
          </w:p>
        </w:tc>
      </w:tr>
      <w:tr w14:paraId="7337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67" w:type="dxa"/>
            <w:tcBorders>
              <w:tl2br w:val="nil"/>
              <w:tr2bl w:val="nil"/>
            </w:tcBorders>
            <w:vAlign w:val="center"/>
          </w:tcPr>
          <w:p w14:paraId="406C4133">
            <w:pPr>
              <w:spacing w:line="500" w:lineRule="exact"/>
              <w:jc w:val="center"/>
              <w:rPr>
                <w:rFonts w:asciiTheme="minorEastAsia" w:hAnsiTheme="minorEastAsia" w:eastAsiaTheme="minorEastAsia"/>
                <w:color w:val="auto"/>
                <w:szCs w:val="21"/>
              </w:rPr>
            </w:pPr>
            <w:r>
              <w:rPr>
                <w:rFonts w:asciiTheme="minorEastAsia" w:hAnsiTheme="minorEastAsia" w:eastAsiaTheme="minorEastAsia"/>
                <w:color w:val="auto"/>
                <w:szCs w:val="21"/>
              </w:rPr>
              <w:t>10</w:t>
            </w:r>
          </w:p>
        </w:tc>
        <w:tc>
          <w:tcPr>
            <w:tcW w:w="9011" w:type="dxa"/>
            <w:gridSpan w:val="2"/>
            <w:tcBorders>
              <w:tl2br w:val="nil"/>
              <w:tr2bl w:val="nil"/>
            </w:tcBorders>
            <w:vAlign w:val="center"/>
          </w:tcPr>
          <w:p w14:paraId="138AB473">
            <w:pPr>
              <w:spacing w:line="500" w:lineRule="exact"/>
              <w:rPr>
                <w:rFonts w:asciiTheme="minorEastAsia" w:hAnsiTheme="minorEastAsia" w:eastAsiaTheme="minorEastAsia"/>
                <w:color w:val="auto"/>
                <w:szCs w:val="21"/>
              </w:rPr>
            </w:pPr>
            <w:r>
              <w:rPr>
                <w:rFonts w:asciiTheme="minorEastAsia" w:hAnsiTheme="minorEastAsia" w:eastAsiaTheme="minorEastAsia"/>
                <w:color w:val="auto"/>
                <w:szCs w:val="21"/>
              </w:rPr>
              <w:t>需要补充的其他内容</w:t>
            </w:r>
          </w:p>
        </w:tc>
      </w:tr>
      <w:tr w14:paraId="58825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67" w:type="dxa"/>
            <w:tcBorders>
              <w:tl2br w:val="nil"/>
              <w:tr2bl w:val="nil"/>
            </w:tcBorders>
            <w:vAlign w:val="center"/>
          </w:tcPr>
          <w:p w14:paraId="1C6CA147">
            <w:pPr>
              <w:spacing w:line="500" w:lineRule="exact"/>
              <w:jc w:val="center"/>
              <w:rPr>
                <w:rFonts w:asciiTheme="minorEastAsia" w:hAnsiTheme="minorEastAsia" w:eastAsiaTheme="minorEastAsia"/>
                <w:color w:val="auto"/>
                <w:szCs w:val="21"/>
              </w:rPr>
            </w:pPr>
            <w:r>
              <w:rPr>
                <w:rFonts w:hint="eastAsia" w:asciiTheme="minorEastAsia" w:hAnsiTheme="minorEastAsia" w:eastAsiaTheme="minorEastAsia"/>
                <w:color w:val="auto"/>
                <w:szCs w:val="21"/>
              </w:rPr>
              <w:t>1</w:t>
            </w:r>
            <w:r>
              <w:rPr>
                <w:rFonts w:asciiTheme="minorEastAsia" w:hAnsiTheme="minorEastAsia" w:eastAsiaTheme="minorEastAsia"/>
                <w:color w:val="auto"/>
                <w:szCs w:val="21"/>
              </w:rPr>
              <w:t>0.1</w:t>
            </w:r>
          </w:p>
        </w:tc>
        <w:tc>
          <w:tcPr>
            <w:tcW w:w="9011" w:type="dxa"/>
            <w:gridSpan w:val="2"/>
            <w:tcBorders>
              <w:tl2br w:val="nil"/>
              <w:tr2bl w:val="nil"/>
            </w:tcBorders>
            <w:vAlign w:val="center"/>
          </w:tcPr>
          <w:p w14:paraId="3085E118">
            <w:pPr>
              <w:spacing w:line="50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rPr>
              <w:t>词语定义</w:t>
            </w:r>
          </w:p>
        </w:tc>
      </w:tr>
      <w:tr w14:paraId="6B086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167" w:type="dxa"/>
            <w:tcBorders>
              <w:tl2br w:val="nil"/>
              <w:tr2bl w:val="nil"/>
            </w:tcBorders>
            <w:vAlign w:val="center"/>
          </w:tcPr>
          <w:p w14:paraId="47673FCA">
            <w:pPr>
              <w:spacing w:line="360" w:lineRule="auto"/>
              <w:jc w:val="center"/>
              <w:rPr>
                <w:rFonts w:asciiTheme="minorEastAsia" w:hAnsiTheme="minorEastAsia" w:eastAsiaTheme="minorEastAsia"/>
                <w:color w:val="auto"/>
                <w:szCs w:val="21"/>
              </w:rPr>
            </w:pPr>
            <w:r>
              <w:rPr>
                <w:rFonts w:hint="eastAsia" w:ascii="宋体" w:hAnsi="宋体" w:cs="宋体"/>
                <w:color w:val="auto"/>
                <w:szCs w:val="21"/>
              </w:rPr>
              <w:t>10.1.1</w:t>
            </w:r>
          </w:p>
        </w:tc>
        <w:tc>
          <w:tcPr>
            <w:tcW w:w="2234" w:type="dxa"/>
            <w:tcBorders>
              <w:tl2br w:val="nil"/>
              <w:tr2bl w:val="nil"/>
            </w:tcBorders>
            <w:vAlign w:val="center"/>
          </w:tcPr>
          <w:p w14:paraId="7FE602E7">
            <w:pPr>
              <w:pStyle w:val="86"/>
              <w:spacing w:after="0" w:line="360" w:lineRule="auto"/>
              <w:ind w:firstLine="0" w:firstLineChars="0"/>
              <w:jc w:val="center"/>
              <w:rPr>
                <w:rFonts w:asciiTheme="minorEastAsia" w:hAnsiTheme="minorEastAsia" w:eastAsiaTheme="minorEastAsia"/>
                <w:color w:val="auto"/>
                <w:szCs w:val="21"/>
              </w:rPr>
            </w:pPr>
            <w:r>
              <w:rPr>
                <w:rFonts w:hint="eastAsia" w:ascii="宋体" w:hAnsi="宋体" w:cs="宋体"/>
                <w:color w:val="auto"/>
                <w:szCs w:val="21"/>
              </w:rPr>
              <w:t>类似项目</w:t>
            </w:r>
          </w:p>
        </w:tc>
        <w:tc>
          <w:tcPr>
            <w:tcW w:w="6777" w:type="dxa"/>
            <w:tcBorders>
              <w:tl2br w:val="nil"/>
              <w:tr2bl w:val="nil"/>
            </w:tcBorders>
            <w:vAlign w:val="center"/>
          </w:tcPr>
          <w:p w14:paraId="0E8ABDFE">
            <w:pPr>
              <w:spacing w:line="360" w:lineRule="auto"/>
              <w:rPr>
                <w:rFonts w:ascii="宋体" w:hAnsi="宋体" w:cs="宋体"/>
                <w:color w:val="auto"/>
                <w:szCs w:val="21"/>
              </w:rPr>
            </w:pPr>
            <w:r>
              <w:rPr>
                <w:rFonts w:hint="eastAsia" w:ascii="宋体" w:hAnsi="宋体" w:cs="宋体"/>
                <w:color w:val="auto"/>
                <w:szCs w:val="21"/>
              </w:rPr>
              <w:t>企业近三年具有类似工程施工业绩。</w:t>
            </w:r>
          </w:p>
          <w:p w14:paraId="290E663F">
            <w:pPr>
              <w:spacing w:line="360" w:lineRule="auto"/>
              <w:rPr>
                <w:rFonts w:asciiTheme="minorEastAsia" w:hAnsiTheme="minorEastAsia" w:eastAsiaTheme="minorEastAsia"/>
                <w:b/>
                <w:bCs/>
                <w:color w:val="auto"/>
                <w:szCs w:val="21"/>
              </w:rPr>
            </w:pPr>
            <w:r>
              <w:rPr>
                <w:rFonts w:hint="eastAsia" w:ascii="宋体" w:hAnsi="宋体" w:cs="宋体"/>
                <w:color w:val="auto"/>
                <w:szCs w:val="21"/>
              </w:rPr>
              <w:t>备注：本次招标，业绩不做无效标要求，投标人可根据企业实际情况自行决定是否提供。</w:t>
            </w:r>
          </w:p>
        </w:tc>
      </w:tr>
      <w:tr w14:paraId="00BD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167" w:type="dxa"/>
            <w:tcBorders>
              <w:tl2br w:val="nil"/>
              <w:tr2bl w:val="nil"/>
            </w:tcBorders>
            <w:vAlign w:val="center"/>
          </w:tcPr>
          <w:p w14:paraId="216B01A4">
            <w:pPr>
              <w:spacing w:line="500" w:lineRule="exact"/>
              <w:jc w:val="center"/>
              <w:rPr>
                <w:rFonts w:asciiTheme="minorEastAsia" w:hAnsiTheme="minorEastAsia" w:eastAsiaTheme="minorEastAsia"/>
                <w:color w:val="auto"/>
                <w:szCs w:val="21"/>
              </w:rPr>
            </w:pPr>
            <w:r>
              <w:rPr>
                <w:rFonts w:hint="eastAsia" w:ascii="宋体" w:hAnsi="宋体" w:cs="宋体"/>
                <w:color w:val="auto"/>
                <w:szCs w:val="21"/>
              </w:rPr>
              <w:t>10.1.2</w:t>
            </w:r>
          </w:p>
        </w:tc>
        <w:tc>
          <w:tcPr>
            <w:tcW w:w="2234" w:type="dxa"/>
            <w:tcBorders>
              <w:tl2br w:val="nil"/>
              <w:tr2bl w:val="nil"/>
            </w:tcBorders>
            <w:vAlign w:val="center"/>
          </w:tcPr>
          <w:p w14:paraId="54F01D13">
            <w:pPr>
              <w:spacing w:line="500" w:lineRule="exact"/>
              <w:jc w:val="center"/>
              <w:rPr>
                <w:rFonts w:asciiTheme="minorEastAsia" w:hAnsiTheme="minorEastAsia" w:eastAsiaTheme="minorEastAsia"/>
                <w:bCs/>
                <w:color w:val="auto"/>
                <w:szCs w:val="21"/>
                <w:lang w:val="zh-CN"/>
              </w:rPr>
            </w:pPr>
            <w:r>
              <w:rPr>
                <w:rFonts w:hint="eastAsia" w:ascii="宋体" w:hAnsi="宋体" w:cs="宋体"/>
                <w:color w:val="auto"/>
                <w:szCs w:val="21"/>
              </w:rPr>
              <w:t>不良行为记录</w:t>
            </w:r>
          </w:p>
        </w:tc>
        <w:tc>
          <w:tcPr>
            <w:tcW w:w="6777" w:type="dxa"/>
            <w:tcBorders>
              <w:tl2br w:val="nil"/>
              <w:tr2bl w:val="nil"/>
            </w:tcBorders>
            <w:vAlign w:val="center"/>
          </w:tcPr>
          <w:p w14:paraId="7EFD0ED5">
            <w:pPr>
              <w:spacing w:line="360" w:lineRule="auto"/>
              <w:rPr>
                <w:color w:val="auto"/>
                <w:szCs w:val="21"/>
              </w:rPr>
            </w:pPr>
            <w:r>
              <w:rPr>
                <w:rFonts w:hint="eastAsia" w:ascii="宋体" w:hAnsi="宋体" w:cs="宋体"/>
                <w:color w:val="auto"/>
                <w:szCs w:val="21"/>
              </w:rPr>
              <w:t>不良行为记录是指：因安全、质量、建筑市场、工资拖欠等原因受到的处罚投诉记录或违法犯罪记录。</w:t>
            </w:r>
          </w:p>
        </w:tc>
      </w:tr>
      <w:tr w14:paraId="08EF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167" w:type="dxa"/>
            <w:tcBorders>
              <w:tl2br w:val="nil"/>
              <w:tr2bl w:val="nil"/>
            </w:tcBorders>
            <w:vAlign w:val="center"/>
          </w:tcPr>
          <w:p w14:paraId="65D1971B">
            <w:pPr>
              <w:spacing w:line="50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10.1.3</w:t>
            </w:r>
          </w:p>
        </w:tc>
        <w:tc>
          <w:tcPr>
            <w:tcW w:w="2234" w:type="dxa"/>
            <w:tcBorders>
              <w:tl2br w:val="nil"/>
              <w:tr2bl w:val="nil"/>
            </w:tcBorders>
            <w:vAlign w:val="center"/>
          </w:tcPr>
          <w:p w14:paraId="146ED2AB">
            <w:pPr>
              <w:spacing w:line="360" w:lineRule="auto"/>
              <w:jc w:val="center"/>
              <w:rPr>
                <w:rFonts w:hint="eastAsia" w:ascii="宋体" w:hAnsi="宋体" w:cs="宋体"/>
                <w:color w:val="auto"/>
                <w:szCs w:val="21"/>
              </w:rPr>
            </w:pPr>
            <w:r>
              <w:rPr>
                <w:rFonts w:hint="eastAsia" w:cs="宋体" w:asciiTheme="minorEastAsia" w:hAnsiTheme="minorEastAsia" w:eastAsiaTheme="minorEastAsia"/>
                <w:color w:val="auto"/>
                <w:highlight w:val="none"/>
              </w:rPr>
              <w:t>招标控制价</w:t>
            </w:r>
          </w:p>
        </w:tc>
        <w:tc>
          <w:tcPr>
            <w:tcW w:w="6777" w:type="dxa"/>
            <w:tcBorders>
              <w:tl2br w:val="nil"/>
              <w:tr2bl w:val="nil"/>
            </w:tcBorders>
            <w:vAlign w:val="center"/>
          </w:tcPr>
          <w:p w14:paraId="126AE581">
            <w:pPr>
              <w:spacing w:line="360" w:lineRule="auto"/>
              <w:rPr>
                <w:rFonts w:cs="宋体" w:asciiTheme="minorEastAsia" w:hAnsiTheme="minorEastAsia" w:eastAsiaTheme="minorEastAsia"/>
                <w:b/>
                <w:bCs/>
                <w:color w:val="auto"/>
                <w:szCs w:val="21"/>
                <w:highlight w:val="none"/>
              </w:rPr>
            </w:pPr>
            <w:r>
              <w:rPr>
                <w:rFonts w:hint="eastAsia" w:cs="宋体" w:asciiTheme="minorEastAsia" w:hAnsiTheme="minorEastAsia" w:eastAsiaTheme="minorEastAsia"/>
                <w:b/>
                <w:bCs/>
                <w:color w:val="auto"/>
                <w:szCs w:val="21"/>
                <w:highlight w:val="none"/>
              </w:rPr>
              <w:t>招标控制总价：</w:t>
            </w:r>
          </w:p>
          <w:p w14:paraId="33265AFF">
            <w:pPr>
              <w:spacing w:line="360" w:lineRule="auto"/>
              <w:rPr>
                <w:rFonts w:hint="eastAsia" w:cs="宋体" w:asciiTheme="minorEastAsia" w:hAnsiTheme="minorEastAsia" w:eastAsiaTheme="minorEastAsia"/>
                <w:b w:val="0"/>
                <w:bCs w:val="0"/>
                <w:color w:val="auto"/>
                <w:szCs w:val="21"/>
                <w:highlight w:val="none"/>
                <w:lang w:eastAsia="zh-CN"/>
              </w:rPr>
            </w:pPr>
            <w:r>
              <w:rPr>
                <w:rFonts w:hint="eastAsia" w:cs="宋体" w:asciiTheme="minorEastAsia" w:hAnsiTheme="minorEastAsia" w:eastAsiaTheme="minorEastAsia"/>
                <w:b w:val="0"/>
                <w:bCs w:val="0"/>
                <w:color w:val="auto"/>
                <w:szCs w:val="21"/>
                <w:highlight w:val="none"/>
              </w:rPr>
              <w:t>大写：</w:t>
            </w:r>
            <w:r>
              <w:rPr>
                <w:rFonts w:hint="eastAsia" w:cs="宋体" w:asciiTheme="minorEastAsia" w:hAnsiTheme="minorEastAsia" w:eastAsiaTheme="minorEastAsia"/>
                <w:b w:val="0"/>
                <w:bCs w:val="0"/>
                <w:color w:val="auto"/>
                <w:szCs w:val="21"/>
                <w:highlight w:val="none"/>
                <w:lang w:val="en-US" w:eastAsia="zh-CN"/>
              </w:rPr>
              <w:t xml:space="preserve">壹亿贰仟零伍拾伍万柒仟陆佰壹拾捌元肆角肆分  </w:t>
            </w:r>
          </w:p>
          <w:p w14:paraId="17458D61">
            <w:pPr>
              <w:spacing w:line="360" w:lineRule="auto"/>
              <w:rPr>
                <w:rFonts w:hint="eastAsia" w:cs="宋体" w:asciiTheme="minorEastAsia" w:hAnsiTheme="minorEastAsia" w:eastAsiaTheme="minorEastAsia"/>
                <w:b w:val="0"/>
                <w:bCs w:val="0"/>
                <w:color w:val="auto"/>
                <w:szCs w:val="21"/>
                <w:highlight w:val="none"/>
              </w:rPr>
            </w:pPr>
            <w:r>
              <w:rPr>
                <w:rFonts w:hint="eastAsia" w:cs="宋体" w:asciiTheme="minorEastAsia" w:hAnsiTheme="minorEastAsia" w:eastAsiaTheme="minorEastAsia"/>
                <w:b w:val="0"/>
                <w:bCs w:val="0"/>
                <w:color w:val="auto"/>
                <w:szCs w:val="21"/>
                <w:highlight w:val="none"/>
              </w:rPr>
              <w:t>小写：</w:t>
            </w:r>
            <w:r>
              <w:rPr>
                <w:rFonts w:hint="eastAsia" w:cs="宋体" w:asciiTheme="minorEastAsia" w:hAnsiTheme="minorEastAsia" w:eastAsiaTheme="minorEastAsia"/>
                <w:b w:val="0"/>
                <w:bCs w:val="0"/>
                <w:color w:val="auto"/>
                <w:szCs w:val="21"/>
                <w:highlight w:val="none"/>
                <w:lang w:val="en-US" w:eastAsia="zh-CN"/>
              </w:rPr>
              <w:t xml:space="preserve">  120557618.44</w:t>
            </w:r>
            <w:r>
              <w:rPr>
                <w:rFonts w:hint="eastAsia" w:cs="宋体" w:asciiTheme="minorEastAsia" w:hAnsiTheme="minorEastAsia" w:eastAsiaTheme="minorEastAsia"/>
                <w:b w:val="0"/>
                <w:bCs w:val="0"/>
                <w:color w:val="auto"/>
                <w:szCs w:val="21"/>
                <w:highlight w:val="none"/>
              </w:rPr>
              <w:t>元</w:t>
            </w:r>
          </w:p>
          <w:p w14:paraId="5B6809CD">
            <w:pPr>
              <w:spacing w:line="360" w:lineRule="auto"/>
              <w:rPr>
                <w:rFonts w:hint="eastAsia" w:cs="宋体" w:asciiTheme="minorEastAsia" w:hAnsiTheme="minorEastAsia" w:eastAsiaTheme="minorEastAsia"/>
                <w:b/>
                <w:bCs/>
                <w:color w:val="auto"/>
                <w:szCs w:val="21"/>
                <w:highlight w:val="none"/>
                <w:lang w:val="en-US" w:eastAsia="zh-CN"/>
              </w:rPr>
            </w:pPr>
            <w:r>
              <w:rPr>
                <w:rFonts w:hint="eastAsia" w:cs="宋体" w:asciiTheme="minorEastAsia" w:hAnsiTheme="minorEastAsia" w:eastAsiaTheme="minorEastAsia"/>
                <w:b/>
                <w:bCs/>
                <w:color w:val="auto"/>
                <w:szCs w:val="21"/>
                <w:highlight w:val="none"/>
                <w:lang w:val="en-US" w:eastAsia="zh-CN"/>
              </w:rPr>
              <w:t>注：①投标人的报价不得超过招标控制价，否则按无效报价处理。</w:t>
            </w:r>
          </w:p>
          <w:p w14:paraId="6AC83DF3">
            <w:pPr>
              <w:rPr>
                <w:rFonts w:hint="eastAsia" w:ascii="宋体" w:hAnsi="宋体" w:cs="宋体"/>
                <w:color w:val="auto"/>
                <w:szCs w:val="21"/>
              </w:rPr>
            </w:pPr>
          </w:p>
        </w:tc>
      </w:tr>
      <w:tr w14:paraId="28A95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1167" w:type="dxa"/>
            <w:tcBorders>
              <w:tl2br w:val="nil"/>
              <w:tr2bl w:val="nil"/>
            </w:tcBorders>
            <w:vAlign w:val="center"/>
          </w:tcPr>
          <w:p w14:paraId="09A16DB3">
            <w:pPr>
              <w:spacing w:line="500" w:lineRule="exact"/>
              <w:jc w:val="center"/>
              <w:rPr>
                <w:rFonts w:hint="eastAsia" w:ascii="宋体" w:hAnsi="宋体" w:cs="宋体" w:eastAsiaTheme="minorEastAsia"/>
                <w:color w:val="auto"/>
                <w:szCs w:val="21"/>
                <w:lang w:eastAsia="zh-CN"/>
              </w:rPr>
            </w:pPr>
            <w:r>
              <w:rPr>
                <w:rFonts w:asciiTheme="minorEastAsia" w:hAnsiTheme="minorEastAsia" w:eastAsiaTheme="minorEastAsia"/>
                <w:color w:val="auto"/>
                <w:szCs w:val="21"/>
              </w:rPr>
              <w:t>10.</w:t>
            </w:r>
            <w:r>
              <w:rPr>
                <w:rFonts w:hint="eastAsia" w:asciiTheme="minorEastAsia" w:hAnsiTheme="minorEastAsia" w:eastAsiaTheme="minorEastAsia"/>
                <w:color w:val="auto"/>
                <w:szCs w:val="21"/>
                <w:lang w:val="en-US" w:eastAsia="zh-CN"/>
              </w:rPr>
              <w:t>2</w:t>
            </w:r>
          </w:p>
        </w:tc>
        <w:tc>
          <w:tcPr>
            <w:tcW w:w="2234" w:type="dxa"/>
            <w:tcBorders>
              <w:tl2br w:val="nil"/>
              <w:tr2bl w:val="nil"/>
            </w:tcBorders>
            <w:vAlign w:val="center"/>
          </w:tcPr>
          <w:p w14:paraId="1EAF1A77">
            <w:pPr>
              <w:spacing w:line="500" w:lineRule="exact"/>
              <w:jc w:val="center"/>
              <w:rPr>
                <w:rFonts w:ascii="宋体" w:hAnsi="宋体" w:cs="宋体"/>
                <w:color w:val="auto"/>
                <w:szCs w:val="21"/>
                <w:highlight w:val="none"/>
              </w:rPr>
            </w:pPr>
            <w:r>
              <w:rPr>
                <w:rFonts w:hint="eastAsia" w:cs="H-SS9-PK74820000032-Identity-H" w:asciiTheme="minorEastAsia" w:hAnsiTheme="minorEastAsia" w:eastAsiaTheme="minorEastAsia"/>
                <w:b/>
                <w:color w:val="auto"/>
                <w:kern w:val="0"/>
                <w:szCs w:val="21"/>
                <w:highlight w:val="none"/>
                <w:lang w:val="zh-CN"/>
              </w:rPr>
              <w:t>付款方式</w:t>
            </w:r>
          </w:p>
        </w:tc>
        <w:tc>
          <w:tcPr>
            <w:tcW w:w="6777" w:type="dxa"/>
            <w:tcBorders>
              <w:tl2br w:val="nil"/>
              <w:tr2bl w:val="nil"/>
            </w:tcBorders>
            <w:vAlign w:val="center"/>
          </w:tcPr>
          <w:p w14:paraId="01B0F8B6">
            <w:pPr>
              <w:autoSpaceDE w:val="0"/>
              <w:autoSpaceDN w:val="0"/>
              <w:spacing w:line="500" w:lineRule="exact"/>
              <w:ind w:right="21"/>
              <w:rPr>
                <w:rFonts w:hint="eastAsia" w:ascii="宋体" w:hAnsi="宋体" w:cs="宋体"/>
                <w:b/>
                <w:bCs/>
                <w:color w:val="auto"/>
                <w:szCs w:val="21"/>
                <w:highlight w:val="none"/>
                <w:lang w:val="zh-CN" w:bidi="zh-CN"/>
              </w:rPr>
            </w:pPr>
            <w:r>
              <w:rPr>
                <w:rFonts w:hint="eastAsia" w:ascii="宋体" w:hAnsi="宋体" w:cs="宋体"/>
                <w:b/>
                <w:bCs/>
                <w:color w:val="auto"/>
                <w:szCs w:val="21"/>
                <w:highlight w:val="none"/>
                <w:lang w:val="zh-CN" w:bidi="zh-CN"/>
              </w:rPr>
              <w:t xml:space="preserve">（1）、本项目无预付款。 </w:t>
            </w:r>
          </w:p>
          <w:p w14:paraId="2AEDE5E0">
            <w:pPr>
              <w:autoSpaceDE w:val="0"/>
              <w:autoSpaceDN w:val="0"/>
              <w:spacing w:line="500" w:lineRule="exact"/>
              <w:ind w:right="21"/>
              <w:rPr>
                <w:rFonts w:hint="eastAsia" w:ascii="宋体" w:hAnsi="宋体" w:cs="宋体"/>
                <w:b/>
                <w:bCs/>
                <w:color w:val="auto"/>
                <w:szCs w:val="21"/>
                <w:highlight w:val="none"/>
                <w:lang w:val="zh-CN" w:bidi="zh-CN"/>
              </w:rPr>
            </w:pPr>
            <w:r>
              <w:rPr>
                <w:rFonts w:hint="eastAsia" w:ascii="宋体" w:hAnsi="宋体" w:cs="宋体"/>
                <w:b/>
                <w:bCs/>
                <w:color w:val="auto"/>
                <w:szCs w:val="21"/>
                <w:highlight w:val="none"/>
                <w:lang w:val="zh-CN" w:bidi="zh-CN"/>
              </w:rPr>
              <w:t xml:space="preserve">（2）、招标人每月按照审定合格工程形象进度产值的75%，支付进度款。 </w:t>
            </w:r>
          </w:p>
          <w:p w14:paraId="646B80B7">
            <w:pPr>
              <w:autoSpaceDE w:val="0"/>
              <w:autoSpaceDN w:val="0"/>
              <w:spacing w:line="500" w:lineRule="exact"/>
              <w:ind w:right="21"/>
              <w:rPr>
                <w:rFonts w:hint="eastAsia" w:ascii="宋体" w:hAnsi="宋体" w:cs="宋体"/>
                <w:b/>
                <w:bCs/>
                <w:color w:val="auto"/>
                <w:szCs w:val="21"/>
                <w:highlight w:val="none"/>
                <w:lang w:val="zh-CN" w:bidi="zh-CN"/>
              </w:rPr>
            </w:pPr>
            <w:r>
              <w:rPr>
                <w:rFonts w:hint="eastAsia" w:ascii="宋体" w:hAnsi="宋体" w:cs="宋体"/>
                <w:b/>
                <w:bCs/>
                <w:color w:val="auto"/>
                <w:szCs w:val="21"/>
                <w:highlight w:val="none"/>
                <w:lang w:val="zh-CN" w:bidi="zh-CN"/>
              </w:rPr>
              <w:t>（3）、单体竣工验收合格后，累计支付至单体合同造价的90%</w:t>
            </w:r>
          </w:p>
          <w:p w14:paraId="0190B10E">
            <w:pPr>
              <w:autoSpaceDE w:val="0"/>
              <w:autoSpaceDN w:val="0"/>
              <w:spacing w:line="500" w:lineRule="exact"/>
              <w:ind w:right="21"/>
              <w:rPr>
                <w:rFonts w:hint="eastAsia" w:ascii="宋体" w:hAnsi="宋体" w:cs="宋体"/>
                <w:b/>
                <w:bCs/>
                <w:color w:val="auto"/>
                <w:szCs w:val="21"/>
                <w:highlight w:val="none"/>
                <w:lang w:val="zh-CN" w:bidi="zh-CN"/>
              </w:rPr>
            </w:pPr>
            <w:r>
              <w:rPr>
                <w:rFonts w:hint="eastAsia" w:ascii="宋体" w:hAnsi="宋体" w:cs="宋体"/>
                <w:b/>
                <w:bCs/>
                <w:color w:val="auto"/>
                <w:szCs w:val="21"/>
                <w:highlight w:val="none"/>
                <w:lang w:val="zh-CN" w:bidi="zh-CN"/>
              </w:rPr>
              <w:t xml:space="preserve">（4）、工程结算经招标人审定完毕后，支付至审定结算款总价的 97% 。 </w:t>
            </w:r>
          </w:p>
          <w:p w14:paraId="0F1655BB">
            <w:pPr>
              <w:autoSpaceDE w:val="0"/>
              <w:autoSpaceDN w:val="0"/>
              <w:spacing w:line="500" w:lineRule="exact"/>
              <w:ind w:right="21"/>
              <w:rPr>
                <w:rFonts w:hint="default"/>
                <w:lang w:val="en-US"/>
              </w:rPr>
            </w:pPr>
            <w:r>
              <w:rPr>
                <w:rFonts w:hint="eastAsia" w:ascii="宋体" w:hAnsi="宋体" w:cs="宋体"/>
                <w:b/>
                <w:bCs/>
                <w:color w:val="auto"/>
                <w:szCs w:val="21"/>
                <w:highlight w:val="none"/>
                <w:lang w:val="zh-CN" w:bidi="zh-CN"/>
              </w:rPr>
              <w:t>（5）剩余审定结算工程总价款的 3% 为质保金。质保金的返还方式：</w:t>
            </w:r>
            <w:r>
              <w:rPr>
                <w:rFonts w:hint="eastAsia" w:ascii="宋体" w:hAnsi="宋体" w:cs="宋体"/>
                <w:b/>
                <w:bCs/>
                <w:color w:val="auto"/>
                <w:szCs w:val="21"/>
                <w:highlight w:val="none"/>
                <w:lang w:val="en-US" w:bidi="zh-CN"/>
              </w:rPr>
              <w:t>缺陷责任</w:t>
            </w:r>
            <w:r>
              <w:rPr>
                <w:rFonts w:hint="eastAsia" w:ascii="宋体" w:hAnsi="宋体" w:cs="宋体"/>
                <w:b/>
                <w:bCs/>
                <w:color w:val="auto"/>
                <w:szCs w:val="21"/>
                <w:highlight w:val="none"/>
                <w:lang w:val="zh-CN" w:bidi="zh-CN"/>
              </w:rPr>
              <w:t xml:space="preserve">期满两年，无息返还剩余质保金。 </w:t>
            </w:r>
          </w:p>
        </w:tc>
      </w:tr>
      <w:tr w14:paraId="36DA2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7" w:type="dxa"/>
            <w:tcBorders>
              <w:tl2br w:val="nil"/>
              <w:tr2bl w:val="nil"/>
            </w:tcBorders>
            <w:vAlign w:val="center"/>
          </w:tcPr>
          <w:p w14:paraId="215C77DD">
            <w:pPr>
              <w:spacing w:line="500" w:lineRule="exact"/>
              <w:jc w:val="center"/>
              <w:rPr>
                <w:rFonts w:hint="eastAsia" w:asciiTheme="minorEastAsia" w:hAnsiTheme="minorEastAsia" w:eastAsiaTheme="minorEastAsia"/>
                <w:color w:val="auto"/>
                <w:szCs w:val="21"/>
                <w:lang w:eastAsia="zh-CN"/>
              </w:rPr>
            </w:pPr>
            <w:r>
              <w:rPr>
                <w:rFonts w:asciiTheme="minorEastAsia" w:hAnsiTheme="minorEastAsia" w:eastAsiaTheme="minorEastAsia"/>
                <w:color w:val="auto"/>
                <w:szCs w:val="21"/>
              </w:rPr>
              <w:t>10.</w:t>
            </w:r>
            <w:r>
              <w:rPr>
                <w:rFonts w:hint="eastAsia" w:asciiTheme="minorEastAsia" w:hAnsiTheme="minorEastAsia" w:eastAsiaTheme="minorEastAsia"/>
                <w:color w:val="auto"/>
                <w:szCs w:val="21"/>
                <w:lang w:val="en-US" w:eastAsia="zh-CN"/>
              </w:rPr>
              <w:t>3</w:t>
            </w:r>
          </w:p>
        </w:tc>
        <w:tc>
          <w:tcPr>
            <w:tcW w:w="2234" w:type="dxa"/>
            <w:tcBorders>
              <w:tl2br w:val="nil"/>
              <w:tr2bl w:val="nil"/>
            </w:tcBorders>
            <w:vAlign w:val="center"/>
          </w:tcPr>
          <w:p w14:paraId="6A59492E">
            <w:pPr>
              <w:pStyle w:val="164"/>
              <w:spacing w:line="500" w:lineRule="exact"/>
              <w:jc w:val="center"/>
              <w:rPr>
                <w:rFonts w:cs="宋体"/>
                <w:color w:val="auto"/>
                <w:sz w:val="21"/>
                <w:szCs w:val="21"/>
                <w:lang w:val="zh-CN"/>
              </w:rPr>
            </w:pPr>
            <w:r>
              <w:rPr>
                <w:rFonts w:hint="eastAsia" w:cs="宋体"/>
                <w:color w:val="auto"/>
                <w:sz w:val="21"/>
                <w:szCs w:val="21"/>
              </w:rPr>
              <w:t>是否采用计算机评标</w:t>
            </w:r>
          </w:p>
        </w:tc>
        <w:tc>
          <w:tcPr>
            <w:tcW w:w="6777" w:type="dxa"/>
            <w:tcBorders>
              <w:tl2br w:val="nil"/>
              <w:tr2bl w:val="nil"/>
            </w:tcBorders>
            <w:vAlign w:val="center"/>
          </w:tcPr>
          <w:p w14:paraId="161656BB">
            <w:pPr>
              <w:pStyle w:val="164"/>
              <w:spacing w:line="360" w:lineRule="auto"/>
              <w:rPr>
                <w:rFonts w:cs="宋体"/>
                <w:b/>
                <w:bCs/>
                <w:color w:val="auto"/>
                <w:sz w:val="21"/>
                <w:szCs w:val="21"/>
              </w:rPr>
            </w:pPr>
            <w:r>
              <w:rPr>
                <w:rFonts w:hint="eastAsia" w:cs="宋体"/>
                <w:color w:val="auto"/>
                <w:sz w:val="21"/>
                <w:szCs w:val="21"/>
                <w:lang w:bidi="zh-CN"/>
              </w:rPr>
              <w:t>是</w:t>
            </w:r>
          </w:p>
        </w:tc>
      </w:tr>
      <w:tr w14:paraId="0BC0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67" w:type="dxa"/>
            <w:tcBorders>
              <w:tl2br w:val="nil"/>
              <w:tr2bl w:val="nil"/>
            </w:tcBorders>
            <w:vAlign w:val="center"/>
          </w:tcPr>
          <w:p w14:paraId="6029FC74">
            <w:pPr>
              <w:autoSpaceDE w:val="0"/>
              <w:autoSpaceDN w:val="0"/>
              <w:spacing w:line="500" w:lineRule="exact"/>
              <w:jc w:val="center"/>
              <w:rPr>
                <w:rFonts w:ascii="宋体" w:hAnsi="宋体" w:cs="宋体"/>
                <w:color w:val="auto"/>
                <w:szCs w:val="21"/>
                <w:lang w:bidi="zh-CN"/>
              </w:rPr>
            </w:pPr>
            <w:r>
              <w:rPr>
                <w:rFonts w:hint="eastAsia" w:ascii="宋体" w:hAnsi="宋体" w:cs="宋体"/>
                <w:color w:val="auto"/>
                <w:szCs w:val="21"/>
                <w:lang w:bidi="zh-CN"/>
              </w:rPr>
              <w:t>10.</w:t>
            </w:r>
            <w:r>
              <w:rPr>
                <w:rFonts w:hint="eastAsia" w:ascii="宋体" w:hAnsi="宋体" w:cs="宋体"/>
                <w:color w:val="auto"/>
                <w:szCs w:val="21"/>
                <w:lang w:val="en-US" w:bidi="zh-CN"/>
              </w:rPr>
              <w:t>4</w:t>
            </w:r>
          </w:p>
        </w:tc>
        <w:tc>
          <w:tcPr>
            <w:tcW w:w="2234" w:type="dxa"/>
            <w:tcBorders>
              <w:tl2br w:val="nil"/>
              <w:tr2bl w:val="nil"/>
            </w:tcBorders>
            <w:vAlign w:val="center"/>
          </w:tcPr>
          <w:p w14:paraId="3362BC28">
            <w:pPr>
              <w:autoSpaceDE w:val="0"/>
              <w:autoSpaceDN w:val="0"/>
              <w:spacing w:line="500" w:lineRule="exact"/>
              <w:jc w:val="center"/>
              <w:rPr>
                <w:rFonts w:ascii="宋体" w:hAnsi="宋体" w:cs="宋体" w:eastAsiaTheme="minorEastAsia"/>
                <w:color w:val="auto"/>
                <w:szCs w:val="21"/>
              </w:rPr>
            </w:pPr>
            <w:r>
              <w:rPr>
                <w:rFonts w:hint="eastAsia" w:ascii="宋体" w:hAnsi="宋体" w:cs="宋体"/>
                <w:color w:val="auto"/>
                <w:szCs w:val="21"/>
              </w:rPr>
              <w:t>知识产权</w:t>
            </w:r>
          </w:p>
        </w:tc>
        <w:tc>
          <w:tcPr>
            <w:tcW w:w="6777" w:type="dxa"/>
            <w:tcBorders>
              <w:tl2br w:val="nil"/>
              <w:tr2bl w:val="nil"/>
            </w:tcBorders>
            <w:vAlign w:val="center"/>
          </w:tcPr>
          <w:p w14:paraId="7FBF150C">
            <w:pPr>
              <w:autoSpaceDE w:val="0"/>
              <w:autoSpaceDN w:val="0"/>
              <w:spacing w:line="500" w:lineRule="exact"/>
              <w:ind w:right="21"/>
              <w:rPr>
                <w:rFonts w:ascii="宋体" w:hAnsi="宋体" w:cs="宋体"/>
                <w:color w:val="auto"/>
                <w:szCs w:val="21"/>
                <w:lang w:bidi="zh-CN"/>
              </w:rPr>
            </w:pPr>
            <w:r>
              <w:rPr>
                <w:rFonts w:hint="eastAsia" w:ascii="宋体" w:hAnsi="宋体" w:cs="宋体"/>
                <w:color w:val="auto"/>
                <w:szCs w:val="21"/>
                <w:lang w:val="zh-CN" w:bidi="zh-CN"/>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14:paraId="3622F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67" w:type="dxa"/>
            <w:tcBorders>
              <w:tl2br w:val="nil"/>
              <w:tr2bl w:val="nil"/>
            </w:tcBorders>
            <w:vAlign w:val="center"/>
          </w:tcPr>
          <w:p w14:paraId="475B33FB">
            <w:pPr>
              <w:autoSpaceDE w:val="0"/>
              <w:autoSpaceDN w:val="0"/>
              <w:spacing w:line="500" w:lineRule="exact"/>
              <w:jc w:val="center"/>
              <w:rPr>
                <w:rFonts w:ascii="宋体" w:hAnsi="宋体" w:cs="宋体"/>
                <w:color w:val="auto"/>
                <w:szCs w:val="21"/>
                <w:lang w:bidi="zh-CN"/>
              </w:rPr>
            </w:pPr>
            <w:r>
              <w:rPr>
                <w:rFonts w:hint="eastAsia" w:ascii="宋体" w:hAnsi="宋体" w:cs="宋体"/>
                <w:color w:val="auto"/>
                <w:szCs w:val="21"/>
                <w:lang w:bidi="zh-CN"/>
              </w:rPr>
              <w:t>10.</w:t>
            </w:r>
            <w:r>
              <w:rPr>
                <w:rFonts w:hint="eastAsia" w:ascii="宋体" w:hAnsi="宋体" w:cs="宋体"/>
                <w:color w:val="auto"/>
                <w:szCs w:val="21"/>
                <w:lang w:val="en-US" w:bidi="zh-CN"/>
              </w:rPr>
              <w:t>5</w:t>
            </w:r>
          </w:p>
        </w:tc>
        <w:tc>
          <w:tcPr>
            <w:tcW w:w="2234" w:type="dxa"/>
            <w:tcBorders>
              <w:tl2br w:val="nil"/>
              <w:tr2bl w:val="nil"/>
            </w:tcBorders>
            <w:vAlign w:val="center"/>
          </w:tcPr>
          <w:p w14:paraId="7EE9E256">
            <w:pPr>
              <w:autoSpaceDE w:val="0"/>
              <w:autoSpaceDN w:val="0"/>
              <w:spacing w:line="500" w:lineRule="exact"/>
              <w:jc w:val="center"/>
              <w:rPr>
                <w:rFonts w:ascii="宋体" w:hAnsi="宋体" w:cs="宋体"/>
                <w:color w:val="auto"/>
                <w:szCs w:val="21"/>
              </w:rPr>
            </w:pPr>
            <w:r>
              <w:rPr>
                <w:rFonts w:hint="eastAsia" w:ascii="宋体" w:hAnsi="宋体" w:cs="宋体"/>
                <w:color w:val="auto"/>
                <w:szCs w:val="21"/>
              </w:rPr>
              <w:t>重新招标的其他情形</w:t>
            </w:r>
          </w:p>
        </w:tc>
        <w:tc>
          <w:tcPr>
            <w:tcW w:w="6777" w:type="dxa"/>
            <w:tcBorders>
              <w:tl2br w:val="nil"/>
              <w:tr2bl w:val="nil"/>
            </w:tcBorders>
            <w:vAlign w:val="center"/>
          </w:tcPr>
          <w:p w14:paraId="1B8096CF">
            <w:pPr>
              <w:autoSpaceDE w:val="0"/>
              <w:autoSpaceDN w:val="0"/>
              <w:spacing w:line="500" w:lineRule="exact"/>
              <w:ind w:right="21"/>
              <w:rPr>
                <w:rFonts w:ascii="宋体" w:hAnsi="宋体" w:cs="宋体"/>
                <w:color w:val="auto"/>
                <w:szCs w:val="21"/>
                <w:lang w:bidi="zh-CN"/>
              </w:rPr>
            </w:pPr>
            <w:r>
              <w:rPr>
                <w:rFonts w:hint="eastAsia" w:ascii="宋体" w:hAnsi="宋体" w:cs="宋体"/>
                <w:color w:val="auto"/>
                <w:szCs w:val="21"/>
              </w:rPr>
              <w:t>除投标人须知正文规定的情形外，除非已经产生中标候选人，在投标有效期内同意延长投标有效期的投标人少于三个的，招标人应当依法重新招标。</w:t>
            </w:r>
          </w:p>
        </w:tc>
      </w:tr>
      <w:tr w14:paraId="0F790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67" w:type="dxa"/>
            <w:tcBorders>
              <w:tl2br w:val="nil"/>
              <w:tr2bl w:val="nil"/>
            </w:tcBorders>
            <w:vAlign w:val="center"/>
          </w:tcPr>
          <w:p w14:paraId="0123006C">
            <w:pPr>
              <w:autoSpaceDE w:val="0"/>
              <w:autoSpaceDN w:val="0"/>
              <w:spacing w:line="500" w:lineRule="exact"/>
              <w:jc w:val="center"/>
              <w:rPr>
                <w:rFonts w:ascii="宋体" w:hAnsi="宋体" w:cs="宋体"/>
                <w:color w:val="auto"/>
                <w:szCs w:val="21"/>
                <w:lang w:bidi="zh-CN"/>
              </w:rPr>
            </w:pPr>
            <w:r>
              <w:rPr>
                <w:rFonts w:hint="eastAsia" w:ascii="宋体" w:hAnsi="宋体" w:cs="宋体"/>
                <w:color w:val="auto"/>
                <w:szCs w:val="21"/>
                <w:lang w:bidi="zh-CN"/>
              </w:rPr>
              <w:t>10.</w:t>
            </w:r>
            <w:r>
              <w:rPr>
                <w:rFonts w:hint="eastAsia" w:ascii="宋体" w:hAnsi="宋体" w:cs="宋体"/>
                <w:color w:val="auto"/>
                <w:szCs w:val="21"/>
                <w:lang w:val="en-US" w:bidi="zh-CN"/>
              </w:rPr>
              <w:t>6</w:t>
            </w:r>
          </w:p>
        </w:tc>
        <w:tc>
          <w:tcPr>
            <w:tcW w:w="2234" w:type="dxa"/>
            <w:tcBorders>
              <w:tl2br w:val="nil"/>
              <w:tr2bl w:val="nil"/>
            </w:tcBorders>
            <w:vAlign w:val="center"/>
          </w:tcPr>
          <w:p w14:paraId="35864A99">
            <w:pPr>
              <w:autoSpaceDE w:val="0"/>
              <w:autoSpaceDN w:val="0"/>
              <w:spacing w:line="500" w:lineRule="exact"/>
              <w:jc w:val="center"/>
              <w:rPr>
                <w:rFonts w:ascii="宋体" w:hAnsi="宋体" w:cs="宋体"/>
                <w:color w:val="auto"/>
                <w:szCs w:val="21"/>
              </w:rPr>
            </w:pPr>
            <w:r>
              <w:rPr>
                <w:rFonts w:hint="eastAsia" w:ascii="宋体" w:hAnsi="宋体" w:cs="宋体"/>
                <w:color w:val="auto"/>
                <w:szCs w:val="21"/>
              </w:rPr>
              <w:t>同义词语</w:t>
            </w:r>
          </w:p>
        </w:tc>
        <w:tc>
          <w:tcPr>
            <w:tcW w:w="6777" w:type="dxa"/>
            <w:tcBorders>
              <w:tl2br w:val="nil"/>
              <w:tr2bl w:val="nil"/>
            </w:tcBorders>
            <w:vAlign w:val="center"/>
          </w:tcPr>
          <w:p w14:paraId="09E7FA06">
            <w:pPr>
              <w:autoSpaceDE w:val="0"/>
              <w:autoSpaceDN w:val="0"/>
              <w:spacing w:line="500" w:lineRule="exact"/>
              <w:ind w:right="21"/>
              <w:rPr>
                <w:rFonts w:ascii="宋体" w:hAnsi="宋体" w:cs="宋体"/>
                <w:color w:val="auto"/>
                <w:szCs w:val="21"/>
              </w:rPr>
            </w:pPr>
            <w:r>
              <w:rPr>
                <w:rFonts w:hint="eastAsia" w:ascii="宋体" w:hAnsi="宋体" w:cs="宋体"/>
                <w:color w:val="auto"/>
                <w:szCs w:val="21"/>
              </w:rPr>
              <w:t>构成招标文件组成部分的“通用合同条款”、“专用合同条款”和“设计任务书”等章节中出现的措辞“发包人”和“承包人”，在招标投标阶段应当分别按“招标人”和“投标人”进行理解。</w:t>
            </w:r>
          </w:p>
        </w:tc>
      </w:tr>
      <w:tr w14:paraId="0A8D0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67" w:type="dxa"/>
            <w:tcBorders>
              <w:tl2br w:val="nil"/>
              <w:tr2bl w:val="nil"/>
            </w:tcBorders>
            <w:vAlign w:val="center"/>
          </w:tcPr>
          <w:p w14:paraId="536739E1">
            <w:pPr>
              <w:autoSpaceDE w:val="0"/>
              <w:autoSpaceDN w:val="0"/>
              <w:spacing w:line="500" w:lineRule="exact"/>
              <w:jc w:val="center"/>
              <w:rPr>
                <w:rFonts w:hint="eastAsia" w:ascii="宋体" w:hAnsi="宋体" w:cs="宋体"/>
                <w:color w:val="auto"/>
                <w:szCs w:val="21"/>
              </w:rPr>
            </w:pPr>
            <w:r>
              <w:rPr>
                <w:rFonts w:hint="eastAsia" w:ascii="宋体" w:hAnsi="宋体" w:cs="宋体"/>
                <w:color w:val="auto"/>
                <w:szCs w:val="21"/>
                <w:lang w:bidi="zh-CN"/>
              </w:rPr>
              <w:t>10.7</w:t>
            </w:r>
          </w:p>
        </w:tc>
        <w:tc>
          <w:tcPr>
            <w:tcW w:w="2234" w:type="dxa"/>
            <w:tcBorders>
              <w:tl2br w:val="nil"/>
              <w:tr2bl w:val="nil"/>
            </w:tcBorders>
            <w:vAlign w:val="center"/>
          </w:tcPr>
          <w:p w14:paraId="0F3297DA">
            <w:pPr>
              <w:autoSpaceDE w:val="0"/>
              <w:autoSpaceDN w:val="0"/>
              <w:spacing w:line="500" w:lineRule="exact"/>
              <w:jc w:val="center"/>
              <w:rPr>
                <w:rFonts w:hint="eastAsia" w:ascii="宋体" w:hAnsi="宋体" w:cs="宋体"/>
                <w:color w:val="auto"/>
                <w:szCs w:val="21"/>
                <w:highlight w:val="yellow"/>
              </w:rPr>
            </w:pPr>
            <w:r>
              <w:rPr>
                <w:rFonts w:hint="eastAsia"/>
                <w:color w:val="auto"/>
                <w:szCs w:val="21"/>
              </w:rPr>
              <w:t>定标监督委员会</w:t>
            </w:r>
          </w:p>
        </w:tc>
        <w:tc>
          <w:tcPr>
            <w:tcW w:w="6777" w:type="dxa"/>
            <w:tcBorders>
              <w:tl2br w:val="nil"/>
              <w:tr2bl w:val="nil"/>
            </w:tcBorders>
            <w:vAlign w:val="center"/>
          </w:tcPr>
          <w:p w14:paraId="3003F814">
            <w:pPr>
              <w:autoSpaceDE w:val="0"/>
              <w:autoSpaceDN w:val="0"/>
              <w:spacing w:line="500" w:lineRule="exact"/>
              <w:ind w:right="21" w:rightChars="0"/>
              <w:rPr>
                <w:rFonts w:hint="eastAsia" w:ascii="宋体" w:hAnsi="宋体" w:cs="宋体"/>
                <w:color w:val="auto"/>
                <w:szCs w:val="21"/>
                <w:highlight w:val="yellow"/>
              </w:rPr>
            </w:pPr>
            <w:r>
              <w:rPr>
                <w:rFonts w:hint="eastAsia" w:ascii="Times New Roman" w:hAnsi="Times New Roman"/>
                <w:color w:val="auto"/>
              </w:rPr>
              <w:t>各行业行政主管部门牵头成立定标监督委员会，定标监督委员会负责对定标委员会组建、定标前的定标人员资格及中标侯选人考察、定标活动等全过程进行监督,及时指出、制止违反程序及纪律的行为,但不得就定标涉及的实质内容发表意见或者参与定标委员会的讨论,泄露定标内容及结果等。发现定标无法继续进行的、相关人员存在违反程序及纪律的行为被指出后仍拒绝纠正的、定标活动存在其他违反相关规定行为的,市定标监督委员会应当及时通报招标投标行政监督部门。</w:t>
            </w:r>
          </w:p>
        </w:tc>
      </w:tr>
      <w:tr w14:paraId="5F29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167" w:type="dxa"/>
            <w:tcBorders>
              <w:tl2br w:val="nil"/>
              <w:tr2bl w:val="nil"/>
            </w:tcBorders>
            <w:vAlign w:val="center"/>
          </w:tcPr>
          <w:p w14:paraId="71A4A349">
            <w:pPr>
              <w:autoSpaceDE w:val="0"/>
              <w:autoSpaceDN w:val="0"/>
              <w:spacing w:line="500" w:lineRule="exact"/>
              <w:jc w:val="center"/>
              <w:rPr>
                <w:rFonts w:hint="eastAsia" w:ascii="宋体" w:hAnsi="宋体" w:eastAsia="宋体" w:cs="宋体"/>
                <w:color w:val="auto"/>
                <w:szCs w:val="21"/>
                <w:highlight w:val="none"/>
                <w:lang w:eastAsia="zh-CN" w:bidi="zh-CN"/>
              </w:rPr>
            </w:pPr>
            <w:r>
              <w:rPr>
                <w:rFonts w:hint="eastAsia" w:ascii="宋体" w:hAnsi="宋体" w:cs="宋体"/>
                <w:color w:val="auto"/>
                <w:szCs w:val="21"/>
                <w:highlight w:val="none"/>
              </w:rPr>
              <w:t>10.</w:t>
            </w:r>
            <w:r>
              <w:rPr>
                <w:rFonts w:hint="eastAsia" w:ascii="宋体" w:hAnsi="宋体" w:cs="宋体"/>
                <w:color w:val="auto"/>
                <w:szCs w:val="21"/>
                <w:highlight w:val="none"/>
                <w:lang w:val="en-US" w:eastAsia="zh-CN"/>
              </w:rPr>
              <w:t>7</w:t>
            </w:r>
          </w:p>
        </w:tc>
        <w:tc>
          <w:tcPr>
            <w:tcW w:w="2234" w:type="dxa"/>
            <w:tcBorders>
              <w:tl2br w:val="nil"/>
              <w:tr2bl w:val="nil"/>
            </w:tcBorders>
            <w:vAlign w:val="center"/>
          </w:tcPr>
          <w:p w14:paraId="53460ED3">
            <w:pPr>
              <w:autoSpaceDE w:val="0"/>
              <w:autoSpaceDN w:val="0"/>
              <w:spacing w:line="500" w:lineRule="exact"/>
              <w:jc w:val="center"/>
              <w:rPr>
                <w:rFonts w:ascii="宋体" w:hAnsi="宋体" w:cs="宋体"/>
                <w:color w:val="auto"/>
                <w:szCs w:val="21"/>
                <w:highlight w:val="none"/>
              </w:rPr>
            </w:pPr>
            <w:r>
              <w:rPr>
                <w:rFonts w:hint="eastAsia" w:ascii="宋体" w:hAnsi="宋体" w:cs="宋体"/>
                <w:color w:val="auto"/>
                <w:szCs w:val="21"/>
                <w:highlight w:val="none"/>
              </w:rPr>
              <w:t>招标代理服务费</w:t>
            </w:r>
          </w:p>
        </w:tc>
        <w:tc>
          <w:tcPr>
            <w:tcW w:w="6777" w:type="dxa"/>
            <w:tcBorders>
              <w:tl2br w:val="nil"/>
              <w:tr2bl w:val="nil"/>
            </w:tcBorders>
            <w:vAlign w:val="center"/>
          </w:tcPr>
          <w:p w14:paraId="69BAEA6C">
            <w:pPr>
              <w:autoSpaceDE w:val="0"/>
              <w:autoSpaceDN w:val="0"/>
              <w:spacing w:line="500" w:lineRule="exact"/>
              <w:ind w:right="21"/>
              <w:rPr>
                <w:rFonts w:hint="eastAsia" w:eastAsia="宋体"/>
                <w:color w:val="auto"/>
                <w:highlight w:val="none"/>
                <w:lang w:eastAsia="zh-CN"/>
              </w:rPr>
            </w:pPr>
            <w:r>
              <w:rPr>
                <w:rFonts w:hint="eastAsia" w:ascii="宋体" w:hAnsi="宋体" w:cs="宋体"/>
                <w:color w:val="auto"/>
                <w:szCs w:val="21"/>
                <w:highlight w:val="none"/>
              </w:rPr>
              <w:t>1、本</w:t>
            </w:r>
            <w:r>
              <w:rPr>
                <w:rFonts w:hint="eastAsia"/>
                <w:color w:val="auto"/>
                <w:highlight w:val="none"/>
              </w:rPr>
              <w:t>项目招标代理服务费参照原国家计委计价格【2002】1980号文标准的</w:t>
            </w:r>
            <w:r>
              <w:rPr>
                <w:rFonts w:hint="eastAsia"/>
                <w:color w:val="auto"/>
                <w:highlight w:val="none"/>
                <w:lang w:val="en-US" w:eastAsia="zh-CN"/>
              </w:rPr>
              <w:t>38</w:t>
            </w:r>
            <w:r>
              <w:rPr>
                <w:color w:val="auto"/>
                <w:highlight w:val="none"/>
              </w:rPr>
              <w:t>%</w:t>
            </w:r>
            <w:r>
              <w:rPr>
                <w:rFonts w:hint="eastAsia"/>
                <w:color w:val="auto"/>
                <w:highlight w:val="none"/>
              </w:rPr>
              <w:t>计取</w:t>
            </w:r>
            <w:r>
              <w:rPr>
                <w:rFonts w:hint="eastAsia"/>
                <w:color w:val="auto"/>
                <w:highlight w:val="none"/>
                <w:lang w:eastAsia="zh-CN"/>
              </w:rPr>
              <w:t>。</w:t>
            </w:r>
          </w:p>
        </w:tc>
      </w:tr>
      <w:tr w14:paraId="2003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167" w:type="dxa"/>
            <w:tcBorders>
              <w:tl2br w:val="nil"/>
              <w:tr2bl w:val="nil"/>
            </w:tcBorders>
            <w:vAlign w:val="center"/>
          </w:tcPr>
          <w:p w14:paraId="171EDD3D">
            <w:pPr>
              <w:autoSpaceDE w:val="0"/>
              <w:autoSpaceDN w:val="0"/>
              <w:spacing w:line="500" w:lineRule="exact"/>
              <w:jc w:val="center"/>
              <w:rPr>
                <w:rFonts w:hint="eastAsia" w:ascii="宋体" w:hAnsi="宋体" w:eastAsia="宋体" w:cs="宋体"/>
                <w:color w:val="auto"/>
                <w:szCs w:val="21"/>
                <w:lang w:eastAsia="zh-CN" w:bidi="zh-CN"/>
              </w:rPr>
            </w:pPr>
            <w:r>
              <w:rPr>
                <w:rFonts w:hint="eastAsia" w:ascii="宋体" w:hAnsi="宋体" w:cs="宋体"/>
                <w:color w:val="auto"/>
                <w:szCs w:val="21"/>
              </w:rPr>
              <w:t>10.</w:t>
            </w:r>
            <w:r>
              <w:rPr>
                <w:rFonts w:hint="eastAsia" w:ascii="宋体" w:hAnsi="宋体" w:cs="宋体"/>
                <w:color w:val="auto"/>
                <w:szCs w:val="21"/>
                <w:lang w:val="en-US" w:eastAsia="zh-CN"/>
              </w:rPr>
              <w:t>8</w:t>
            </w:r>
          </w:p>
        </w:tc>
        <w:tc>
          <w:tcPr>
            <w:tcW w:w="2234" w:type="dxa"/>
            <w:tcBorders>
              <w:tl2br w:val="nil"/>
              <w:tr2bl w:val="nil"/>
            </w:tcBorders>
            <w:vAlign w:val="center"/>
          </w:tcPr>
          <w:p w14:paraId="422F55C6">
            <w:pPr>
              <w:autoSpaceDE w:val="0"/>
              <w:autoSpaceDN w:val="0"/>
              <w:spacing w:line="500" w:lineRule="exact"/>
              <w:jc w:val="center"/>
              <w:rPr>
                <w:rFonts w:ascii="宋体" w:hAnsi="宋体" w:cs="宋体"/>
                <w:color w:val="auto"/>
                <w:szCs w:val="21"/>
              </w:rPr>
            </w:pPr>
            <w:r>
              <w:rPr>
                <w:rFonts w:hint="eastAsia" w:ascii="宋体" w:hAnsi="宋体" w:cs="宋体"/>
                <w:color w:val="auto"/>
                <w:szCs w:val="21"/>
              </w:rPr>
              <w:t>虚假材料说明</w:t>
            </w:r>
          </w:p>
        </w:tc>
        <w:tc>
          <w:tcPr>
            <w:tcW w:w="6777" w:type="dxa"/>
            <w:tcBorders>
              <w:tl2br w:val="nil"/>
              <w:tr2bl w:val="nil"/>
            </w:tcBorders>
            <w:vAlign w:val="center"/>
          </w:tcPr>
          <w:p w14:paraId="5319EA88">
            <w:pPr>
              <w:autoSpaceDE w:val="0"/>
              <w:autoSpaceDN w:val="0"/>
              <w:spacing w:line="500" w:lineRule="exact"/>
              <w:ind w:right="21"/>
              <w:rPr>
                <w:rFonts w:ascii="宋体" w:hAnsi="宋体" w:cs="宋体"/>
                <w:color w:val="auto"/>
                <w:szCs w:val="21"/>
              </w:rPr>
            </w:pPr>
            <w:r>
              <w:rPr>
                <w:rFonts w:hint="eastAsia" w:ascii="宋体" w:hAnsi="宋体" w:cs="宋体"/>
                <w:color w:val="auto"/>
                <w:szCs w:val="21"/>
              </w:rPr>
              <w:t>(1)投标人必须对其投标文件中提供各种资料、说明的真实性负责。在评标过程中，如果发现投标人有为谋取中标而提供虚假资料欺骗采购人和评委的行为，将取消其中标资格</w:t>
            </w:r>
            <w:bookmarkStart w:id="819" w:name="_GoBack"/>
            <w:bookmarkEnd w:id="819"/>
            <w:r>
              <w:rPr>
                <w:rFonts w:hint="eastAsia" w:ascii="宋体" w:hAnsi="宋体" w:cs="宋体"/>
                <w:color w:val="auto"/>
                <w:szCs w:val="21"/>
              </w:rPr>
              <w:t>。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给采购人造成损失的，还必须进行赔偿并负相关责任。</w:t>
            </w:r>
          </w:p>
        </w:tc>
      </w:tr>
      <w:tr w14:paraId="2FC3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167" w:type="dxa"/>
            <w:tcBorders>
              <w:tl2br w:val="nil"/>
              <w:tr2bl w:val="nil"/>
            </w:tcBorders>
            <w:vAlign w:val="center"/>
          </w:tcPr>
          <w:p w14:paraId="62FE21FC">
            <w:pPr>
              <w:spacing w:line="500" w:lineRule="exac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解释权</w:t>
            </w:r>
          </w:p>
        </w:tc>
        <w:tc>
          <w:tcPr>
            <w:tcW w:w="9011" w:type="dxa"/>
            <w:gridSpan w:val="2"/>
            <w:tcBorders>
              <w:tl2br w:val="nil"/>
              <w:tr2bl w:val="nil"/>
            </w:tcBorders>
            <w:vAlign w:val="center"/>
          </w:tcPr>
          <w:p w14:paraId="7E75319C">
            <w:pPr>
              <w:spacing w:line="500" w:lineRule="exact"/>
              <w:rPr>
                <w:color w:val="auto"/>
                <w:szCs w:val="21"/>
              </w:rPr>
            </w:pPr>
            <w:r>
              <w:rPr>
                <w:rFonts w:hint="eastAsia"/>
                <w:color w:val="auto"/>
                <w:szCs w:val="21"/>
              </w:rPr>
              <w:t>本招标文件的最终解释权归招标人，当对一个问题有多种解释时以招标人的书面解释为准。招标文件未做须知明示，而又有相关法律、法规规定的，招标人对此所做解释以相关的法律、法规规定为依据。</w:t>
            </w:r>
          </w:p>
          <w:p w14:paraId="3BF75C64">
            <w:pPr>
              <w:spacing w:line="360" w:lineRule="auto"/>
              <w:rPr>
                <w:rFonts w:ascii="宋体" w:hAnsi="宋体" w:cs="宋体"/>
                <w:color w:val="auto"/>
                <w:szCs w:val="21"/>
              </w:rPr>
            </w:pPr>
            <w:r>
              <w:rPr>
                <w:rFonts w:hint="eastAsia" w:ascii="宋体" w:hAnsi="宋体" w:cs="宋体"/>
                <w:color w:val="auto"/>
                <w:szCs w:val="21"/>
              </w:rPr>
              <w:t>构成本招标文件的各个组成文件应互为解释，互为说明。</w:t>
            </w:r>
          </w:p>
          <w:p w14:paraId="7A9504B0">
            <w:pPr>
              <w:spacing w:line="360" w:lineRule="auto"/>
              <w:rPr>
                <w:rFonts w:ascii="宋体" w:hAnsi="宋体" w:cs="宋体"/>
                <w:color w:val="auto"/>
                <w:szCs w:val="21"/>
              </w:rPr>
            </w:pPr>
            <w:r>
              <w:rPr>
                <w:rFonts w:hint="eastAsia" w:ascii="宋体" w:hAnsi="宋体" w:cs="宋体"/>
                <w:color w:val="auto"/>
                <w:szCs w:val="21"/>
              </w:rPr>
              <w:t>如有不明确或不一致：</w:t>
            </w:r>
          </w:p>
          <w:p w14:paraId="1A8D5ADB">
            <w:pPr>
              <w:spacing w:line="360" w:lineRule="auto"/>
              <w:rPr>
                <w:rFonts w:ascii="宋体" w:hAnsi="宋体" w:cs="宋体"/>
                <w:color w:val="auto"/>
                <w:szCs w:val="21"/>
              </w:rPr>
            </w:pPr>
            <w:r>
              <w:rPr>
                <w:rFonts w:hint="eastAsia" w:ascii="宋体" w:hAnsi="宋体" w:cs="宋体"/>
                <w:color w:val="auto"/>
                <w:szCs w:val="21"/>
              </w:rPr>
              <w:t>（1）构成合同文件组成内容的，以合同文件约定内容为准，且以专用合同条款约定的合同文件优先顺序解释；</w:t>
            </w:r>
          </w:p>
          <w:p w14:paraId="590E4DA1">
            <w:pPr>
              <w:spacing w:line="360" w:lineRule="auto"/>
              <w:rPr>
                <w:rFonts w:ascii="宋体" w:hAnsi="宋体" w:cs="宋体"/>
                <w:color w:val="auto"/>
                <w:szCs w:val="21"/>
              </w:rPr>
            </w:pPr>
            <w:r>
              <w:rPr>
                <w:rFonts w:hint="eastAsia" w:ascii="宋体" w:hAnsi="宋体" w:cs="宋体"/>
                <w:color w:val="auto"/>
                <w:szCs w:val="21"/>
              </w:rPr>
              <w:t>（2）招标文件各个组成文件按招标公告（投标邀请书）、投标人须知、评标办法、投标文件格式的先后顺序解释；</w:t>
            </w:r>
          </w:p>
          <w:p w14:paraId="6A3B65C3">
            <w:pPr>
              <w:spacing w:line="360" w:lineRule="auto"/>
              <w:rPr>
                <w:rFonts w:ascii="宋体" w:hAnsi="宋体" w:cs="宋体"/>
                <w:color w:val="auto"/>
                <w:szCs w:val="21"/>
              </w:rPr>
            </w:pPr>
            <w:r>
              <w:rPr>
                <w:rFonts w:hint="eastAsia" w:ascii="宋体" w:hAnsi="宋体" w:cs="宋体"/>
                <w:color w:val="auto"/>
                <w:szCs w:val="21"/>
              </w:rPr>
              <w:t>（3）同一组成文件（章节）中就同一事项的规定或约定不一致的，以编排顺序在后者为准；</w:t>
            </w:r>
          </w:p>
          <w:p w14:paraId="2DCFA8C3">
            <w:pPr>
              <w:spacing w:line="360" w:lineRule="auto"/>
              <w:rPr>
                <w:rFonts w:ascii="宋体" w:hAnsi="宋体" w:cs="宋体"/>
                <w:color w:val="auto"/>
                <w:szCs w:val="21"/>
              </w:rPr>
            </w:pPr>
            <w:r>
              <w:rPr>
                <w:rFonts w:hint="eastAsia" w:ascii="宋体" w:hAnsi="宋体" w:cs="宋体"/>
                <w:color w:val="auto"/>
                <w:szCs w:val="21"/>
              </w:rPr>
              <w:t>（4）同一组成文件不同版本之间有不一致的，以形成时间在后者为准；</w:t>
            </w:r>
          </w:p>
          <w:p w14:paraId="1FC1A25B">
            <w:pPr>
              <w:spacing w:line="312" w:lineRule="auto"/>
              <w:rPr>
                <w:color w:val="auto"/>
                <w:szCs w:val="21"/>
              </w:rPr>
            </w:pPr>
            <w:r>
              <w:rPr>
                <w:rFonts w:hint="eastAsia" w:ascii="宋体" w:hAnsi="宋体" w:cs="宋体"/>
                <w:color w:val="auto"/>
                <w:szCs w:val="21"/>
              </w:rPr>
              <w:t>（5）投标文件中其他章节与投标人须知有不一致的内容，以投标人须知内容为准。</w:t>
            </w:r>
          </w:p>
          <w:p w14:paraId="4DB61FDF">
            <w:pPr>
              <w:pStyle w:val="151"/>
              <w:ind w:firstLine="420"/>
              <w:rPr>
                <w:color w:val="auto"/>
                <w:sz w:val="21"/>
                <w:szCs w:val="21"/>
              </w:rPr>
            </w:pPr>
            <w:r>
              <w:rPr>
                <w:rFonts w:hint="eastAsia"/>
                <w:color w:val="auto"/>
                <w:sz w:val="21"/>
                <w:szCs w:val="21"/>
              </w:rPr>
              <w:t>按本款前述规定仍不能形成结论的，由招标人负责解释。</w:t>
            </w:r>
          </w:p>
        </w:tc>
      </w:tr>
      <w:tr w14:paraId="05A2A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1167" w:type="dxa"/>
            <w:tcBorders>
              <w:tl2br w:val="nil"/>
              <w:tr2bl w:val="nil"/>
            </w:tcBorders>
            <w:vAlign w:val="center"/>
          </w:tcPr>
          <w:p w14:paraId="6453DEA6">
            <w:pPr>
              <w:autoSpaceDE w:val="0"/>
              <w:autoSpaceDN w:val="0"/>
              <w:spacing w:line="500" w:lineRule="exact"/>
              <w:jc w:val="center"/>
              <w:rPr>
                <w:rFonts w:ascii="宋体" w:hAnsi="宋体" w:cs="宋体"/>
                <w:color w:val="auto"/>
                <w:szCs w:val="21"/>
                <w:lang w:bidi="zh-CN"/>
              </w:rPr>
            </w:pPr>
            <w:r>
              <w:rPr>
                <w:rFonts w:hint="eastAsia" w:ascii="宋体" w:hAnsi="宋体" w:cs="宋体"/>
                <w:color w:val="auto"/>
                <w:szCs w:val="21"/>
              </w:rPr>
              <w:t>电子招投标须知</w:t>
            </w:r>
          </w:p>
        </w:tc>
        <w:tc>
          <w:tcPr>
            <w:tcW w:w="9011" w:type="dxa"/>
            <w:gridSpan w:val="2"/>
            <w:tcBorders>
              <w:tl2br w:val="nil"/>
              <w:tr2bl w:val="nil"/>
            </w:tcBorders>
            <w:vAlign w:val="center"/>
          </w:tcPr>
          <w:p w14:paraId="424D46ED">
            <w:pPr>
              <w:spacing w:line="360" w:lineRule="auto"/>
              <w:jc w:val="left"/>
              <w:rPr>
                <w:rFonts w:asciiTheme="minorEastAsia" w:hAnsiTheme="minorEastAsia" w:eastAsiaTheme="minorEastAsia"/>
                <w:bCs/>
                <w:color w:val="auto"/>
                <w:szCs w:val="21"/>
              </w:rPr>
            </w:pPr>
            <w:r>
              <w:rPr>
                <w:rFonts w:hint="eastAsia" w:asciiTheme="minorEastAsia" w:hAnsiTheme="minorEastAsia" w:eastAsiaTheme="minorEastAsia"/>
                <w:bCs/>
                <w:color w:val="auto"/>
                <w:szCs w:val="21"/>
              </w:rPr>
              <w:t>招标文件中其他章节与电子投标人须知有不一致的内容，以电子投标人须知内容为准。</w:t>
            </w:r>
          </w:p>
          <w:p w14:paraId="06A4B168">
            <w:pPr>
              <w:spacing w:line="312" w:lineRule="auto"/>
              <w:rPr>
                <w:rFonts w:ascii="宋体" w:hAnsi="宋体" w:cs="宋体"/>
                <w:color w:val="auto"/>
                <w:szCs w:val="21"/>
              </w:rPr>
            </w:pPr>
            <w:r>
              <w:rPr>
                <w:rFonts w:hint="eastAsia" w:ascii="宋体" w:hAnsi="宋体" w:cs="宋体"/>
                <w:color w:val="auto"/>
                <w:szCs w:val="21"/>
              </w:rPr>
              <w:t>1.本次招标为电子系统,投标人应通过赢标电子招标采购交易系统（http://hzsjyzx.cn:50000/#/login）上传经 CA 加密的电子投标文件。</w:t>
            </w:r>
          </w:p>
          <w:p w14:paraId="21C198DC">
            <w:pPr>
              <w:spacing w:line="312" w:lineRule="auto"/>
              <w:rPr>
                <w:rFonts w:ascii="宋体" w:hAnsi="宋体" w:cs="宋体"/>
                <w:color w:val="auto"/>
                <w:szCs w:val="21"/>
              </w:rPr>
            </w:pPr>
            <w:r>
              <w:rPr>
                <w:rFonts w:hint="eastAsia" w:ascii="宋体" w:hAnsi="宋体" w:cs="宋体"/>
                <w:color w:val="auto"/>
                <w:szCs w:val="21"/>
              </w:rPr>
              <w:t>2.在线递交电子投标文件前，投标人应当使用投标客户端及及CA为投标文件加密，加密时所用投标文件均只能使用同一把企业CA证书进行加密，否则引起的解密失败的责任由投标人自行承担。加密后请使用投标客户端软件验证解密，以确保电子投标文件未在加密过程中损坏。投标人未按规定加密的投标文件，赢标电子招标采购交易系统（http://hzsjyzx.cn:50000/#/login）将拒绝接收。投标人须在报价截止时间前，通过投标客户端生成的加密文件，并在招标文件规定的投标截止时间前登陆赢标电子招标采购交易系统（http://hzsjyzx.cn:50000/#/login）递交电子投标文件。</w:t>
            </w:r>
          </w:p>
          <w:p w14:paraId="1D20FB0F">
            <w:pPr>
              <w:spacing w:line="312" w:lineRule="auto"/>
              <w:rPr>
                <w:rFonts w:ascii="宋体" w:hAnsi="宋体" w:cs="宋体"/>
                <w:color w:val="auto"/>
                <w:szCs w:val="21"/>
              </w:rPr>
            </w:pPr>
            <w:r>
              <w:rPr>
                <w:rFonts w:hint="eastAsia" w:ascii="宋体" w:hAnsi="宋体" w:cs="宋体"/>
                <w:color w:val="auto"/>
                <w:szCs w:val="21"/>
              </w:rPr>
              <w:t>3.投标人在递交投标文件之后、在规定的投标截止时间之前，可随时赢标电子招标采购交易系统（http://hzsjyzx.cn:50000/#/login）撤回投标文件。需要补充或者修改投标文件时，必须先撤回投标文件，修改后重新递交。重新递交的投标文件应按招标文件的规定编制、加密和 CA 签名。在投标截止时间后，不能修改或撤回投标文件。</w:t>
            </w:r>
          </w:p>
          <w:p w14:paraId="66898C34">
            <w:pPr>
              <w:spacing w:line="312" w:lineRule="auto"/>
              <w:rPr>
                <w:rFonts w:ascii="宋体" w:hAnsi="宋体" w:cs="宋体"/>
                <w:color w:val="auto"/>
                <w:szCs w:val="21"/>
              </w:rPr>
            </w:pPr>
            <w:r>
              <w:rPr>
                <w:rFonts w:hint="eastAsia" w:ascii="宋体" w:hAnsi="宋体" w:cs="宋体"/>
                <w:color w:val="auto"/>
                <w:szCs w:val="21"/>
              </w:rPr>
              <w:t xml:space="preserve">4.招标人按招标文件中规定的时间和地点公开开标，投标人必须准时在线参加开标并签到，解密时间规定为30分钟，投标人需使用CA在规定的时间内自行完成解密，解密结束后对开标记录进行电子签名。若投标人在解密规定时间内未完成电子标解密操作，视为放弃该项目报价。电子开标过程出现故障时，按相关部门的规定处理。 </w:t>
            </w:r>
          </w:p>
          <w:p w14:paraId="6762252F">
            <w:pPr>
              <w:spacing w:line="360" w:lineRule="auto"/>
              <w:rPr>
                <w:rFonts w:ascii="宋体" w:hAnsi="宋体" w:cs="宋体"/>
                <w:color w:val="auto"/>
                <w:szCs w:val="21"/>
              </w:rPr>
            </w:pPr>
            <w:r>
              <w:rPr>
                <w:rFonts w:hint="eastAsia" w:ascii="宋体" w:hAnsi="宋体" w:cs="宋体"/>
                <w:color w:val="auto"/>
                <w:szCs w:val="21"/>
              </w:rPr>
              <w:t>5.招标文件一经在赢标电子招标采购交易系统（http://hzsjyzx.cn:50000/#/login）发布，视作已发放给所有投标人（发布时间即为发出招标文件的时间），各投标人应随时关注报名项目信息并及时在赢标电子招标采购交易系统（http://hzsjyzx.cn:50000/#/login）下载电子版招标文件和各类澄清答疑</w:t>
            </w:r>
            <w:r>
              <w:rPr>
                <w:rFonts w:hint="eastAsia" w:ascii="宋体" w:hAnsi="宋体" w:cs="宋体"/>
                <w:color w:val="auto"/>
                <w:szCs w:val="21"/>
                <w:lang w:eastAsia="zh-CN"/>
              </w:rPr>
              <w:t>。</w:t>
            </w:r>
            <w:r>
              <w:rPr>
                <w:rFonts w:hint="eastAsia" w:ascii="宋体" w:hAnsi="宋体" w:cs="宋体"/>
                <w:color w:val="auto"/>
                <w:szCs w:val="21"/>
              </w:rPr>
              <w:t>否则所造成的一切后果由投标人自负。</w:t>
            </w:r>
          </w:p>
          <w:p w14:paraId="29AEA238">
            <w:pPr>
              <w:tabs>
                <w:tab w:val="left" w:pos="1758"/>
              </w:tabs>
              <w:spacing w:line="420" w:lineRule="exact"/>
              <w:ind w:right="134" w:rightChars="64"/>
              <w:rPr>
                <w:rFonts w:hint="eastAsia" w:ascii="宋体" w:hAnsi="宋体" w:eastAsia="宋体" w:cs="宋体"/>
                <w:color w:val="auto"/>
                <w:szCs w:val="21"/>
                <w:lang w:eastAsia="zh-CN"/>
              </w:rPr>
            </w:pPr>
            <w:r>
              <w:rPr>
                <w:rFonts w:hint="eastAsia" w:ascii="宋体" w:hAnsi="宋体" w:cs="宋体"/>
                <w:color w:val="auto"/>
                <w:szCs w:val="21"/>
              </w:rPr>
              <w:t>6.投标人在使用电子招投标平台时，如有任何疑问，请咨询系统技术支持：李经理 15020110313。</w:t>
            </w:r>
          </w:p>
        </w:tc>
      </w:tr>
      <w:tr w14:paraId="03596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67" w:type="dxa"/>
            <w:tcBorders>
              <w:tl2br w:val="nil"/>
              <w:tr2bl w:val="nil"/>
            </w:tcBorders>
            <w:vAlign w:val="center"/>
          </w:tcPr>
          <w:p w14:paraId="6BCF1A0C">
            <w:pPr>
              <w:wordWrap w:val="0"/>
              <w:spacing w:line="420" w:lineRule="exact"/>
              <w:jc w:val="center"/>
              <w:rPr>
                <w:rFonts w:ascii="宋体" w:hAnsi="宋体" w:cs="宋体"/>
                <w:color w:val="auto"/>
                <w:szCs w:val="21"/>
              </w:rPr>
            </w:pPr>
            <w:r>
              <w:rPr>
                <w:rFonts w:hint="eastAsia"/>
                <w:color w:val="auto"/>
                <w:szCs w:val="21"/>
              </w:rPr>
              <w:t>电子招投标的应急措施</w:t>
            </w:r>
          </w:p>
        </w:tc>
        <w:tc>
          <w:tcPr>
            <w:tcW w:w="9011" w:type="dxa"/>
            <w:gridSpan w:val="2"/>
            <w:tcBorders>
              <w:tl2br w:val="nil"/>
              <w:tr2bl w:val="nil"/>
            </w:tcBorders>
            <w:vAlign w:val="center"/>
          </w:tcPr>
          <w:p w14:paraId="6BED06BA">
            <w:pPr>
              <w:widowControl/>
              <w:spacing w:line="440" w:lineRule="exact"/>
              <w:jc w:val="left"/>
              <w:rPr>
                <w:rFonts w:ascii="宋体" w:hAnsi="宋体" w:cs="宋体"/>
                <w:color w:val="auto"/>
                <w:szCs w:val="21"/>
              </w:rPr>
            </w:pPr>
            <w:r>
              <w:rPr>
                <w:rFonts w:hint="eastAsia" w:asciiTheme="minorEastAsia" w:hAnsiTheme="minorEastAsia" w:eastAsiaTheme="minorEastAsia"/>
                <w:color w:val="auto"/>
                <w:spacing w:val="6"/>
                <w:szCs w:val="21"/>
              </w:rPr>
              <w:t>电子开标、评标如出现下列原因，导致系统无法正常运行或无法正常评标时，应采取应急措施。（1）系统服务器发生故障，无法访问或无法使用系统；（2）系统的软件或数据库出现错误，不能进行正常操作；（3）系统发现有安全漏洞，有潜在的泄密危险；（4）病毒发作或受到外来病毒的攻击；（5）代理机构的CA锁失效等原因导致无法解密的；（6）其他不可抗拒的客观原因造成开评标系统无法正常使用。出现上述情况时，对于未开标的项目应暂停开标，对已在系统内评审的，也应立即停止。信息科确认问题原因后，视情况提议，并经评审委员会同意后，对于系统原因造成项目无法评审，可将系统内评审改为PDF版文件评审。采取应急措施时，必须对原有资料及信息作妥善保密处理。</w:t>
            </w:r>
          </w:p>
        </w:tc>
      </w:tr>
    </w:tbl>
    <w:p w14:paraId="42FAD48D">
      <w:pPr>
        <w:pStyle w:val="87"/>
        <w:rPr>
          <w:rFonts w:eastAsia="黑体"/>
          <w:color w:val="auto"/>
        </w:rPr>
      </w:pPr>
      <w:bookmarkStart w:id="14" w:name="_Toc534190077"/>
      <w:r>
        <w:rPr>
          <w:color w:val="auto"/>
        </w:rPr>
        <w:br w:type="page"/>
      </w:r>
    </w:p>
    <w:p w14:paraId="6E350FC3">
      <w:pPr>
        <w:pStyle w:val="2"/>
        <w:spacing w:before="0" w:after="0" w:line="360" w:lineRule="auto"/>
        <w:rPr>
          <w:rFonts w:ascii="Times New Roman" w:hAnsi="Times New Roman"/>
          <w:color w:val="auto"/>
          <w:sz w:val="28"/>
          <w:szCs w:val="18"/>
        </w:rPr>
      </w:pPr>
      <w:r>
        <w:rPr>
          <w:rFonts w:ascii="Times New Roman" w:hAnsi="Times New Roman"/>
          <w:color w:val="auto"/>
          <w:sz w:val="28"/>
          <w:szCs w:val="18"/>
        </w:rPr>
        <w:t>1. 总则</w:t>
      </w:r>
      <w:bookmarkEnd w:id="14"/>
    </w:p>
    <w:p w14:paraId="2ACA3335">
      <w:pPr>
        <w:pStyle w:val="5"/>
        <w:spacing w:before="0" w:after="0" w:line="360" w:lineRule="auto"/>
        <w:ind w:firstLine="118"/>
        <w:rPr>
          <w:rFonts w:ascii="Times New Roman" w:hAnsi="Times New Roman"/>
          <w:color w:val="auto"/>
          <w:sz w:val="24"/>
          <w:szCs w:val="18"/>
        </w:rPr>
      </w:pPr>
      <w:bookmarkStart w:id="15" w:name="_Toc534190078"/>
      <w:r>
        <w:rPr>
          <w:rFonts w:ascii="Times New Roman" w:hAnsi="Times New Roman"/>
          <w:color w:val="auto"/>
          <w:sz w:val="24"/>
          <w:szCs w:val="18"/>
        </w:rPr>
        <w:t>1.1 招标项目概况</w:t>
      </w:r>
      <w:bookmarkEnd w:id="15"/>
    </w:p>
    <w:p w14:paraId="104EDDD7">
      <w:pPr>
        <w:spacing w:line="360" w:lineRule="auto"/>
        <w:ind w:firstLine="440" w:firstLineChars="200"/>
        <w:rPr>
          <w:rFonts w:asciiTheme="majorEastAsia" w:hAnsiTheme="majorEastAsia" w:eastAsiaTheme="majorEastAsia"/>
          <w:color w:val="auto"/>
          <w:sz w:val="22"/>
        </w:rPr>
      </w:pPr>
      <w:r>
        <w:rPr>
          <w:rFonts w:asciiTheme="majorEastAsia" w:hAnsiTheme="majorEastAsia" w:eastAsiaTheme="majorEastAsia"/>
          <w:color w:val="auto"/>
          <w:sz w:val="22"/>
        </w:rPr>
        <w:t>1.1.1</w:t>
      </w:r>
      <w:r>
        <w:rPr>
          <w:rFonts w:hint="eastAsia" w:asciiTheme="majorEastAsia" w:hAnsiTheme="majorEastAsia" w:eastAsiaTheme="majorEastAsia"/>
          <w:color w:val="auto"/>
          <w:sz w:val="22"/>
        </w:rPr>
        <w:t xml:space="preserve"> </w:t>
      </w:r>
      <w:r>
        <w:rPr>
          <w:rFonts w:asciiTheme="majorEastAsia" w:hAnsiTheme="majorEastAsia" w:eastAsiaTheme="majorEastAsia"/>
          <w:color w:val="auto"/>
          <w:sz w:val="22"/>
        </w:rPr>
        <w:t>根据《中华人民共和国招标投标法》、《中华人民共和国招标投标法实施条例》等有关法律、法规和规章的规定，本招标项目已具备招标条件，现对</w:t>
      </w:r>
      <w:r>
        <w:rPr>
          <w:rFonts w:hint="eastAsia" w:asciiTheme="majorEastAsia" w:hAnsiTheme="majorEastAsia" w:eastAsiaTheme="majorEastAsia"/>
          <w:color w:val="auto"/>
          <w:sz w:val="22"/>
        </w:rPr>
        <w:t>本项目施工</w:t>
      </w:r>
      <w:r>
        <w:rPr>
          <w:rFonts w:asciiTheme="majorEastAsia" w:hAnsiTheme="majorEastAsia" w:eastAsiaTheme="majorEastAsia"/>
          <w:color w:val="auto"/>
          <w:sz w:val="22"/>
        </w:rPr>
        <w:t>进行招标。</w:t>
      </w:r>
    </w:p>
    <w:p w14:paraId="1A97CF67">
      <w:pPr>
        <w:spacing w:line="360" w:lineRule="auto"/>
        <w:ind w:firstLine="440" w:firstLineChars="200"/>
        <w:rPr>
          <w:rFonts w:asciiTheme="majorEastAsia" w:hAnsiTheme="majorEastAsia" w:eastAsiaTheme="majorEastAsia"/>
          <w:color w:val="auto"/>
          <w:sz w:val="22"/>
        </w:rPr>
      </w:pPr>
      <w:r>
        <w:rPr>
          <w:rFonts w:asciiTheme="majorEastAsia" w:hAnsiTheme="majorEastAsia" w:eastAsiaTheme="majorEastAsia"/>
          <w:color w:val="auto"/>
          <w:sz w:val="22"/>
        </w:rPr>
        <w:t>1.1.2 招标人：见投标人须知前附表。</w:t>
      </w:r>
    </w:p>
    <w:p w14:paraId="3072A02B">
      <w:pPr>
        <w:spacing w:line="360" w:lineRule="auto"/>
        <w:ind w:firstLine="440" w:firstLineChars="200"/>
        <w:rPr>
          <w:rFonts w:asciiTheme="majorEastAsia" w:hAnsiTheme="majorEastAsia" w:eastAsiaTheme="majorEastAsia"/>
          <w:color w:val="auto"/>
          <w:sz w:val="22"/>
        </w:rPr>
      </w:pPr>
      <w:r>
        <w:rPr>
          <w:rFonts w:asciiTheme="majorEastAsia" w:hAnsiTheme="majorEastAsia" w:eastAsiaTheme="majorEastAsia"/>
          <w:color w:val="auto"/>
          <w:sz w:val="22"/>
        </w:rPr>
        <w:t>1.1.3 招标代理机构：见投标人须知前附表。</w:t>
      </w:r>
    </w:p>
    <w:p w14:paraId="7F8B285F">
      <w:pPr>
        <w:spacing w:line="360" w:lineRule="auto"/>
        <w:ind w:firstLine="440" w:firstLineChars="200"/>
        <w:rPr>
          <w:rFonts w:asciiTheme="majorEastAsia" w:hAnsiTheme="majorEastAsia" w:eastAsiaTheme="majorEastAsia"/>
          <w:color w:val="auto"/>
          <w:sz w:val="22"/>
        </w:rPr>
      </w:pPr>
      <w:r>
        <w:rPr>
          <w:rFonts w:asciiTheme="majorEastAsia" w:hAnsiTheme="majorEastAsia" w:eastAsiaTheme="majorEastAsia"/>
          <w:color w:val="auto"/>
          <w:sz w:val="22"/>
        </w:rPr>
        <w:t>1.1.4</w:t>
      </w:r>
      <w:r>
        <w:rPr>
          <w:rFonts w:hint="eastAsia" w:asciiTheme="majorEastAsia" w:hAnsiTheme="majorEastAsia" w:eastAsiaTheme="majorEastAsia"/>
          <w:color w:val="auto"/>
          <w:sz w:val="22"/>
        </w:rPr>
        <w:t xml:space="preserve"> </w:t>
      </w:r>
      <w:r>
        <w:rPr>
          <w:rFonts w:asciiTheme="majorEastAsia" w:hAnsiTheme="majorEastAsia" w:eastAsiaTheme="majorEastAsia"/>
          <w:color w:val="auto"/>
          <w:sz w:val="22"/>
        </w:rPr>
        <w:t>项目名称：见投标人须知前附表。</w:t>
      </w:r>
    </w:p>
    <w:p w14:paraId="7FDCDAA0">
      <w:pPr>
        <w:spacing w:line="360" w:lineRule="auto"/>
        <w:ind w:firstLine="440" w:firstLineChars="200"/>
        <w:rPr>
          <w:rFonts w:asciiTheme="majorEastAsia" w:hAnsiTheme="majorEastAsia" w:eastAsiaTheme="majorEastAsia"/>
          <w:color w:val="auto"/>
          <w:sz w:val="22"/>
        </w:rPr>
      </w:pPr>
      <w:r>
        <w:rPr>
          <w:rFonts w:hint="eastAsia" w:asciiTheme="majorEastAsia" w:hAnsiTheme="majorEastAsia" w:eastAsiaTheme="majorEastAsia"/>
          <w:color w:val="auto"/>
          <w:sz w:val="22"/>
        </w:rPr>
        <w:t>1.1.5 建设地点：见投标人须知前附表。</w:t>
      </w:r>
    </w:p>
    <w:p w14:paraId="6EA7DECD">
      <w:pPr>
        <w:tabs>
          <w:tab w:val="left" w:pos="1476"/>
        </w:tabs>
        <w:autoSpaceDE w:val="0"/>
        <w:autoSpaceDN w:val="0"/>
        <w:spacing w:before="31" w:beforeLines="10" w:after="31" w:afterLines="10" w:line="360" w:lineRule="auto"/>
        <w:ind w:firstLine="440" w:firstLineChars="200"/>
        <w:rPr>
          <w:color w:val="auto"/>
          <w:sz w:val="20"/>
          <w:szCs w:val="21"/>
        </w:rPr>
      </w:pPr>
      <w:r>
        <w:rPr>
          <w:rFonts w:hint="eastAsia" w:ascii="宋体" w:hAnsi="宋体" w:cs="宋体"/>
          <w:color w:val="auto"/>
          <w:sz w:val="22"/>
          <w:szCs w:val="21"/>
          <w:lang w:bidi="zh-CN"/>
        </w:rPr>
        <w:t>1.1.6 项目规模</w:t>
      </w:r>
      <w:r>
        <w:rPr>
          <w:rFonts w:ascii="宋体" w:hAnsi="宋体" w:cs="宋体"/>
          <w:color w:val="auto"/>
          <w:sz w:val="22"/>
          <w:szCs w:val="21"/>
          <w:lang w:val="zh-CN" w:bidi="zh-CN"/>
        </w:rPr>
        <w:t>：</w:t>
      </w:r>
      <w:r>
        <w:rPr>
          <w:rFonts w:hint="eastAsia" w:ascii="宋体" w:hAnsi="宋体" w:cs="宋体"/>
          <w:color w:val="auto"/>
          <w:spacing w:val="-5"/>
          <w:sz w:val="22"/>
          <w:szCs w:val="21"/>
          <w:lang w:bidi="zh-CN"/>
        </w:rPr>
        <w:t>详见投标人</w:t>
      </w:r>
      <w:r>
        <w:rPr>
          <w:rFonts w:ascii="宋体" w:hAnsi="宋体" w:cs="宋体"/>
          <w:color w:val="auto"/>
          <w:spacing w:val="-5"/>
          <w:sz w:val="22"/>
          <w:szCs w:val="21"/>
          <w:lang w:bidi="zh-CN"/>
        </w:rPr>
        <w:t>须知前附表</w:t>
      </w:r>
      <w:r>
        <w:rPr>
          <w:rFonts w:ascii="宋体" w:hAnsi="宋体" w:cs="宋体"/>
          <w:color w:val="auto"/>
          <w:sz w:val="22"/>
          <w:szCs w:val="21"/>
          <w:lang w:val="zh-CN" w:bidi="zh-CN"/>
        </w:rPr>
        <w:t>。</w:t>
      </w:r>
    </w:p>
    <w:p w14:paraId="5DFA9C24">
      <w:pPr>
        <w:pStyle w:val="5"/>
        <w:spacing w:before="0" w:after="0" w:line="360" w:lineRule="auto"/>
        <w:ind w:firstLine="118"/>
        <w:rPr>
          <w:rFonts w:ascii="Times New Roman" w:hAnsi="Times New Roman"/>
          <w:color w:val="auto"/>
          <w:sz w:val="24"/>
          <w:szCs w:val="18"/>
        </w:rPr>
      </w:pPr>
      <w:bookmarkStart w:id="16" w:name="_Toc534190079"/>
      <w:r>
        <w:rPr>
          <w:rFonts w:ascii="Times New Roman" w:hAnsi="Times New Roman"/>
          <w:color w:val="auto"/>
          <w:sz w:val="24"/>
          <w:szCs w:val="18"/>
        </w:rPr>
        <w:t>1.2 招标项目的资金来源和落实情况</w:t>
      </w:r>
      <w:bookmarkEnd w:id="16"/>
    </w:p>
    <w:p w14:paraId="7CA64872">
      <w:pPr>
        <w:spacing w:line="360" w:lineRule="auto"/>
        <w:ind w:firstLine="440" w:firstLineChars="200"/>
        <w:rPr>
          <w:rFonts w:asciiTheme="majorEastAsia" w:hAnsiTheme="majorEastAsia" w:eastAsiaTheme="majorEastAsia"/>
          <w:color w:val="auto"/>
          <w:sz w:val="22"/>
        </w:rPr>
      </w:pPr>
      <w:r>
        <w:rPr>
          <w:rFonts w:asciiTheme="majorEastAsia" w:hAnsiTheme="majorEastAsia" w:eastAsiaTheme="majorEastAsia"/>
          <w:color w:val="auto"/>
          <w:sz w:val="22"/>
        </w:rPr>
        <w:t>1.2.1 资金来源：见投标人须知前附表。</w:t>
      </w:r>
    </w:p>
    <w:p w14:paraId="130A3C84">
      <w:pPr>
        <w:spacing w:line="360" w:lineRule="auto"/>
        <w:ind w:firstLine="440" w:firstLineChars="200"/>
        <w:rPr>
          <w:rFonts w:asciiTheme="majorEastAsia" w:hAnsiTheme="majorEastAsia" w:eastAsiaTheme="majorEastAsia"/>
          <w:color w:val="auto"/>
          <w:sz w:val="22"/>
        </w:rPr>
      </w:pPr>
      <w:r>
        <w:rPr>
          <w:rFonts w:asciiTheme="majorEastAsia" w:hAnsiTheme="majorEastAsia" w:eastAsiaTheme="majorEastAsia"/>
          <w:color w:val="auto"/>
          <w:sz w:val="22"/>
        </w:rPr>
        <w:t>1.2.2 资金落实情况：见投标人须知前附表。</w:t>
      </w:r>
    </w:p>
    <w:p w14:paraId="61C8A252">
      <w:pPr>
        <w:pStyle w:val="5"/>
        <w:spacing w:before="0" w:after="0" w:line="360" w:lineRule="auto"/>
        <w:ind w:firstLine="118"/>
        <w:rPr>
          <w:rFonts w:ascii="Times New Roman" w:hAnsi="Times New Roman"/>
          <w:color w:val="auto"/>
          <w:sz w:val="24"/>
          <w:szCs w:val="18"/>
        </w:rPr>
      </w:pPr>
      <w:bookmarkStart w:id="17" w:name="_Toc534190080"/>
      <w:r>
        <w:rPr>
          <w:rFonts w:ascii="Times New Roman" w:hAnsi="Times New Roman"/>
          <w:color w:val="auto"/>
          <w:sz w:val="24"/>
          <w:szCs w:val="18"/>
        </w:rPr>
        <w:t>1.3招标范围、</w:t>
      </w:r>
      <w:bookmarkEnd w:id="17"/>
      <w:r>
        <w:rPr>
          <w:rFonts w:hint="eastAsia" w:ascii="Times New Roman" w:hAnsi="Times New Roman"/>
          <w:color w:val="auto"/>
          <w:sz w:val="24"/>
          <w:szCs w:val="18"/>
        </w:rPr>
        <w:t>计划工期及质量要求</w:t>
      </w:r>
    </w:p>
    <w:p w14:paraId="449F98C2">
      <w:pPr>
        <w:spacing w:line="360" w:lineRule="auto"/>
        <w:ind w:firstLine="440" w:firstLineChars="200"/>
        <w:rPr>
          <w:rFonts w:asciiTheme="majorEastAsia" w:hAnsiTheme="majorEastAsia" w:eastAsiaTheme="majorEastAsia"/>
          <w:color w:val="auto"/>
          <w:sz w:val="22"/>
        </w:rPr>
      </w:pPr>
      <w:r>
        <w:rPr>
          <w:rFonts w:asciiTheme="majorEastAsia" w:hAnsiTheme="majorEastAsia" w:eastAsiaTheme="majorEastAsia"/>
          <w:color w:val="auto"/>
          <w:sz w:val="22"/>
        </w:rPr>
        <w:t>1.3.1 招标范围：见投标人须知前附表。</w:t>
      </w:r>
    </w:p>
    <w:p w14:paraId="5B7FA7AA">
      <w:pPr>
        <w:spacing w:line="360" w:lineRule="auto"/>
        <w:ind w:firstLine="440" w:firstLineChars="200"/>
        <w:rPr>
          <w:rFonts w:asciiTheme="majorEastAsia" w:hAnsiTheme="majorEastAsia" w:eastAsiaTheme="majorEastAsia"/>
          <w:color w:val="auto"/>
          <w:sz w:val="22"/>
        </w:rPr>
      </w:pPr>
      <w:r>
        <w:rPr>
          <w:rFonts w:asciiTheme="majorEastAsia" w:hAnsiTheme="majorEastAsia" w:eastAsiaTheme="majorEastAsia"/>
          <w:color w:val="auto"/>
          <w:sz w:val="22"/>
        </w:rPr>
        <w:t xml:space="preserve">1.3.2 </w:t>
      </w:r>
      <w:r>
        <w:rPr>
          <w:rFonts w:hint="eastAsia" w:asciiTheme="majorEastAsia" w:hAnsiTheme="majorEastAsia" w:eastAsiaTheme="majorEastAsia"/>
          <w:color w:val="auto"/>
          <w:sz w:val="22"/>
        </w:rPr>
        <w:t>计划工期</w:t>
      </w:r>
      <w:r>
        <w:rPr>
          <w:rFonts w:asciiTheme="majorEastAsia" w:hAnsiTheme="majorEastAsia" w:eastAsiaTheme="majorEastAsia"/>
          <w:color w:val="auto"/>
          <w:sz w:val="22"/>
        </w:rPr>
        <w:t>：见投标人须知前附表。</w:t>
      </w:r>
    </w:p>
    <w:p w14:paraId="5F9A913B">
      <w:pPr>
        <w:spacing w:line="360" w:lineRule="auto"/>
        <w:ind w:firstLine="440" w:firstLineChars="200"/>
        <w:rPr>
          <w:rFonts w:asciiTheme="majorEastAsia" w:hAnsiTheme="majorEastAsia" w:eastAsiaTheme="majorEastAsia"/>
          <w:color w:val="auto"/>
          <w:sz w:val="20"/>
          <w:szCs w:val="20"/>
        </w:rPr>
      </w:pPr>
      <w:r>
        <w:rPr>
          <w:rFonts w:asciiTheme="majorEastAsia" w:hAnsiTheme="majorEastAsia" w:eastAsiaTheme="majorEastAsia"/>
          <w:color w:val="auto"/>
          <w:sz w:val="22"/>
        </w:rPr>
        <w:t xml:space="preserve">1.3.3 </w:t>
      </w:r>
      <w:r>
        <w:rPr>
          <w:rFonts w:hint="eastAsia" w:asciiTheme="majorEastAsia" w:hAnsiTheme="majorEastAsia" w:eastAsiaTheme="majorEastAsia"/>
          <w:color w:val="auto"/>
          <w:sz w:val="22"/>
        </w:rPr>
        <w:t>质量要求</w:t>
      </w:r>
      <w:r>
        <w:rPr>
          <w:rFonts w:asciiTheme="majorEastAsia" w:hAnsiTheme="majorEastAsia" w:eastAsiaTheme="majorEastAsia"/>
          <w:color w:val="auto"/>
          <w:sz w:val="22"/>
        </w:rPr>
        <w:t>：见投标人须知前附表。</w:t>
      </w:r>
    </w:p>
    <w:p w14:paraId="58A143FE">
      <w:pPr>
        <w:pStyle w:val="5"/>
        <w:spacing w:before="0" w:after="0" w:line="360" w:lineRule="auto"/>
        <w:ind w:firstLine="118"/>
        <w:rPr>
          <w:rFonts w:ascii="Times New Roman" w:hAnsi="Times New Roman"/>
          <w:color w:val="auto"/>
          <w:sz w:val="24"/>
          <w:szCs w:val="18"/>
        </w:rPr>
      </w:pPr>
      <w:bookmarkStart w:id="18" w:name="_Toc534190081"/>
      <w:r>
        <w:rPr>
          <w:rFonts w:ascii="Times New Roman" w:hAnsi="Times New Roman"/>
          <w:color w:val="auto"/>
          <w:sz w:val="24"/>
          <w:szCs w:val="18"/>
        </w:rPr>
        <w:t>1.4投标人资格要求</w:t>
      </w:r>
      <w:bookmarkEnd w:id="18"/>
    </w:p>
    <w:p w14:paraId="74C85F66">
      <w:pPr>
        <w:spacing w:line="360" w:lineRule="auto"/>
        <w:ind w:firstLine="440" w:firstLineChars="200"/>
        <w:rPr>
          <w:rFonts w:asciiTheme="majorEastAsia" w:hAnsiTheme="majorEastAsia" w:eastAsiaTheme="majorEastAsia"/>
          <w:color w:val="auto"/>
          <w:sz w:val="22"/>
        </w:rPr>
      </w:pPr>
      <w:bookmarkStart w:id="19" w:name="_Toc534190082"/>
      <w:r>
        <w:rPr>
          <w:rFonts w:hint="eastAsia" w:asciiTheme="majorEastAsia" w:hAnsiTheme="majorEastAsia" w:eastAsiaTheme="majorEastAsia"/>
          <w:color w:val="auto"/>
          <w:sz w:val="22"/>
        </w:rPr>
        <w:t xml:space="preserve">1.4.1 投标人应具备承担本项目资格条件、能力。 </w:t>
      </w:r>
    </w:p>
    <w:p w14:paraId="3B361C8A">
      <w:pPr>
        <w:spacing w:line="360" w:lineRule="auto"/>
        <w:ind w:firstLine="440" w:firstLineChars="200"/>
        <w:rPr>
          <w:rFonts w:hint="eastAsia" w:eastAsia="宋体" w:asciiTheme="minorEastAsia" w:hAnsiTheme="minorEastAsia"/>
          <w:color w:val="auto"/>
          <w:sz w:val="22"/>
          <w:lang w:val="en-US" w:eastAsia="zh-CN"/>
        </w:rPr>
      </w:pPr>
      <w:r>
        <w:rPr>
          <w:rFonts w:hint="eastAsia" w:asciiTheme="majorEastAsia" w:hAnsiTheme="majorEastAsia" w:eastAsiaTheme="majorEastAsia"/>
          <w:color w:val="auto"/>
          <w:sz w:val="22"/>
        </w:rPr>
        <w:t>（l）资格条件：</w:t>
      </w:r>
      <w:r>
        <w:rPr>
          <w:rFonts w:hint="eastAsia" w:ascii="宋体" w:hAnsi="宋体" w:cs="宋体"/>
          <w:color w:val="auto"/>
          <w:sz w:val="22"/>
        </w:rPr>
        <w:t>见投标人须知前附表</w:t>
      </w:r>
      <w:r>
        <w:rPr>
          <w:rFonts w:hint="eastAsia" w:ascii="宋体" w:hAnsi="宋体" w:cs="宋体"/>
          <w:color w:val="auto"/>
          <w:sz w:val="22"/>
          <w:lang w:eastAsia="zh-CN"/>
        </w:rPr>
        <w:t>。</w:t>
      </w:r>
    </w:p>
    <w:p w14:paraId="4992A0F4">
      <w:pPr>
        <w:spacing w:line="480" w:lineRule="exact"/>
        <w:ind w:firstLine="440" w:firstLineChars="200"/>
        <w:rPr>
          <w:rFonts w:asciiTheme="majorEastAsia" w:hAnsiTheme="majorEastAsia" w:eastAsiaTheme="majorEastAsia"/>
          <w:color w:val="auto"/>
          <w:sz w:val="22"/>
        </w:rPr>
      </w:pPr>
      <w:r>
        <w:rPr>
          <w:rFonts w:hint="eastAsia" w:asciiTheme="majorEastAsia" w:hAnsiTheme="majorEastAsia" w:eastAsiaTheme="majorEastAsia"/>
          <w:color w:val="auto"/>
          <w:sz w:val="22"/>
        </w:rPr>
        <w:t>（2）</w:t>
      </w:r>
      <w:r>
        <w:rPr>
          <w:rFonts w:hint="eastAsia" w:ascii="Times New Roman" w:hAnsi="Times New Roman"/>
          <w:color w:val="auto"/>
          <w:sz w:val="22"/>
        </w:rPr>
        <w:t>其他要求：见投标人须知前附表。</w:t>
      </w:r>
      <w:r>
        <w:rPr>
          <w:rFonts w:hint="eastAsia" w:asciiTheme="majorEastAsia" w:hAnsiTheme="majorEastAsia" w:eastAsiaTheme="majorEastAsia"/>
          <w:color w:val="auto"/>
          <w:sz w:val="22"/>
        </w:rPr>
        <w:t xml:space="preserve"> </w:t>
      </w:r>
    </w:p>
    <w:p w14:paraId="4B528AFF">
      <w:pPr>
        <w:spacing w:line="360" w:lineRule="auto"/>
        <w:ind w:firstLine="440" w:firstLineChars="200"/>
        <w:rPr>
          <w:rFonts w:asciiTheme="majorEastAsia" w:hAnsiTheme="majorEastAsia" w:eastAsiaTheme="majorEastAsia"/>
          <w:color w:val="auto"/>
          <w:sz w:val="22"/>
        </w:rPr>
      </w:pPr>
      <w:r>
        <w:rPr>
          <w:rFonts w:hint="eastAsia" w:asciiTheme="majorEastAsia" w:hAnsiTheme="majorEastAsia" w:eastAsiaTheme="majorEastAsia"/>
          <w:color w:val="auto"/>
          <w:sz w:val="22"/>
        </w:rPr>
        <w:t>1.4.2 投标人不得存在以下情形之一：</w:t>
      </w:r>
    </w:p>
    <w:p w14:paraId="456C8B52">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（l）为招标人不具有独立法人资格的附属机构（单位）；</w:t>
      </w:r>
    </w:p>
    <w:p w14:paraId="493E8368">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（2）为本招标项目前期准备提供设计或咨询服务的，但设计施工总承包的除外；</w:t>
      </w:r>
    </w:p>
    <w:p w14:paraId="60291C0E">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（3）为本招标项目的监理人；</w:t>
      </w:r>
    </w:p>
    <w:p w14:paraId="0B88423D">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（4）为本招标项目的代建人；</w:t>
      </w:r>
    </w:p>
    <w:p w14:paraId="0ACCB4E7">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（5）为本招标项目提供招标代理服务的；</w:t>
      </w:r>
    </w:p>
    <w:p w14:paraId="1A86D4AE">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（6）与本招标项目的监理人或代建人或招标代理机构同为一个法定代表人的；</w:t>
      </w:r>
    </w:p>
    <w:p w14:paraId="619821B5">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（7）与本招标项目的监理人或代建人或招标代理机构相互控股或参股的；</w:t>
      </w:r>
    </w:p>
    <w:p w14:paraId="3D744E15">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（8）与本招标项目的监理人或代建人或招标代理机构相互任职或工作的；</w:t>
      </w:r>
    </w:p>
    <w:p w14:paraId="61E9DEFF">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（9）被责令停业的；</w:t>
      </w:r>
    </w:p>
    <w:p w14:paraId="7B3F9892">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（10）被暂停或取消投标资格的；</w:t>
      </w:r>
    </w:p>
    <w:p w14:paraId="13F52EC3">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（11）财产被接管或冻结的；</w:t>
      </w:r>
    </w:p>
    <w:p w14:paraId="3296AE6A">
      <w:pPr>
        <w:spacing w:line="500" w:lineRule="exact"/>
        <w:ind w:firstLine="660" w:firstLineChars="300"/>
        <w:rPr>
          <w:rFonts w:asciiTheme="minorEastAsia" w:hAnsiTheme="minorEastAsia" w:eastAsiaTheme="minorEastAsia"/>
          <w:color w:val="auto"/>
          <w:sz w:val="22"/>
        </w:rPr>
      </w:pPr>
      <w:r>
        <w:rPr>
          <w:rFonts w:hint="eastAsia" w:asciiTheme="minorEastAsia" w:hAnsiTheme="minorEastAsia" w:eastAsiaTheme="minorEastAsia"/>
          <w:color w:val="auto"/>
          <w:sz w:val="22"/>
        </w:rPr>
        <w:t>（12）在最近三年内有骗取中标或严重违约或重大工程质量问题的。</w:t>
      </w:r>
    </w:p>
    <w:p w14:paraId="34736EE1">
      <w:pPr>
        <w:pStyle w:val="5"/>
        <w:spacing w:line="480" w:lineRule="exact"/>
        <w:ind w:firstLine="118"/>
        <w:rPr>
          <w:rFonts w:ascii="Times New Roman" w:hAnsi="Times New Roman"/>
          <w:color w:val="auto"/>
          <w:sz w:val="24"/>
          <w:szCs w:val="18"/>
        </w:rPr>
      </w:pPr>
      <w:r>
        <w:rPr>
          <w:rFonts w:ascii="Times New Roman" w:hAnsi="Times New Roman"/>
          <w:color w:val="auto"/>
          <w:sz w:val="24"/>
          <w:szCs w:val="18"/>
        </w:rPr>
        <w:t xml:space="preserve">1.5 </w:t>
      </w:r>
      <w:r>
        <w:rPr>
          <w:rFonts w:hint="eastAsia" w:ascii="Times New Roman" w:hAnsi="Times New Roman"/>
          <w:color w:val="auto"/>
          <w:sz w:val="24"/>
          <w:szCs w:val="18"/>
        </w:rPr>
        <w:t>费用承担</w:t>
      </w:r>
      <w:bookmarkEnd w:id="19"/>
    </w:p>
    <w:p w14:paraId="69D3C703">
      <w:pPr>
        <w:spacing w:line="360" w:lineRule="auto"/>
        <w:ind w:firstLine="440" w:firstLineChars="200"/>
        <w:rPr>
          <w:rFonts w:hint="eastAsia" w:ascii="宋体" w:hAnsi="宋体" w:cs="宋体"/>
          <w:color w:val="auto"/>
          <w:sz w:val="22"/>
        </w:rPr>
      </w:pPr>
      <w:bookmarkStart w:id="20" w:name="_Toc534190083"/>
      <w:r>
        <w:rPr>
          <w:rFonts w:hint="eastAsia" w:ascii="宋体" w:hAnsi="宋体" w:cs="宋体"/>
          <w:color w:val="auto"/>
          <w:sz w:val="22"/>
        </w:rPr>
        <w:t>投标人准备和参加投标活动发生的费用自理。</w:t>
      </w:r>
    </w:p>
    <w:p w14:paraId="6486EECF">
      <w:pPr>
        <w:pStyle w:val="5"/>
        <w:spacing w:line="480" w:lineRule="exact"/>
        <w:ind w:firstLine="118"/>
        <w:rPr>
          <w:rFonts w:ascii="Times New Roman" w:hAnsi="Times New Roman"/>
          <w:color w:val="auto"/>
          <w:sz w:val="24"/>
          <w:szCs w:val="18"/>
        </w:rPr>
      </w:pPr>
      <w:r>
        <w:rPr>
          <w:rFonts w:ascii="Times New Roman" w:hAnsi="Times New Roman"/>
          <w:color w:val="auto"/>
          <w:sz w:val="24"/>
          <w:szCs w:val="18"/>
        </w:rPr>
        <w:t>1.6</w:t>
      </w:r>
      <w:r>
        <w:rPr>
          <w:rFonts w:hint="eastAsia" w:ascii="Times New Roman" w:hAnsi="Times New Roman"/>
          <w:color w:val="auto"/>
          <w:sz w:val="24"/>
          <w:szCs w:val="18"/>
        </w:rPr>
        <w:t>保密</w:t>
      </w:r>
      <w:bookmarkEnd w:id="20"/>
    </w:p>
    <w:p w14:paraId="047FF718">
      <w:pPr>
        <w:spacing w:line="480" w:lineRule="exact"/>
        <w:ind w:firstLine="440" w:firstLineChars="200"/>
        <w:rPr>
          <w:rFonts w:ascii="Times New Roman" w:hAnsi="Times New Roman"/>
          <w:color w:val="auto"/>
          <w:sz w:val="22"/>
        </w:rPr>
      </w:pPr>
      <w:r>
        <w:rPr>
          <w:rFonts w:ascii="Times New Roman" w:hAnsi="Times New Roman"/>
          <w:color w:val="auto"/>
          <w:sz w:val="22"/>
        </w:rPr>
        <w:t>参与招标投标活动的各方应对招标文件和投标文件中</w:t>
      </w:r>
      <w:bookmarkStart w:id="21" w:name="_Toc369531519"/>
      <w:bookmarkStart w:id="22" w:name="_Toc5326"/>
      <w:bookmarkStart w:id="23" w:name="_Toc352691477"/>
      <w:bookmarkStart w:id="24" w:name="_Toc384308214"/>
      <w:bookmarkStart w:id="25" w:name="_Toc361508589"/>
      <w:r>
        <w:rPr>
          <w:rFonts w:ascii="Times New Roman" w:hAnsi="Times New Roman"/>
          <w:color w:val="auto"/>
          <w:sz w:val="22"/>
        </w:rPr>
        <w:t>的商业和技术等秘密保密</w:t>
      </w:r>
      <w:bookmarkEnd w:id="21"/>
      <w:bookmarkEnd w:id="22"/>
      <w:bookmarkEnd w:id="23"/>
      <w:bookmarkEnd w:id="24"/>
      <w:bookmarkEnd w:id="25"/>
      <w:r>
        <w:rPr>
          <w:rFonts w:ascii="Times New Roman" w:hAnsi="Times New Roman"/>
          <w:color w:val="auto"/>
          <w:sz w:val="22"/>
        </w:rPr>
        <w:t>，否则应承担相应的法律责任。</w:t>
      </w:r>
    </w:p>
    <w:p w14:paraId="4E9620A1">
      <w:pPr>
        <w:pStyle w:val="5"/>
        <w:spacing w:line="480" w:lineRule="exact"/>
        <w:ind w:firstLine="118"/>
        <w:rPr>
          <w:rFonts w:ascii="Times New Roman" w:hAnsi="Times New Roman"/>
          <w:color w:val="auto"/>
          <w:sz w:val="24"/>
          <w:szCs w:val="18"/>
        </w:rPr>
      </w:pPr>
      <w:bookmarkStart w:id="26" w:name="_Toc534190084"/>
      <w:r>
        <w:rPr>
          <w:rFonts w:ascii="Times New Roman" w:hAnsi="Times New Roman"/>
          <w:color w:val="auto"/>
          <w:sz w:val="24"/>
          <w:szCs w:val="18"/>
        </w:rPr>
        <w:t>1.7 语言文字</w:t>
      </w:r>
      <w:bookmarkEnd w:id="26"/>
    </w:p>
    <w:p w14:paraId="5164F7DF">
      <w:pPr>
        <w:spacing w:line="480" w:lineRule="exact"/>
        <w:ind w:firstLine="440" w:firstLineChars="200"/>
        <w:rPr>
          <w:rFonts w:ascii="Times New Roman" w:hAnsi="Times New Roman"/>
          <w:color w:val="auto"/>
          <w:sz w:val="22"/>
        </w:rPr>
      </w:pPr>
      <w:r>
        <w:rPr>
          <w:rFonts w:ascii="Times New Roman" w:hAnsi="Times New Roman"/>
          <w:color w:val="auto"/>
          <w:sz w:val="22"/>
        </w:rPr>
        <w:t>招标投标文件使用的语言文字为中文。专用术语使用外文的，应附有中文注释。</w:t>
      </w:r>
    </w:p>
    <w:p w14:paraId="118AF014">
      <w:pPr>
        <w:pStyle w:val="5"/>
        <w:spacing w:line="480" w:lineRule="exact"/>
        <w:ind w:firstLine="118"/>
        <w:rPr>
          <w:rFonts w:ascii="Times New Roman" w:hAnsi="Times New Roman"/>
          <w:color w:val="auto"/>
          <w:sz w:val="24"/>
          <w:szCs w:val="18"/>
        </w:rPr>
      </w:pPr>
      <w:bookmarkStart w:id="27" w:name="_Toc534190085"/>
      <w:r>
        <w:rPr>
          <w:rFonts w:ascii="Times New Roman" w:hAnsi="Times New Roman"/>
          <w:color w:val="auto"/>
          <w:sz w:val="24"/>
          <w:szCs w:val="18"/>
        </w:rPr>
        <w:t>1.8计量单位</w:t>
      </w:r>
      <w:bookmarkEnd w:id="27"/>
    </w:p>
    <w:p w14:paraId="1DDDC94A">
      <w:pPr>
        <w:spacing w:line="480" w:lineRule="exact"/>
        <w:ind w:firstLine="440" w:firstLineChars="200"/>
        <w:rPr>
          <w:rFonts w:ascii="Times New Roman" w:hAnsi="Times New Roman"/>
          <w:color w:val="auto"/>
          <w:sz w:val="22"/>
        </w:rPr>
      </w:pPr>
      <w:r>
        <w:rPr>
          <w:rFonts w:ascii="Times New Roman" w:hAnsi="Times New Roman"/>
          <w:color w:val="auto"/>
          <w:sz w:val="22"/>
        </w:rPr>
        <w:t>所有计量均采用中华人民共和国法定计量单位。</w:t>
      </w:r>
    </w:p>
    <w:p w14:paraId="76FEFE06">
      <w:pPr>
        <w:pStyle w:val="5"/>
        <w:spacing w:line="480" w:lineRule="exact"/>
        <w:ind w:firstLine="118"/>
        <w:rPr>
          <w:rFonts w:ascii="Times New Roman" w:hAnsi="Times New Roman"/>
          <w:color w:val="auto"/>
          <w:sz w:val="24"/>
          <w:szCs w:val="18"/>
        </w:rPr>
      </w:pPr>
      <w:bookmarkStart w:id="28" w:name="_Toc534190086"/>
      <w:bookmarkStart w:id="29" w:name="_Toc485303284"/>
      <w:r>
        <w:rPr>
          <w:rFonts w:ascii="Times New Roman" w:hAnsi="Times New Roman"/>
          <w:color w:val="auto"/>
          <w:sz w:val="24"/>
          <w:szCs w:val="18"/>
        </w:rPr>
        <w:t>1.9</w:t>
      </w:r>
      <w:bookmarkEnd w:id="28"/>
      <w:bookmarkEnd w:id="29"/>
      <w:r>
        <w:rPr>
          <w:rFonts w:ascii="Times New Roman" w:hAnsi="Times New Roman"/>
          <w:color w:val="auto"/>
          <w:sz w:val="24"/>
          <w:szCs w:val="18"/>
        </w:rPr>
        <w:t>踏勘现场</w:t>
      </w:r>
    </w:p>
    <w:p w14:paraId="62D6D1F7">
      <w:pPr>
        <w:spacing w:line="480" w:lineRule="exact"/>
        <w:ind w:firstLine="440" w:firstLineChars="200"/>
        <w:rPr>
          <w:rFonts w:asciiTheme="majorEastAsia" w:hAnsiTheme="majorEastAsia" w:eastAsiaTheme="majorEastAsia"/>
          <w:color w:val="auto"/>
          <w:sz w:val="22"/>
        </w:rPr>
      </w:pPr>
      <w:r>
        <w:rPr>
          <w:rFonts w:hint="eastAsia" w:asciiTheme="majorEastAsia" w:hAnsiTheme="majorEastAsia" w:eastAsiaTheme="majorEastAsia"/>
          <w:color w:val="auto"/>
          <w:sz w:val="22"/>
        </w:rPr>
        <w:t>1.9.1</w:t>
      </w:r>
      <w:r>
        <w:rPr>
          <w:rFonts w:asciiTheme="majorEastAsia" w:hAnsiTheme="majorEastAsia" w:eastAsiaTheme="majorEastAsia"/>
          <w:color w:val="auto"/>
          <w:sz w:val="22"/>
        </w:rPr>
        <w:t>招标人不统一组织勘察现场，投标人自行勘察。</w:t>
      </w:r>
    </w:p>
    <w:p w14:paraId="497EF9BA">
      <w:pPr>
        <w:spacing w:line="480" w:lineRule="exact"/>
        <w:ind w:firstLine="440" w:firstLineChars="200"/>
        <w:rPr>
          <w:rFonts w:asciiTheme="majorEastAsia" w:hAnsiTheme="majorEastAsia" w:eastAsiaTheme="majorEastAsia"/>
          <w:color w:val="auto"/>
          <w:sz w:val="22"/>
        </w:rPr>
      </w:pPr>
      <w:r>
        <w:rPr>
          <w:rFonts w:hint="eastAsia" w:asciiTheme="majorEastAsia" w:hAnsiTheme="majorEastAsia" w:eastAsiaTheme="majorEastAsia"/>
          <w:color w:val="auto"/>
          <w:sz w:val="22"/>
        </w:rPr>
        <w:t>1.9.2</w:t>
      </w:r>
      <w:r>
        <w:rPr>
          <w:rFonts w:asciiTheme="majorEastAsia" w:hAnsiTheme="majorEastAsia" w:eastAsiaTheme="majorEastAsia"/>
          <w:color w:val="auto"/>
          <w:sz w:val="22"/>
        </w:rPr>
        <w:t>投标人踏勘现场发生的费用自理。</w:t>
      </w:r>
    </w:p>
    <w:p w14:paraId="3B048003">
      <w:pPr>
        <w:spacing w:line="480" w:lineRule="exact"/>
        <w:ind w:firstLine="440" w:firstLineChars="200"/>
        <w:rPr>
          <w:rFonts w:asciiTheme="majorEastAsia" w:hAnsiTheme="majorEastAsia" w:eastAsiaTheme="majorEastAsia"/>
          <w:color w:val="auto"/>
          <w:sz w:val="20"/>
          <w:szCs w:val="20"/>
        </w:rPr>
      </w:pPr>
      <w:r>
        <w:rPr>
          <w:rFonts w:hint="eastAsia" w:asciiTheme="majorEastAsia" w:hAnsiTheme="majorEastAsia" w:eastAsiaTheme="majorEastAsia"/>
          <w:color w:val="auto"/>
          <w:sz w:val="22"/>
        </w:rPr>
        <w:t>1.9.3</w:t>
      </w:r>
      <w:r>
        <w:rPr>
          <w:rFonts w:asciiTheme="majorEastAsia" w:hAnsiTheme="majorEastAsia" w:eastAsiaTheme="majorEastAsia"/>
          <w:color w:val="auto"/>
          <w:sz w:val="22"/>
        </w:rPr>
        <w:t>除招标人的原因外，投标人自行负责在踏勘现场中所发生的人员伤亡和财产损失。</w:t>
      </w:r>
    </w:p>
    <w:p w14:paraId="6DF1A00D">
      <w:pPr>
        <w:pStyle w:val="5"/>
        <w:spacing w:line="480" w:lineRule="exact"/>
        <w:ind w:firstLine="118"/>
        <w:rPr>
          <w:rFonts w:ascii="Times New Roman" w:hAnsi="Times New Roman"/>
          <w:color w:val="auto"/>
          <w:sz w:val="24"/>
          <w:szCs w:val="18"/>
        </w:rPr>
      </w:pPr>
      <w:bookmarkStart w:id="30" w:name="_Toc247592877"/>
      <w:bookmarkStart w:id="31" w:name="_Toc493602405"/>
      <w:bookmarkStart w:id="32" w:name="_Toc515368930"/>
      <w:bookmarkStart w:id="33" w:name="_Toc453949349"/>
      <w:bookmarkStart w:id="34" w:name="_Toc408147747"/>
      <w:bookmarkStart w:id="35" w:name="_Toc490841992"/>
      <w:bookmarkStart w:id="36" w:name="_Toc493606953"/>
      <w:bookmarkStart w:id="37" w:name="_Toc460619085"/>
      <w:bookmarkStart w:id="38" w:name="_Toc515369017"/>
      <w:bookmarkStart w:id="39" w:name="_Toc22359"/>
      <w:bookmarkStart w:id="40" w:name="_Toc11709955"/>
      <w:bookmarkStart w:id="41" w:name="_Toc460423853"/>
      <w:bookmarkStart w:id="42" w:name="_Toc534190088"/>
      <w:r>
        <w:rPr>
          <w:rFonts w:hint="eastAsia" w:ascii="Times New Roman" w:hAnsi="Times New Roman"/>
          <w:color w:val="auto"/>
          <w:sz w:val="24"/>
          <w:szCs w:val="18"/>
        </w:rPr>
        <w:t>1.10 投标预备会</w:t>
      </w:r>
      <w:bookmarkEnd w:id="30"/>
      <w:bookmarkEnd w:id="31"/>
      <w:bookmarkEnd w:id="32"/>
      <w:bookmarkEnd w:id="33"/>
      <w:bookmarkEnd w:id="34"/>
      <w:bookmarkEnd w:id="35"/>
      <w:bookmarkEnd w:id="36"/>
      <w:bookmarkEnd w:id="37"/>
      <w:bookmarkEnd w:id="38"/>
      <w:bookmarkEnd w:id="39"/>
      <w:bookmarkEnd w:id="40"/>
      <w:bookmarkEnd w:id="41"/>
    </w:p>
    <w:p w14:paraId="14A11DE6">
      <w:pPr>
        <w:spacing w:line="480" w:lineRule="exact"/>
        <w:ind w:firstLine="440" w:firstLineChars="200"/>
        <w:rPr>
          <w:rFonts w:ascii="宋体" w:hAnsi="宋体"/>
          <w:bCs/>
          <w:color w:val="auto"/>
          <w:sz w:val="22"/>
        </w:rPr>
      </w:pPr>
      <w:r>
        <w:rPr>
          <w:rFonts w:hint="eastAsia" w:ascii="宋体" w:hAnsi="宋体"/>
          <w:bCs/>
          <w:color w:val="auto"/>
          <w:sz w:val="22"/>
        </w:rPr>
        <w:t>1.10.1 投标人须知前附表规定召开投标预备会的，招标人按投标人须知前附表规定的时间和地点召开投标预备会，澄清投标人提出的问题。</w:t>
      </w:r>
    </w:p>
    <w:p w14:paraId="26BBBD9A">
      <w:pPr>
        <w:spacing w:line="480" w:lineRule="exact"/>
        <w:ind w:firstLine="440" w:firstLineChars="200"/>
        <w:rPr>
          <w:rFonts w:ascii="宋体" w:hAnsi="宋体"/>
          <w:bCs/>
          <w:color w:val="auto"/>
          <w:sz w:val="22"/>
        </w:rPr>
      </w:pPr>
      <w:r>
        <w:rPr>
          <w:rFonts w:hint="eastAsia" w:ascii="宋体" w:hAnsi="宋体"/>
          <w:bCs/>
          <w:color w:val="auto"/>
          <w:sz w:val="22"/>
        </w:rPr>
        <w:t>1.10.2 投标人应在投标人须知前附表规定的时间前，以书面形式将提出的问题送达招标人，以便招标人在会议期间澄清。</w:t>
      </w:r>
    </w:p>
    <w:p w14:paraId="14AAAD63">
      <w:pPr>
        <w:spacing w:line="480" w:lineRule="exact"/>
        <w:ind w:firstLine="440" w:firstLineChars="200"/>
        <w:rPr>
          <w:rFonts w:ascii="宋体" w:hAnsi="宋体"/>
          <w:bCs/>
          <w:color w:val="auto"/>
          <w:sz w:val="22"/>
        </w:rPr>
      </w:pPr>
      <w:r>
        <w:rPr>
          <w:rFonts w:hint="eastAsia" w:ascii="宋体" w:hAnsi="宋体"/>
          <w:bCs/>
          <w:color w:val="auto"/>
          <w:sz w:val="22"/>
        </w:rPr>
        <w:t>1.10.3 投标预备会后，招标人在投标人须知前附表规定的时间内，将对投标人所提问题的澄清，以书面形式通知所有购买招标文件的投标人。该澄清内容为招标文件的组成部分。</w:t>
      </w:r>
    </w:p>
    <w:p w14:paraId="575DE2F5">
      <w:pPr>
        <w:pStyle w:val="5"/>
        <w:spacing w:line="480" w:lineRule="exact"/>
        <w:ind w:firstLine="118"/>
        <w:rPr>
          <w:rFonts w:ascii="Times New Roman" w:hAnsi="Times New Roman"/>
          <w:color w:val="auto"/>
          <w:sz w:val="24"/>
          <w:szCs w:val="18"/>
        </w:rPr>
      </w:pPr>
      <w:r>
        <w:rPr>
          <w:rFonts w:hint="eastAsia" w:ascii="Times New Roman" w:hAnsi="Times New Roman"/>
          <w:color w:val="auto"/>
          <w:sz w:val="24"/>
          <w:szCs w:val="18"/>
        </w:rPr>
        <w:t xml:space="preserve">1.11转包、分包 </w:t>
      </w:r>
    </w:p>
    <w:p w14:paraId="68349562">
      <w:pPr>
        <w:pStyle w:val="151"/>
        <w:ind w:firstLine="440"/>
        <w:rPr>
          <w:color w:val="auto"/>
          <w:sz w:val="22"/>
          <w:szCs w:val="22"/>
        </w:rPr>
      </w:pPr>
      <w:r>
        <w:rPr>
          <w:rFonts w:hint="eastAsia"/>
          <w:color w:val="auto"/>
          <w:sz w:val="22"/>
          <w:szCs w:val="22"/>
        </w:rPr>
        <w:t>本工程不允许转包；本工程未经业主批准，中标人不得擅自分包。</w:t>
      </w:r>
    </w:p>
    <w:p w14:paraId="27CC5514">
      <w:pPr>
        <w:pStyle w:val="5"/>
        <w:spacing w:line="480" w:lineRule="exact"/>
        <w:ind w:firstLine="118"/>
        <w:rPr>
          <w:rFonts w:ascii="Times New Roman" w:hAnsi="Times New Roman"/>
          <w:color w:val="auto"/>
          <w:sz w:val="24"/>
          <w:szCs w:val="18"/>
        </w:rPr>
      </w:pPr>
      <w:r>
        <w:rPr>
          <w:rFonts w:ascii="Times New Roman" w:hAnsi="Times New Roman"/>
          <w:color w:val="auto"/>
          <w:sz w:val="24"/>
          <w:szCs w:val="18"/>
        </w:rPr>
        <w:t>1.1</w:t>
      </w:r>
      <w:bookmarkEnd w:id="42"/>
      <w:r>
        <w:rPr>
          <w:rFonts w:hint="eastAsia" w:ascii="Times New Roman" w:hAnsi="Times New Roman"/>
          <w:color w:val="auto"/>
          <w:sz w:val="24"/>
          <w:szCs w:val="18"/>
        </w:rPr>
        <w:t>2 偏离</w:t>
      </w:r>
    </w:p>
    <w:p w14:paraId="397B9493">
      <w:pPr>
        <w:spacing w:line="480" w:lineRule="exact"/>
        <w:ind w:firstLine="440" w:firstLineChars="200"/>
        <w:rPr>
          <w:rFonts w:ascii="宋体" w:hAnsi="宋体"/>
          <w:bCs/>
          <w:color w:val="auto"/>
          <w:sz w:val="22"/>
        </w:rPr>
      </w:pPr>
      <w:r>
        <w:rPr>
          <w:rFonts w:hint="eastAsia" w:ascii="宋体" w:hAnsi="宋体" w:cs="宋体"/>
          <w:color w:val="auto"/>
          <w:sz w:val="22"/>
          <w:szCs w:val="20"/>
        </w:rPr>
        <w:t>对招标文件的实质性要求不允许偏离。</w:t>
      </w:r>
    </w:p>
    <w:p w14:paraId="3904FB8D">
      <w:pPr>
        <w:pStyle w:val="2"/>
        <w:spacing w:line="480" w:lineRule="exact"/>
        <w:rPr>
          <w:rFonts w:ascii="Times New Roman" w:hAnsi="Times New Roman"/>
          <w:color w:val="auto"/>
          <w:sz w:val="28"/>
          <w:szCs w:val="18"/>
        </w:rPr>
      </w:pPr>
      <w:bookmarkStart w:id="43" w:name="_Toc534190089"/>
      <w:r>
        <w:rPr>
          <w:rFonts w:ascii="Times New Roman" w:hAnsi="Times New Roman"/>
          <w:color w:val="auto"/>
          <w:sz w:val="28"/>
          <w:szCs w:val="18"/>
        </w:rPr>
        <w:t>2. 招标文件</w:t>
      </w:r>
      <w:bookmarkEnd w:id="43"/>
    </w:p>
    <w:p w14:paraId="42972176">
      <w:pPr>
        <w:pStyle w:val="5"/>
        <w:spacing w:line="480" w:lineRule="exact"/>
        <w:ind w:firstLine="118"/>
        <w:rPr>
          <w:rFonts w:ascii="Times New Roman" w:hAnsi="Times New Roman"/>
          <w:color w:val="auto"/>
          <w:sz w:val="24"/>
          <w:szCs w:val="18"/>
        </w:rPr>
      </w:pPr>
      <w:bookmarkStart w:id="44" w:name="_Toc534190090"/>
      <w:r>
        <w:rPr>
          <w:rFonts w:ascii="Times New Roman" w:hAnsi="Times New Roman"/>
          <w:color w:val="auto"/>
          <w:sz w:val="24"/>
          <w:szCs w:val="18"/>
        </w:rPr>
        <w:t>2.1 招标文件的组成</w:t>
      </w:r>
      <w:bookmarkEnd w:id="44"/>
    </w:p>
    <w:p w14:paraId="63073082">
      <w:pPr>
        <w:spacing w:line="480" w:lineRule="exact"/>
        <w:ind w:firstLine="376" w:firstLineChars="171"/>
        <w:rPr>
          <w:rFonts w:ascii="Times New Roman" w:hAnsi="Times New Roman"/>
          <w:color w:val="auto"/>
          <w:sz w:val="22"/>
        </w:rPr>
      </w:pPr>
      <w:r>
        <w:rPr>
          <w:rFonts w:ascii="Times New Roman" w:hAnsi="Times New Roman"/>
          <w:color w:val="auto"/>
          <w:sz w:val="22"/>
        </w:rPr>
        <w:t>本招标文件包括：</w:t>
      </w:r>
    </w:p>
    <w:p w14:paraId="0A7F5D9E">
      <w:pPr>
        <w:spacing w:line="480" w:lineRule="exact"/>
        <w:ind w:firstLine="376" w:firstLineChars="171"/>
        <w:rPr>
          <w:rFonts w:ascii="Times New Roman" w:hAnsi="Times New Roman"/>
          <w:color w:val="auto"/>
          <w:sz w:val="22"/>
        </w:rPr>
      </w:pPr>
      <w:r>
        <w:rPr>
          <w:rFonts w:ascii="Times New Roman" w:hAnsi="Times New Roman"/>
          <w:color w:val="auto"/>
          <w:sz w:val="22"/>
        </w:rPr>
        <w:t>（1）招标公告；</w:t>
      </w:r>
    </w:p>
    <w:p w14:paraId="0FF74405">
      <w:pPr>
        <w:spacing w:line="480" w:lineRule="exact"/>
        <w:ind w:firstLine="376" w:firstLineChars="171"/>
        <w:rPr>
          <w:rFonts w:ascii="Times New Roman" w:hAnsi="Times New Roman"/>
          <w:color w:val="auto"/>
          <w:sz w:val="22"/>
        </w:rPr>
      </w:pPr>
      <w:r>
        <w:rPr>
          <w:rFonts w:ascii="Times New Roman" w:hAnsi="Times New Roman"/>
          <w:color w:val="auto"/>
          <w:sz w:val="22"/>
        </w:rPr>
        <w:t>（2）投标人须知；</w:t>
      </w:r>
    </w:p>
    <w:p w14:paraId="558981F6">
      <w:pPr>
        <w:spacing w:line="480" w:lineRule="exact"/>
        <w:ind w:firstLine="376" w:firstLineChars="171"/>
        <w:rPr>
          <w:rFonts w:ascii="Times New Roman" w:hAnsi="Times New Roman"/>
          <w:color w:val="auto"/>
          <w:sz w:val="22"/>
        </w:rPr>
      </w:pPr>
      <w:r>
        <w:rPr>
          <w:rFonts w:ascii="Times New Roman" w:hAnsi="Times New Roman"/>
          <w:color w:val="auto"/>
          <w:sz w:val="22"/>
        </w:rPr>
        <w:t>（3）评标办法</w:t>
      </w:r>
      <w:r>
        <w:rPr>
          <w:rFonts w:hint="eastAsia" w:ascii="Times New Roman" w:hAnsi="Times New Roman"/>
          <w:color w:val="auto"/>
          <w:sz w:val="22"/>
        </w:rPr>
        <w:t>及定标办法</w:t>
      </w:r>
      <w:r>
        <w:rPr>
          <w:rFonts w:ascii="Times New Roman" w:hAnsi="Times New Roman"/>
          <w:color w:val="auto"/>
          <w:sz w:val="22"/>
        </w:rPr>
        <w:t>；</w:t>
      </w:r>
    </w:p>
    <w:p w14:paraId="44407D5F">
      <w:pPr>
        <w:spacing w:line="480" w:lineRule="exact"/>
        <w:ind w:firstLine="376" w:firstLineChars="171"/>
        <w:rPr>
          <w:rFonts w:ascii="Times New Roman" w:hAnsi="Times New Roman"/>
          <w:color w:val="auto"/>
          <w:sz w:val="22"/>
        </w:rPr>
      </w:pPr>
      <w:r>
        <w:rPr>
          <w:rFonts w:ascii="Times New Roman" w:hAnsi="Times New Roman"/>
          <w:color w:val="auto"/>
          <w:sz w:val="22"/>
        </w:rPr>
        <w:t>（4）合同条款及格式；</w:t>
      </w:r>
    </w:p>
    <w:p w14:paraId="6B9A827D">
      <w:pPr>
        <w:spacing w:line="480" w:lineRule="exact"/>
        <w:ind w:firstLine="376" w:firstLineChars="171"/>
        <w:rPr>
          <w:rFonts w:ascii="Times New Roman" w:hAnsi="Times New Roman"/>
          <w:color w:val="auto"/>
          <w:sz w:val="22"/>
        </w:rPr>
      </w:pPr>
      <w:r>
        <w:rPr>
          <w:rFonts w:ascii="Times New Roman" w:hAnsi="Times New Roman"/>
          <w:color w:val="auto"/>
          <w:sz w:val="22"/>
        </w:rPr>
        <w:t>（</w:t>
      </w:r>
      <w:r>
        <w:rPr>
          <w:rFonts w:hint="eastAsia" w:ascii="Times New Roman" w:hAnsi="Times New Roman"/>
          <w:color w:val="auto"/>
          <w:sz w:val="22"/>
        </w:rPr>
        <w:t>5</w:t>
      </w:r>
      <w:r>
        <w:rPr>
          <w:rFonts w:ascii="Times New Roman" w:hAnsi="Times New Roman"/>
          <w:color w:val="auto"/>
          <w:sz w:val="22"/>
        </w:rPr>
        <w:t>）</w:t>
      </w:r>
      <w:r>
        <w:rPr>
          <w:rFonts w:hint="eastAsia" w:ascii="Times New Roman" w:hAnsi="Times New Roman"/>
          <w:color w:val="auto"/>
          <w:sz w:val="22"/>
        </w:rPr>
        <w:t>工程量清单；</w:t>
      </w:r>
    </w:p>
    <w:p w14:paraId="02775E88">
      <w:pPr>
        <w:spacing w:line="480" w:lineRule="exact"/>
        <w:ind w:firstLine="376" w:firstLineChars="171"/>
        <w:rPr>
          <w:rFonts w:ascii="Times New Roman" w:hAnsi="Times New Roman"/>
          <w:color w:val="auto"/>
          <w:sz w:val="22"/>
        </w:rPr>
      </w:pPr>
      <w:r>
        <w:rPr>
          <w:rFonts w:ascii="Times New Roman" w:hAnsi="Times New Roman"/>
          <w:color w:val="auto"/>
          <w:sz w:val="22"/>
        </w:rPr>
        <w:t>（</w:t>
      </w:r>
      <w:r>
        <w:rPr>
          <w:rFonts w:hint="eastAsia" w:ascii="Times New Roman" w:hAnsi="Times New Roman"/>
          <w:color w:val="auto"/>
          <w:sz w:val="22"/>
        </w:rPr>
        <w:t>6</w:t>
      </w:r>
      <w:r>
        <w:rPr>
          <w:rFonts w:ascii="Times New Roman" w:hAnsi="Times New Roman"/>
          <w:color w:val="auto"/>
          <w:sz w:val="22"/>
        </w:rPr>
        <w:t>）</w:t>
      </w:r>
      <w:r>
        <w:rPr>
          <w:rFonts w:hint="eastAsia" w:ascii="Times New Roman" w:hAnsi="Times New Roman"/>
          <w:color w:val="auto"/>
          <w:sz w:val="22"/>
        </w:rPr>
        <w:t>图纸；</w:t>
      </w:r>
    </w:p>
    <w:p w14:paraId="321E2287">
      <w:pPr>
        <w:spacing w:line="480" w:lineRule="exact"/>
        <w:ind w:firstLine="376" w:firstLineChars="171"/>
        <w:rPr>
          <w:rFonts w:ascii="Times New Roman" w:hAnsi="Times New Roman"/>
          <w:color w:val="auto"/>
          <w:sz w:val="22"/>
        </w:rPr>
      </w:pPr>
      <w:r>
        <w:rPr>
          <w:rFonts w:hint="eastAsia" w:ascii="Times New Roman" w:hAnsi="Times New Roman"/>
          <w:color w:val="auto"/>
          <w:sz w:val="22"/>
        </w:rPr>
        <w:t>（7）技术标准和要求；</w:t>
      </w:r>
    </w:p>
    <w:p w14:paraId="70D4384B">
      <w:pPr>
        <w:spacing w:line="480" w:lineRule="exact"/>
        <w:ind w:firstLine="376" w:firstLineChars="171"/>
        <w:rPr>
          <w:rFonts w:ascii="Times New Roman" w:hAnsi="Times New Roman"/>
          <w:color w:val="auto"/>
          <w:sz w:val="22"/>
        </w:rPr>
      </w:pPr>
      <w:r>
        <w:rPr>
          <w:rFonts w:hint="eastAsia" w:ascii="Times New Roman" w:hAnsi="Times New Roman"/>
          <w:color w:val="auto"/>
          <w:sz w:val="22"/>
        </w:rPr>
        <w:t>（8）投标文件格式；</w:t>
      </w:r>
    </w:p>
    <w:p w14:paraId="1B7C52E5">
      <w:pPr>
        <w:spacing w:line="480" w:lineRule="exact"/>
        <w:ind w:firstLine="440" w:firstLineChars="200"/>
        <w:rPr>
          <w:rFonts w:ascii="Times New Roman" w:hAnsi="Times New Roman"/>
          <w:color w:val="auto"/>
          <w:sz w:val="22"/>
        </w:rPr>
      </w:pPr>
      <w:r>
        <w:rPr>
          <w:rFonts w:ascii="Times New Roman" w:hAnsi="Times New Roman"/>
          <w:color w:val="auto"/>
          <w:sz w:val="22"/>
        </w:rPr>
        <w:t>根据本章第1.</w:t>
      </w:r>
      <w:r>
        <w:rPr>
          <w:rFonts w:hint="eastAsia" w:ascii="Times New Roman" w:hAnsi="Times New Roman"/>
          <w:color w:val="auto"/>
          <w:sz w:val="22"/>
        </w:rPr>
        <w:t>10</w:t>
      </w:r>
      <w:r>
        <w:rPr>
          <w:rFonts w:ascii="Times New Roman" w:hAnsi="Times New Roman"/>
          <w:color w:val="auto"/>
          <w:sz w:val="22"/>
        </w:rPr>
        <w:t>款、第2.2款和第2.3款对招标文件所作的澄清、修改，构成招标文件的组成部分。</w:t>
      </w:r>
      <w:bookmarkStart w:id="45" w:name="_Toc534190091"/>
      <w:bookmarkStart w:id="46" w:name="_Toc485303289"/>
      <w:bookmarkStart w:id="47" w:name="_Toc369531526"/>
      <w:bookmarkStart w:id="48" w:name="_Toc247513963"/>
      <w:bookmarkStart w:id="49" w:name="_Toc152045540"/>
      <w:bookmarkStart w:id="50" w:name="_Toc384308220"/>
      <w:bookmarkStart w:id="51" w:name="_Toc352691484"/>
      <w:bookmarkStart w:id="52" w:name="_Toc16623"/>
      <w:bookmarkStart w:id="53" w:name="_Toc152042316"/>
      <w:bookmarkStart w:id="54" w:name="_Toc300834960"/>
      <w:bookmarkStart w:id="55" w:name="_Toc361508595"/>
      <w:bookmarkStart w:id="56" w:name="_Toc247527564"/>
      <w:bookmarkStart w:id="57" w:name="_Toc144974508"/>
    </w:p>
    <w:p w14:paraId="71109939">
      <w:pPr>
        <w:spacing w:line="480" w:lineRule="exact"/>
        <w:ind w:firstLine="480" w:firstLineChars="200"/>
        <w:rPr>
          <w:rFonts w:ascii="Times New Roman" w:hAnsi="Times New Roman" w:eastAsia="黑体"/>
          <w:color w:val="auto"/>
          <w:sz w:val="24"/>
          <w:szCs w:val="18"/>
        </w:rPr>
      </w:pPr>
      <w:r>
        <w:rPr>
          <w:rFonts w:ascii="Times New Roman" w:hAnsi="Times New Roman" w:eastAsia="黑体"/>
          <w:color w:val="auto"/>
          <w:sz w:val="24"/>
          <w:szCs w:val="18"/>
        </w:rPr>
        <w:t>2.2 招标文件的澄清</w:t>
      </w:r>
      <w:bookmarkEnd w:id="45"/>
      <w:bookmarkEnd w:id="46"/>
      <w:bookmarkStart w:id="58" w:name="_Toc485303290"/>
      <w:bookmarkStart w:id="59" w:name="_Toc352691479"/>
    </w:p>
    <w:p w14:paraId="129AEE0E">
      <w:pPr>
        <w:spacing w:line="480" w:lineRule="exact"/>
        <w:ind w:firstLine="440" w:firstLineChars="200"/>
        <w:rPr>
          <w:rFonts w:ascii="宋体" w:hAnsi="宋体"/>
          <w:color w:val="auto"/>
          <w:sz w:val="22"/>
        </w:rPr>
      </w:pPr>
      <w:r>
        <w:rPr>
          <w:rFonts w:hint="eastAsia" w:ascii="宋体" w:hAnsi="宋体"/>
          <w:color w:val="auto"/>
          <w:sz w:val="22"/>
        </w:rPr>
        <w:t>2.2.1投标人应仔细阅读和检查招标文件的全部内容。如发现缺页或附件不全，应及时向招标</w:t>
      </w:r>
      <w:r>
        <w:rPr>
          <w:rFonts w:ascii="宋体" w:hAnsi="宋体"/>
          <w:color w:val="auto"/>
          <w:sz w:val="22"/>
        </w:rPr>
        <w:t>人提出，以便补齐。如有疑问，</w:t>
      </w:r>
      <w:r>
        <w:rPr>
          <w:rFonts w:hint="eastAsia" w:ascii="宋体" w:hAnsi="宋体"/>
          <w:color w:val="auto"/>
          <w:sz w:val="22"/>
        </w:rPr>
        <w:t>应在投标人须知前附表规定的时间前以书面形式（包括信函、电报、传真等可以有形地表现所载内容的形式，下同），要求招标人对招标文件予以澄清。</w:t>
      </w:r>
    </w:p>
    <w:p w14:paraId="59C8D36D">
      <w:pPr>
        <w:tabs>
          <w:tab w:val="left" w:pos="629"/>
        </w:tabs>
        <w:spacing w:line="480" w:lineRule="exact"/>
        <w:ind w:firstLine="440" w:firstLineChars="200"/>
        <w:rPr>
          <w:rFonts w:ascii="宋体" w:hAnsi="宋体"/>
          <w:color w:val="auto"/>
          <w:sz w:val="22"/>
        </w:rPr>
      </w:pPr>
      <w:r>
        <w:rPr>
          <w:rFonts w:hint="eastAsia" w:ascii="宋体" w:hAnsi="宋体"/>
          <w:bCs/>
          <w:color w:val="auto"/>
          <w:sz w:val="22"/>
        </w:rPr>
        <w:t>2.2.2</w:t>
      </w:r>
      <w:r>
        <w:rPr>
          <w:rFonts w:hint="eastAsia" w:ascii="宋体" w:hAnsi="宋体"/>
          <w:color w:val="auto"/>
          <w:sz w:val="22"/>
          <w:szCs w:val="20"/>
        </w:rPr>
        <w:t>澄清的内容可能影响投标文件编制的，在投标截止时间15日前，以公告形式在招标公告发布的网站发布，但不指明澄清问题的来源；不足15日的，顺延提交投标文件的截止时间。</w:t>
      </w:r>
    </w:p>
    <w:p w14:paraId="2E62511B">
      <w:pPr>
        <w:pStyle w:val="5"/>
        <w:spacing w:line="480" w:lineRule="exact"/>
        <w:ind w:firstLine="118"/>
        <w:rPr>
          <w:rFonts w:ascii="Times New Roman" w:hAnsi="Times New Roman"/>
          <w:color w:val="auto"/>
          <w:sz w:val="24"/>
          <w:szCs w:val="18"/>
        </w:rPr>
      </w:pPr>
      <w:bookmarkStart w:id="60" w:name="_Toc534190092"/>
      <w:r>
        <w:rPr>
          <w:rFonts w:ascii="Times New Roman" w:hAnsi="Times New Roman"/>
          <w:color w:val="auto"/>
          <w:sz w:val="24"/>
          <w:szCs w:val="18"/>
        </w:rPr>
        <w:t>2.3 招标文件的修</w:t>
      </w:r>
      <w:bookmarkStart w:id="61" w:name="_Toc16514"/>
      <w:bookmarkStart w:id="62" w:name="_Toc369531521"/>
      <w:r>
        <w:rPr>
          <w:rFonts w:ascii="Times New Roman" w:hAnsi="Times New Roman"/>
          <w:color w:val="auto"/>
          <w:sz w:val="24"/>
          <w:szCs w:val="18"/>
        </w:rPr>
        <w:t>改</w:t>
      </w:r>
      <w:bookmarkEnd w:id="58"/>
      <w:bookmarkEnd w:id="60"/>
    </w:p>
    <w:bookmarkEnd w:id="47"/>
    <w:bookmarkEnd w:id="48"/>
    <w:bookmarkEnd w:id="49"/>
    <w:bookmarkEnd w:id="50"/>
    <w:bookmarkEnd w:id="51"/>
    <w:bookmarkEnd w:id="52"/>
    <w:bookmarkEnd w:id="53"/>
    <w:bookmarkEnd w:id="54"/>
    <w:bookmarkEnd w:id="55"/>
    <w:bookmarkEnd w:id="56"/>
    <w:bookmarkEnd w:id="57"/>
    <w:bookmarkEnd w:id="59"/>
    <w:bookmarkEnd w:id="61"/>
    <w:bookmarkEnd w:id="62"/>
    <w:p w14:paraId="14666B87">
      <w:pPr>
        <w:spacing w:line="480" w:lineRule="exact"/>
        <w:ind w:firstLine="440" w:firstLineChars="200"/>
        <w:rPr>
          <w:rFonts w:ascii="宋体" w:hAnsi="宋体"/>
          <w:bCs/>
          <w:color w:val="auto"/>
          <w:sz w:val="22"/>
        </w:rPr>
      </w:pPr>
      <w:bookmarkStart w:id="63" w:name="_Toc534190093"/>
      <w:bookmarkStart w:id="64" w:name="_Toc534190094"/>
      <w:r>
        <w:rPr>
          <w:rFonts w:hint="eastAsia" w:ascii="宋体" w:hAnsi="宋体"/>
          <w:bCs/>
          <w:color w:val="auto"/>
          <w:sz w:val="22"/>
        </w:rPr>
        <w:t>2.3.1</w:t>
      </w:r>
      <w:r>
        <w:rPr>
          <w:rFonts w:hint="eastAsia" w:ascii="宋体" w:hAnsi="宋体"/>
          <w:color w:val="auto"/>
          <w:sz w:val="22"/>
          <w:szCs w:val="20"/>
        </w:rPr>
        <w:t>在投标截止时间15日前，招标人可以公告形式发布修改招标文件。如果修改招标文件的时间距投标截止时间不足 15 日的，顺延提交投标文件的截止时间。</w:t>
      </w:r>
    </w:p>
    <w:p w14:paraId="0D181455">
      <w:pPr>
        <w:spacing w:line="480" w:lineRule="exact"/>
        <w:ind w:firstLine="440" w:firstLineChars="200"/>
        <w:rPr>
          <w:rFonts w:ascii="宋体" w:hAnsi="宋体"/>
          <w:bCs/>
          <w:color w:val="auto"/>
          <w:sz w:val="22"/>
        </w:rPr>
      </w:pPr>
      <w:r>
        <w:rPr>
          <w:rFonts w:hint="eastAsia" w:ascii="宋体" w:hAnsi="宋体"/>
          <w:bCs/>
          <w:color w:val="auto"/>
          <w:sz w:val="22"/>
        </w:rPr>
        <w:t xml:space="preserve">2.3.2 </w:t>
      </w:r>
      <w:r>
        <w:rPr>
          <w:rFonts w:hint="eastAsia" w:ascii="宋体" w:hAnsi="宋体"/>
          <w:color w:val="auto"/>
          <w:sz w:val="22"/>
          <w:szCs w:val="20"/>
        </w:rPr>
        <w:t>招标文件一经网上发布，视作已发放给所有投标人，不再予以书面回复通知。</w:t>
      </w:r>
    </w:p>
    <w:bookmarkEnd w:id="63"/>
    <w:p w14:paraId="52E9B3FC">
      <w:pPr>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2.3.3如果澄清、修改内容在上述网站公布的时间不足15日，并且澄清、修改内容可能影响投标文件编制的，招标人将相应延长投标文件提交截止时间。</w:t>
      </w:r>
    </w:p>
    <w:p w14:paraId="7CD7423B">
      <w:pPr>
        <w:spacing w:line="360" w:lineRule="auto"/>
        <w:ind w:firstLine="420" w:firstLineChars="200"/>
        <w:jc w:val="left"/>
        <w:rPr>
          <w:rFonts w:cs="宋体" w:asciiTheme="minorEastAsia" w:hAnsiTheme="minorEastAsia" w:eastAsiaTheme="minorEastAsia"/>
          <w:color w:val="auto"/>
          <w:kern w:val="0"/>
          <w:szCs w:val="21"/>
        </w:rPr>
      </w:pPr>
      <w:r>
        <w:rPr>
          <w:rFonts w:hint="eastAsia" w:cs="宋体" w:asciiTheme="minorEastAsia" w:hAnsiTheme="minorEastAsia" w:eastAsiaTheme="minorEastAsia"/>
          <w:color w:val="auto"/>
          <w:kern w:val="0"/>
          <w:szCs w:val="21"/>
        </w:rPr>
        <w:t>2.2.4投标人未及时登录上述网站，不得作为否定获得招标文件澄清、修改的理由。</w:t>
      </w:r>
    </w:p>
    <w:p w14:paraId="6179AAA1">
      <w:pPr>
        <w:spacing w:line="360" w:lineRule="auto"/>
        <w:jc w:val="left"/>
        <w:rPr>
          <w:rFonts w:ascii="Times New Roman" w:hAnsi="Times New Roman" w:eastAsia="黑体"/>
          <w:b/>
          <w:color w:val="auto"/>
          <w:sz w:val="28"/>
          <w:szCs w:val="18"/>
        </w:rPr>
      </w:pPr>
      <w:r>
        <w:rPr>
          <w:rFonts w:ascii="Times New Roman" w:hAnsi="Times New Roman" w:eastAsia="黑体"/>
          <w:b/>
          <w:color w:val="auto"/>
          <w:sz w:val="28"/>
          <w:szCs w:val="18"/>
        </w:rPr>
        <w:t>3. 投标文件</w:t>
      </w:r>
      <w:bookmarkEnd w:id="64"/>
    </w:p>
    <w:p w14:paraId="65FE87DE">
      <w:pPr>
        <w:pStyle w:val="5"/>
        <w:spacing w:line="480" w:lineRule="exact"/>
        <w:ind w:firstLine="118"/>
        <w:rPr>
          <w:rFonts w:ascii="Times New Roman" w:hAnsi="Times New Roman"/>
          <w:color w:val="auto"/>
          <w:sz w:val="24"/>
          <w:szCs w:val="18"/>
        </w:rPr>
      </w:pPr>
      <w:bookmarkStart w:id="65" w:name="_Toc534190095"/>
      <w:r>
        <w:rPr>
          <w:rFonts w:ascii="Times New Roman" w:hAnsi="Times New Roman"/>
          <w:color w:val="auto"/>
          <w:sz w:val="24"/>
          <w:szCs w:val="18"/>
        </w:rPr>
        <w:t>3.1 投标文件的组成</w:t>
      </w:r>
      <w:bookmarkEnd w:id="65"/>
    </w:p>
    <w:p w14:paraId="5DC58CBC">
      <w:pPr>
        <w:spacing w:line="480" w:lineRule="exact"/>
        <w:rPr>
          <w:rFonts w:ascii="Times New Roman" w:hAnsi="Times New Roman"/>
          <w:color w:val="auto"/>
          <w:sz w:val="22"/>
        </w:rPr>
      </w:pPr>
      <w:r>
        <w:rPr>
          <w:rFonts w:ascii="Times New Roman" w:hAnsi="Times New Roman"/>
          <w:color w:val="auto"/>
          <w:sz w:val="20"/>
          <w:szCs w:val="21"/>
        </w:rPr>
        <w:t>　</w:t>
      </w:r>
      <w:r>
        <w:rPr>
          <w:rFonts w:ascii="Times New Roman" w:hAnsi="Times New Roman"/>
          <w:color w:val="auto"/>
          <w:sz w:val="22"/>
        </w:rPr>
        <w:t>　3.1.1 投标文件应包括下列内容：</w:t>
      </w:r>
    </w:p>
    <w:p w14:paraId="2EE5B497">
      <w:pPr>
        <w:spacing w:line="480" w:lineRule="exact"/>
        <w:ind w:firstLine="440" w:firstLineChars="200"/>
        <w:rPr>
          <w:rFonts w:ascii="Times New Roman" w:hAnsi="Times New Roman"/>
          <w:color w:val="auto"/>
          <w:sz w:val="22"/>
        </w:rPr>
      </w:pPr>
      <w:bookmarkStart w:id="66" w:name="_Toc534190096"/>
      <w:r>
        <w:rPr>
          <w:rFonts w:hint="eastAsia" w:ascii="Times New Roman" w:hAnsi="Times New Roman"/>
          <w:color w:val="auto"/>
          <w:sz w:val="22"/>
        </w:rPr>
        <w:t>（1）投标函及投标函附录</w:t>
      </w:r>
    </w:p>
    <w:p w14:paraId="39FAB797">
      <w:pPr>
        <w:spacing w:line="480" w:lineRule="exact"/>
        <w:ind w:firstLine="440" w:firstLineChars="200"/>
        <w:rPr>
          <w:rFonts w:ascii="Times New Roman" w:hAnsi="Times New Roman"/>
          <w:color w:val="auto"/>
          <w:sz w:val="22"/>
        </w:rPr>
      </w:pPr>
      <w:r>
        <w:rPr>
          <w:rFonts w:hint="eastAsia" w:ascii="Times New Roman" w:hAnsi="Times New Roman"/>
          <w:color w:val="auto"/>
          <w:sz w:val="22"/>
        </w:rPr>
        <w:t>（2）报价一览表</w:t>
      </w:r>
    </w:p>
    <w:p w14:paraId="0F90739F">
      <w:pPr>
        <w:spacing w:line="480" w:lineRule="exact"/>
        <w:ind w:firstLine="440" w:firstLineChars="200"/>
        <w:rPr>
          <w:rFonts w:ascii="Times New Roman" w:hAnsi="Times New Roman"/>
          <w:color w:val="auto"/>
          <w:sz w:val="22"/>
        </w:rPr>
      </w:pPr>
      <w:r>
        <w:rPr>
          <w:rFonts w:hint="eastAsia" w:ascii="Times New Roman" w:hAnsi="Times New Roman"/>
          <w:color w:val="auto"/>
          <w:sz w:val="22"/>
        </w:rPr>
        <w:t>（3）法定代表人身份证明或法人授权委托书</w:t>
      </w:r>
    </w:p>
    <w:p w14:paraId="00D0AF2C">
      <w:pPr>
        <w:spacing w:line="480" w:lineRule="exact"/>
        <w:ind w:firstLine="440" w:firstLineChars="200"/>
        <w:rPr>
          <w:rFonts w:ascii="Times New Roman" w:hAnsi="Times New Roman"/>
          <w:color w:val="auto"/>
          <w:sz w:val="22"/>
        </w:rPr>
      </w:pPr>
      <w:r>
        <w:rPr>
          <w:rFonts w:hint="eastAsia" w:ascii="Times New Roman" w:hAnsi="Times New Roman"/>
          <w:color w:val="auto"/>
          <w:sz w:val="22"/>
        </w:rPr>
        <w:t>（4）已标价工程量清单</w:t>
      </w:r>
    </w:p>
    <w:p w14:paraId="3A9344D1">
      <w:pPr>
        <w:spacing w:line="480" w:lineRule="exact"/>
        <w:ind w:firstLine="440" w:firstLineChars="200"/>
        <w:rPr>
          <w:rFonts w:ascii="Times New Roman" w:hAnsi="Times New Roman"/>
          <w:color w:val="auto"/>
          <w:sz w:val="22"/>
        </w:rPr>
      </w:pPr>
      <w:r>
        <w:rPr>
          <w:rFonts w:hint="eastAsia" w:ascii="Times New Roman" w:hAnsi="Times New Roman"/>
          <w:color w:val="auto"/>
          <w:sz w:val="22"/>
        </w:rPr>
        <w:t>（5）施工组织设计</w:t>
      </w:r>
    </w:p>
    <w:p w14:paraId="1ECCD391">
      <w:pPr>
        <w:spacing w:line="480" w:lineRule="exact"/>
        <w:ind w:firstLine="440" w:firstLineChars="200"/>
        <w:rPr>
          <w:rFonts w:ascii="Times New Roman" w:hAnsi="Times New Roman"/>
          <w:color w:val="auto"/>
          <w:sz w:val="22"/>
        </w:rPr>
      </w:pPr>
      <w:r>
        <w:rPr>
          <w:rFonts w:hint="eastAsia" w:ascii="Times New Roman" w:hAnsi="Times New Roman"/>
          <w:color w:val="auto"/>
          <w:sz w:val="22"/>
        </w:rPr>
        <w:t>（6）项目管理机构</w:t>
      </w:r>
    </w:p>
    <w:p w14:paraId="12020F47">
      <w:pPr>
        <w:spacing w:line="480" w:lineRule="exact"/>
        <w:ind w:firstLine="440" w:firstLineChars="200"/>
        <w:rPr>
          <w:rFonts w:ascii="Times New Roman" w:hAnsi="Times New Roman"/>
          <w:color w:val="auto"/>
          <w:sz w:val="22"/>
        </w:rPr>
      </w:pPr>
      <w:r>
        <w:rPr>
          <w:rFonts w:hint="eastAsia" w:ascii="Times New Roman" w:hAnsi="Times New Roman"/>
          <w:color w:val="auto"/>
          <w:sz w:val="22"/>
        </w:rPr>
        <w:t>（7）资格审查资料</w:t>
      </w:r>
    </w:p>
    <w:p w14:paraId="38EC7D33">
      <w:pPr>
        <w:spacing w:line="480" w:lineRule="exact"/>
        <w:ind w:firstLine="440" w:firstLineChars="200"/>
        <w:rPr>
          <w:rFonts w:ascii="Times New Roman" w:hAnsi="Times New Roman"/>
          <w:color w:val="auto"/>
          <w:sz w:val="22"/>
        </w:rPr>
      </w:pPr>
      <w:r>
        <w:rPr>
          <w:rFonts w:hint="eastAsia" w:ascii="Times New Roman" w:hAnsi="Times New Roman"/>
          <w:color w:val="auto"/>
          <w:sz w:val="22"/>
        </w:rPr>
        <w:t>（8）对招标文件的认同程度的声明</w:t>
      </w:r>
    </w:p>
    <w:p w14:paraId="799930CC">
      <w:pPr>
        <w:spacing w:line="480" w:lineRule="exact"/>
        <w:ind w:firstLine="440" w:firstLineChars="200"/>
        <w:rPr>
          <w:rFonts w:ascii="Times New Roman" w:hAnsi="Times New Roman"/>
          <w:color w:val="auto"/>
          <w:sz w:val="22"/>
        </w:rPr>
      </w:pPr>
      <w:r>
        <w:rPr>
          <w:rFonts w:hint="eastAsia" w:ascii="Times New Roman" w:hAnsi="Times New Roman"/>
          <w:color w:val="auto"/>
          <w:sz w:val="22"/>
        </w:rPr>
        <w:t>（9）其他材料</w:t>
      </w:r>
    </w:p>
    <w:p w14:paraId="11AEBC9E">
      <w:pPr>
        <w:pStyle w:val="5"/>
        <w:spacing w:line="480" w:lineRule="exact"/>
        <w:ind w:firstLine="118"/>
        <w:rPr>
          <w:rFonts w:ascii="Times New Roman" w:hAnsi="Times New Roman"/>
          <w:color w:val="auto"/>
          <w:sz w:val="24"/>
          <w:szCs w:val="18"/>
        </w:rPr>
      </w:pPr>
      <w:r>
        <w:rPr>
          <w:rFonts w:ascii="Times New Roman" w:hAnsi="Times New Roman"/>
          <w:color w:val="auto"/>
          <w:sz w:val="24"/>
          <w:szCs w:val="18"/>
        </w:rPr>
        <w:t>3.2 投标报价</w:t>
      </w:r>
      <w:bookmarkEnd w:id="66"/>
    </w:p>
    <w:p w14:paraId="1CDBA2F5">
      <w:pPr>
        <w:spacing w:line="510" w:lineRule="exact"/>
        <w:ind w:firstLine="420" w:firstLineChars="200"/>
        <w:rPr>
          <w:rFonts w:hint="eastAsia"/>
          <w:color w:val="auto"/>
        </w:rPr>
      </w:pPr>
      <w:r>
        <w:rPr>
          <w:rFonts w:hint="eastAsia" w:ascii="宋体" w:hAnsi="宋体"/>
          <w:color w:val="auto"/>
          <w:highlight w:val="none"/>
        </w:rPr>
        <w:t>3.2.1</w:t>
      </w:r>
      <w:r>
        <w:rPr>
          <w:rFonts w:hint="eastAsia"/>
          <w:color w:val="auto"/>
        </w:rPr>
        <w:t>本项目计价方式：采用工程量清单计价</w:t>
      </w:r>
    </w:p>
    <w:p w14:paraId="5F06974A">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3.2.2 </w:t>
      </w:r>
      <w:bookmarkStart w:id="67" w:name="_Toc408147760"/>
      <w:r>
        <w:rPr>
          <w:rFonts w:hint="eastAsia" w:ascii="宋体" w:hAnsi="宋体" w:eastAsia="宋体" w:cs="宋体"/>
          <w:color w:val="auto"/>
          <w:szCs w:val="21"/>
          <w:highlight w:val="none"/>
        </w:rPr>
        <w:t>投标人应按“</w:t>
      </w:r>
      <w:r>
        <w:rPr>
          <w:rFonts w:hint="eastAsia" w:ascii="宋体" w:hAnsi="宋体" w:eastAsia="宋体" w:cs="宋体"/>
          <w:color w:val="auto"/>
          <w:szCs w:val="21"/>
          <w:highlight w:val="none"/>
          <w:lang w:eastAsia="zh-CN"/>
        </w:rPr>
        <w:t>工程量清单</w:t>
      </w:r>
      <w:r>
        <w:rPr>
          <w:rFonts w:hint="eastAsia" w:ascii="宋体" w:hAnsi="宋体" w:eastAsia="宋体" w:cs="宋体"/>
          <w:color w:val="auto"/>
          <w:szCs w:val="21"/>
          <w:highlight w:val="none"/>
        </w:rPr>
        <w:t>”的要求填写相应表格</w:t>
      </w:r>
    </w:p>
    <w:p w14:paraId="5D18373C">
      <w:pPr>
        <w:spacing w:line="510" w:lineRule="exact"/>
        <w:ind w:firstLine="420" w:firstLineChars="200"/>
        <w:rPr>
          <w:rFonts w:hint="eastAsia" w:ascii="宋体" w:hAnsi="宋体"/>
          <w:color w:val="auto"/>
          <w:szCs w:val="21"/>
        </w:rPr>
      </w:pPr>
      <w:r>
        <w:rPr>
          <w:rFonts w:hint="eastAsia" w:ascii="宋体" w:hAnsi="宋体"/>
          <w:color w:val="auto"/>
          <w:highlight w:val="none"/>
        </w:rPr>
        <w:t xml:space="preserve">3.2.3. </w:t>
      </w:r>
      <w:bookmarkEnd w:id="67"/>
      <w:r>
        <w:rPr>
          <w:rFonts w:hint="eastAsia" w:ascii="宋体" w:hAnsi="宋体"/>
          <w:color w:val="auto"/>
          <w:szCs w:val="21"/>
        </w:rPr>
        <w:t>投标人在投标截止时间前修改投标函中的投标总报价，应同时修改章“已标价工程量清单”中的相应报价。此修改须符合本章第4.3 款的有关要求。</w:t>
      </w:r>
    </w:p>
    <w:p w14:paraId="363DB187">
      <w:pPr>
        <w:spacing w:line="360" w:lineRule="auto"/>
        <w:ind w:firstLine="420" w:firstLineChars="200"/>
        <w:rPr>
          <w:rFonts w:hint="eastAsia" w:ascii="宋体" w:hAnsi="宋体"/>
          <w:color w:val="auto"/>
          <w:highlight w:val="none"/>
        </w:rPr>
      </w:pPr>
      <w:r>
        <w:rPr>
          <w:rFonts w:hint="eastAsia" w:ascii="宋体" w:hAnsi="宋体"/>
          <w:color w:val="auto"/>
          <w:highlight w:val="none"/>
        </w:rPr>
        <w:t>3.2.4投标人应根据招标人提供的施工图纸、工程量清单及招标文件规定认真编制投标文件。工程量清单中的每一个项目均需计算填写单价、合价（总报价为施工图纸、工程量清单及有关资料所包括的全部内容）。若投标人没有填写单价、合价的项目，招标人将认为此项费用已包括在其它项目单价、合价中。</w:t>
      </w:r>
    </w:p>
    <w:p w14:paraId="529CF6F0">
      <w:pPr>
        <w:spacing w:line="510" w:lineRule="exact"/>
        <w:ind w:firstLine="420" w:firstLineChars="200"/>
        <w:rPr>
          <w:rFonts w:hint="eastAsia" w:ascii="宋体" w:hAnsi="宋体"/>
          <w:color w:val="auto"/>
          <w:highlight w:val="none"/>
        </w:rPr>
      </w:pPr>
      <w:r>
        <w:rPr>
          <w:rFonts w:hint="eastAsia" w:ascii="宋体" w:hAnsi="宋体"/>
          <w:color w:val="auto"/>
          <w:highlight w:val="none"/>
        </w:rPr>
        <w:t>3.2.5</w:t>
      </w:r>
      <w:r>
        <w:rPr>
          <w:rFonts w:hint="eastAsia" w:ascii="宋体" w:hAnsi="宋体"/>
          <w:color w:val="auto"/>
          <w:szCs w:val="21"/>
        </w:rPr>
        <w:t>投标人应根据企业自身的管理水平、施工能力，并考虑风险因素，结合施工方案进行自主报价，并以最大限度地满足招标文件要求，但不得低于企业成本价，投标人应充分考虑施工期间各类建材（暂定价材料除外）的市场风险和国家政策性调整风险系数，并计入总报价，在合同实施期间价格固定，除图纸变更及招标文件规定可调整外，其他不再调整。在评审期间，评审委员会将对投标人投标报价进行评审，如投标人的投标报价出现不均衡报价的，将作为无效投标处理。</w:t>
      </w:r>
    </w:p>
    <w:p w14:paraId="0F5F0236">
      <w:pPr>
        <w:spacing w:line="360" w:lineRule="auto"/>
        <w:ind w:firstLine="420" w:firstLineChars="200"/>
        <w:rPr>
          <w:rFonts w:hint="eastAsia" w:ascii="宋体" w:hAnsi="宋体"/>
          <w:color w:val="auto"/>
          <w:highlight w:val="none"/>
        </w:rPr>
      </w:pPr>
      <w:r>
        <w:rPr>
          <w:rFonts w:hint="eastAsia" w:ascii="宋体" w:hAnsi="宋体"/>
          <w:color w:val="auto"/>
          <w:highlight w:val="none"/>
        </w:rPr>
        <w:t>3.2.6</w:t>
      </w:r>
      <w:r>
        <w:rPr>
          <w:rFonts w:hint="eastAsia" w:ascii="宋体" w:hAnsi="宋体"/>
          <w:color w:val="auto"/>
          <w:szCs w:val="21"/>
        </w:rPr>
        <w:t>投标文件中投标报价以最后的投标单价和总报价为准，如分项计算错误或者遗漏，视为投标方的减让，不再进入总价。除非合同中另有规定，投标人在报价中所报的单价和合价，以及投标报价汇总表中的价格均包括完成该工程项目的成本、利润、管理费、税金、技术措施费、大型机械进出场费、风险费、政策性文件规定费用等所有费用。</w:t>
      </w:r>
    </w:p>
    <w:p w14:paraId="0C60C4A4">
      <w:pPr>
        <w:spacing w:line="400" w:lineRule="exact"/>
        <w:ind w:firstLine="422" w:firstLineChars="200"/>
        <w:rPr>
          <w:rFonts w:hint="eastAsia" w:ascii="宋体" w:hAnsi="宋体"/>
          <w:b/>
          <w:bCs/>
          <w:color w:val="auto"/>
          <w:highlight w:val="none"/>
        </w:rPr>
      </w:pPr>
      <w:r>
        <w:rPr>
          <w:rFonts w:hint="eastAsia" w:ascii="宋体" w:hAnsi="宋体"/>
          <w:b/>
          <w:bCs/>
          <w:color w:val="auto"/>
          <w:highlight w:val="none"/>
        </w:rPr>
        <w:t>3.2.7工程建设所发生的所有材料费、人工费、设备费、安装费、办理各种施工手续费用、税金、试验费、临时设施费、管理部门费用、国家规定的各种费用、场地清理费、土地平整费、施工机械进出场费、装卸费、垃圾清运费及其他不可预见费等与工程建设有关的一切费用均包含在总报价中，投标人应把所有费用分摊在工程量清单所列细目中。</w:t>
      </w:r>
    </w:p>
    <w:p w14:paraId="4630BC40">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 3.2.8投标报价应包括分部分项工程量清单报价、措施费报价、其他项目清单报价、规费、税金（规费、税金作为不可竞争性费用）等投标单位响应招标单位要求完成拟建工程的全部费用；规费、税金必须严格按照国家和省市有关规定计取，凡未按规定计取的，作否决投标处理。</w:t>
      </w:r>
    </w:p>
    <w:p w14:paraId="357D2C61">
      <w:pPr>
        <w:spacing w:line="360" w:lineRule="auto"/>
        <w:ind w:firstLine="420" w:firstLineChars="200"/>
        <w:rPr>
          <w:rFonts w:hint="eastAsia" w:ascii="宋体" w:hAnsi="宋体"/>
          <w:color w:val="auto"/>
          <w:highlight w:val="none"/>
        </w:rPr>
      </w:pPr>
      <w:r>
        <w:rPr>
          <w:rFonts w:hint="eastAsia" w:ascii="宋体" w:hAnsi="宋体"/>
          <w:color w:val="auto"/>
          <w:highlight w:val="none"/>
        </w:rPr>
        <w:t>3.2.9工程量清单是招标人编制的，作为所有投标人共同的报价基础，投标人不得随意更改。若清单与图纸不一致时，以工程量清单为准。出现工程量清单错误、漏项时，视为综合考虑在投标报价中，不再单独计取。</w:t>
      </w:r>
    </w:p>
    <w:p w14:paraId="637A28FD">
      <w:pPr>
        <w:spacing w:line="360" w:lineRule="auto"/>
        <w:ind w:firstLine="420" w:firstLineChars="200"/>
        <w:rPr>
          <w:rFonts w:hint="eastAsia" w:ascii="宋体" w:hAnsi="宋体"/>
          <w:color w:val="auto"/>
          <w:highlight w:val="none"/>
        </w:rPr>
      </w:pPr>
      <w:r>
        <w:rPr>
          <w:rFonts w:hint="eastAsia" w:ascii="宋体" w:hAnsi="宋体"/>
          <w:color w:val="auto"/>
          <w:highlight w:val="none"/>
        </w:rPr>
        <w:t>3.2.10投标人可先到施工现场踏勘以充分了解施工现场位置、情况、道路、储存空间、装卸限制及任何其它足以影响投标报价的情况，任何因忽视或误解工地情况而导致的索赔或工期延长申请将不被批准。</w:t>
      </w:r>
    </w:p>
    <w:p w14:paraId="0F802291">
      <w:pPr>
        <w:spacing w:line="360" w:lineRule="auto"/>
        <w:ind w:firstLine="420" w:firstLineChars="200"/>
        <w:rPr>
          <w:rFonts w:hint="eastAsia" w:ascii="宋体" w:hAnsi="宋体"/>
          <w:color w:val="auto"/>
          <w:highlight w:val="none"/>
        </w:rPr>
      </w:pPr>
      <w:r>
        <w:rPr>
          <w:rFonts w:hint="eastAsia" w:ascii="宋体" w:hAnsi="宋体"/>
          <w:color w:val="auto"/>
          <w:highlight w:val="none"/>
        </w:rPr>
        <w:t>3.2.11专门用于本工程施工的所有设备、设施和材料一经运到施工现场，即应被视为专供工程施工使用，由承包人负责保管，招标人不再单独支付保管费。</w:t>
      </w:r>
    </w:p>
    <w:p w14:paraId="63874EE2">
      <w:pPr>
        <w:spacing w:line="360" w:lineRule="auto"/>
        <w:ind w:firstLine="420" w:firstLineChars="200"/>
        <w:rPr>
          <w:rFonts w:hint="eastAsia" w:ascii="宋体" w:hAnsi="宋体"/>
          <w:color w:val="auto"/>
          <w:highlight w:val="none"/>
        </w:rPr>
      </w:pPr>
      <w:r>
        <w:rPr>
          <w:rFonts w:hint="eastAsia" w:ascii="宋体" w:hAnsi="宋体"/>
          <w:color w:val="auto"/>
          <w:highlight w:val="none"/>
        </w:rPr>
        <w:t>3.2.12施工单位须按国家有关规定按时发放农民工工人工资，不能拖欠，并按有关部门要求办理相关手续，否则，业主有权在任一期工程款支付中扣除相应工程款，按国家现行政策发放农民工工人工资。</w:t>
      </w:r>
    </w:p>
    <w:p w14:paraId="7D88BCC4">
      <w:pPr>
        <w:spacing w:line="360" w:lineRule="auto"/>
        <w:ind w:firstLine="420" w:firstLineChars="200"/>
        <w:rPr>
          <w:rFonts w:hint="eastAsia" w:ascii="宋体" w:hAnsi="宋体"/>
          <w:color w:val="auto"/>
          <w:highlight w:val="none"/>
        </w:rPr>
      </w:pPr>
      <w:r>
        <w:rPr>
          <w:rFonts w:hint="eastAsia" w:ascii="宋体" w:hAnsi="宋体"/>
          <w:color w:val="auto"/>
          <w:highlight w:val="none"/>
        </w:rPr>
        <w:t>3.2.13地方干扰由施工单位负责处理，费用自理。工程建设过程中发生扰民、民扰现象，均由中标单位负责交涉和解决，并承担相关费用。施工过程中发生的道路清障、供电、供电局接电等所有需要与乡镇、供电公司等各方协调的问题均由施工单位自行解决。</w:t>
      </w:r>
    </w:p>
    <w:p w14:paraId="2DC1F3BF">
      <w:pPr>
        <w:spacing w:line="400" w:lineRule="exact"/>
        <w:ind w:firstLine="420" w:firstLineChars="200"/>
        <w:rPr>
          <w:rFonts w:hint="eastAsia" w:ascii="宋体" w:hAnsi="宋体" w:eastAsia="宋体"/>
          <w:b/>
          <w:bCs/>
          <w:color w:val="auto"/>
          <w:highlight w:val="none"/>
          <w:lang w:eastAsia="zh-CN"/>
        </w:rPr>
      </w:pPr>
      <w:r>
        <w:rPr>
          <w:rFonts w:hint="eastAsia" w:ascii="宋体" w:hAnsi="宋体"/>
          <w:b w:val="0"/>
          <w:bCs w:val="0"/>
          <w:color w:val="auto"/>
          <w:highlight w:val="none"/>
        </w:rPr>
        <w:t>3.2.14</w:t>
      </w:r>
      <w:r>
        <w:rPr>
          <w:rFonts w:hint="eastAsia" w:ascii="宋体" w:hAnsi="宋体"/>
          <w:color w:val="auto"/>
          <w:szCs w:val="21"/>
        </w:rPr>
        <w:t>工程结算依据：工程施工合同、经招标人签字认证的工程变更及有关协议书</w:t>
      </w:r>
      <w:r>
        <w:rPr>
          <w:rFonts w:hint="eastAsia" w:ascii="宋体" w:hAnsi="宋体"/>
          <w:color w:val="auto"/>
          <w:szCs w:val="21"/>
          <w:lang w:eastAsia="zh-CN"/>
        </w:rPr>
        <w:t>。</w:t>
      </w:r>
    </w:p>
    <w:p w14:paraId="1C3D690F">
      <w:pPr>
        <w:spacing w:line="360" w:lineRule="auto"/>
        <w:ind w:firstLine="420" w:firstLineChars="200"/>
        <w:rPr>
          <w:rFonts w:hint="eastAsia" w:ascii="宋体" w:hAnsi="宋体"/>
          <w:color w:val="auto"/>
          <w:highlight w:val="none"/>
        </w:rPr>
      </w:pPr>
      <w:r>
        <w:rPr>
          <w:rFonts w:hint="eastAsia" w:ascii="宋体" w:hAnsi="宋体"/>
          <w:color w:val="auto"/>
          <w:highlight w:val="none"/>
        </w:rPr>
        <w:t>3.2.15 结算方式</w:t>
      </w:r>
      <w:r>
        <w:rPr>
          <w:rFonts w:hint="eastAsia" w:ascii="宋体" w:hAnsi="宋体"/>
          <w:color w:val="auto"/>
          <w:highlight w:val="none"/>
          <w:lang w:eastAsia="zh-CN"/>
        </w:rPr>
        <w:t>：</w:t>
      </w:r>
      <w:r>
        <w:rPr>
          <w:rFonts w:hint="eastAsia"/>
          <w:color w:val="auto"/>
        </w:rPr>
        <w:t>本工程采用固定单价合同，在工程结算时，以实际发生的工程量乘以报价表中的综合单价作为工程结算总价</w:t>
      </w:r>
      <w:r>
        <w:rPr>
          <w:rFonts w:hint="eastAsia" w:ascii="宋体" w:hAnsi="宋体"/>
          <w:color w:val="auto"/>
          <w:highlight w:val="none"/>
        </w:rPr>
        <w:t>。</w:t>
      </w:r>
    </w:p>
    <w:p w14:paraId="20D6434A">
      <w:pPr>
        <w:spacing w:line="510" w:lineRule="exact"/>
        <w:ind w:firstLine="420" w:firstLineChars="200"/>
        <w:jc w:val="left"/>
        <w:rPr>
          <w:color w:val="auto"/>
          <w:szCs w:val="21"/>
        </w:rPr>
      </w:pPr>
      <w:r>
        <w:rPr>
          <w:rFonts w:hint="eastAsia" w:ascii="宋体" w:hAnsi="宋体"/>
          <w:color w:val="auto"/>
          <w:highlight w:val="none"/>
        </w:rPr>
        <w:t>3.2.1</w:t>
      </w:r>
      <w:r>
        <w:rPr>
          <w:rFonts w:hint="eastAsia" w:ascii="宋体" w:hAnsi="宋体"/>
          <w:color w:val="auto"/>
          <w:highlight w:val="none"/>
          <w:lang w:val="en-US" w:eastAsia="zh-CN"/>
        </w:rPr>
        <w:t>6</w:t>
      </w:r>
      <w:r>
        <w:rPr>
          <w:rFonts w:hint="eastAsia" w:ascii="宋体" w:hAnsi="宋体"/>
          <w:color w:val="auto"/>
          <w:szCs w:val="21"/>
        </w:rPr>
        <w:t>主材所报材料要选用国标，符合国家标准。在施工过程中一经发现使用贴牌、伪造、假冒材料或设备的，责令其限期整改直到合格，并视情节轻重处罚金5</w:t>
      </w:r>
      <w:r>
        <w:rPr>
          <w:rFonts w:ascii="宋体" w:hAnsi="宋体"/>
          <w:color w:val="auto"/>
          <w:szCs w:val="21"/>
        </w:rPr>
        <w:t>—</w:t>
      </w:r>
      <w:r>
        <w:rPr>
          <w:rFonts w:hint="eastAsia" w:ascii="宋体" w:hAnsi="宋体"/>
          <w:color w:val="auto"/>
          <w:szCs w:val="21"/>
        </w:rPr>
        <w:t>20万元，造成严重后果的追究法律责任。</w:t>
      </w:r>
    </w:p>
    <w:p w14:paraId="4D7ED0FE">
      <w:pPr>
        <w:spacing w:line="510" w:lineRule="exact"/>
        <w:ind w:firstLine="420" w:firstLineChars="200"/>
        <w:rPr>
          <w:rFonts w:hint="eastAsia" w:ascii="宋体" w:hAnsi="宋体"/>
          <w:color w:val="auto"/>
          <w:szCs w:val="21"/>
        </w:rPr>
      </w:pPr>
      <w:r>
        <w:rPr>
          <w:rFonts w:hint="eastAsia" w:ascii="宋体" w:hAnsi="宋体"/>
          <w:color w:val="auto"/>
          <w:highlight w:val="none"/>
        </w:rPr>
        <w:t>3.2.1</w:t>
      </w:r>
      <w:r>
        <w:rPr>
          <w:rFonts w:hint="eastAsia" w:ascii="宋体" w:hAnsi="宋体"/>
          <w:color w:val="auto"/>
          <w:highlight w:val="none"/>
          <w:lang w:val="en-US" w:eastAsia="zh-CN"/>
        </w:rPr>
        <w:t>7</w:t>
      </w:r>
      <w:r>
        <w:rPr>
          <w:rFonts w:hint="eastAsia" w:ascii="宋体" w:hAnsi="宋体"/>
          <w:color w:val="auto"/>
          <w:szCs w:val="21"/>
        </w:rPr>
        <w:t>中标人自行采购的材料、设备必须由招标人、监理单位及施工单位三方认可（其质量必须符合国家质量验收标准）后方能使用，凡纳入省市备案范围的，必须使用备案产品。</w:t>
      </w:r>
    </w:p>
    <w:p w14:paraId="5B258CF3">
      <w:pPr>
        <w:pStyle w:val="5"/>
        <w:spacing w:line="480" w:lineRule="exact"/>
        <w:ind w:firstLine="118"/>
        <w:rPr>
          <w:rFonts w:ascii="Times New Roman" w:hAnsi="Times New Roman"/>
          <w:color w:val="auto"/>
          <w:sz w:val="24"/>
          <w:szCs w:val="18"/>
        </w:rPr>
      </w:pPr>
      <w:bookmarkStart w:id="68" w:name="_Toc534190097"/>
      <w:r>
        <w:rPr>
          <w:rFonts w:ascii="Times New Roman" w:hAnsi="Times New Roman"/>
          <w:color w:val="auto"/>
          <w:sz w:val="24"/>
          <w:szCs w:val="18"/>
        </w:rPr>
        <w:t>3.3 投标有效期</w:t>
      </w:r>
      <w:bookmarkEnd w:id="68"/>
    </w:p>
    <w:p w14:paraId="111417F1">
      <w:pPr>
        <w:spacing w:line="480" w:lineRule="exact"/>
        <w:ind w:firstLine="440" w:firstLineChars="200"/>
        <w:rPr>
          <w:rFonts w:ascii="Times New Roman" w:hAnsi="Times New Roman"/>
          <w:color w:val="auto"/>
          <w:sz w:val="22"/>
        </w:rPr>
      </w:pPr>
      <w:r>
        <w:rPr>
          <w:rFonts w:ascii="Times New Roman" w:hAnsi="Times New Roman"/>
          <w:color w:val="auto"/>
          <w:sz w:val="22"/>
        </w:rPr>
        <w:t>3.3.1 除投标人须知前附表另有规定外，投标有效期为90</w:t>
      </w:r>
      <w:r>
        <w:rPr>
          <w:rFonts w:hint="eastAsia" w:ascii="Times New Roman" w:hAnsi="Times New Roman"/>
          <w:color w:val="auto"/>
          <w:sz w:val="22"/>
        </w:rPr>
        <w:t>日历</w:t>
      </w:r>
      <w:r>
        <w:rPr>
          <w:rFonts w:ascii="Times New Roman" w:hAnsi="Times New Roman"/>
          <w:color w:val="auto"/>
          <w:sz w:val="22"/>
        </w:rPr>
        <w:t>天。</w:t>
      </w:r>
    </w:p>
    <w:p w14:paraId="362973B1">
      <w:pPr>
        <w:spacing w:line="480" w:lineRule="exact"/>
        <w:ind w:firstLine="440" w:firstLineChars="200"/>
        <w:rPr>
          <w:rFonts w:ascii="Times New Roman" w:hAnsi="Times New Roman"/>
          <w:color w:val="auto"/>
          <w:sz w:val="22"/>
        </w:rPr>
      </w:pPr>
      <w:r>
        <w:rPr>
          <w:rFonts w:ascii="Times New Roman" w:hAnsi="Times New Roman"/>
          <w:color w:val="auto"/>
          <w:sz w:val="22"/>
        </w:rPr>
        <w:t>3.3.2 在投标有效期内，投标人撤销投标文件的，应承担招标文件和法律规定的责任。</w:t>
      </w:r>
    </w:p>
    <w:p w14:paraId="0F1CC920">
      <w:pPr>
        <w:spacing w:line="480" w:lineRule="exact"/>
        <w:ind w:firstLine="440" w:firstLineChars="200"/>
        <w:rPr>
          <w:rFonts w:ascii="Times New Roman" w:hAnsi="Times New Roman"/>
          <w:color w:val="auto"/>
          <w:sz w:val="22"/>
        </w:rPr>
      </w:pPr>
      <w:r>
        <w:rPr>
          <w:rFonts w:ascii="Times New Roman" w:hAnsi="Times New Roman"/>
          <w:color w:val="auto"/>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bookmarkStart w:id="69" w:name="_Toc534190098"/>
    </w:p>
    <w:bookmarkEnd w:id="69"/>
    <w:p w14:paraId="27EB540A">
      <w:pPr>
        <w:pStyle w:val="5"/>
        <w:spacing w:line="480" w:lineRule="exact"/>
        <w:ind w:firstLine="118"/>
        <w:rPr>
          <w:rFonts w:ascii="Times New Roman" w:hAnsi="Times New Roman"/>
          <w:color w:val="auto"/>
          <w:sz w:val="24"/>
          <w:szCs w:val="18"/>
        </w:rPr>
      </w:pPr>
      <w:bookmarkStart w:id="70" w:name="_Toc534190099"/>
      <w:r>
        <w:rPr>
          <w:rFonts w:ascii="Times New Roman" w:hAnsi="Times New Roman"/>
          <w:color w:val="auto"/>
          <w:sz w:val="24"/>
          <w:szCs w:val="18"/>
        </w:rPr>
        <w:t>3.5 资格审查资料</w:t>
      </w:r>
      <w:bookmarkEnd w:id="70"/>
    </w:p>
    <w:p w14:paraId="6F89A8D3">
      <w:pPr>
        <w:tabs>
          <w:tab w:val="left" w:pos="1536"/>
        </w:tabs>
        <w:autoSpaceDE w:val="0"/>
        <w:autoSpaceDN w:val="0"/>
        <w:spacing w:before="31" w:beforeLines="10" w:after="31" w:afterLines="10" w:line="360" w:lineRule="auto"/>
        <w:ind w:firstLine="440" w:firstLineChars="200"/>
        <w:rPr>
          <w:rFonts w:ascii="Times New Roman" w:hAnsi="Times New Roman"/>
          <w:color w:val="auto"/>
          <w:sz w:val="22"/>
        </w:rPr>
      </w:pPr>
      <w:bookmarkStart w:id="71" w:name="_Toc534190100"/>
      <w:r>
        <w:rPr>
          <w:rFonts w:hint="eastAsia" w:ascii="宋体" w:hAnsi="宋体"/>
          <w:color w:val="auto"/>
          <w:sz w:val="22"/>
        </w:rPr>
        <w:t>投标人在编制投标文件时，应按招标文件提供资料，以证实其各项资格条件满足资格审查的要求，</w:t>
      </w:r>
      <w:r>
        <w:rPr>
          <w:rFonts w:hint="eastAsia" w:ascii="宋体" w:hAnsi="宋体" w:cs="宋体"/>
          <w:color w:val="auto"/>
          <w:sz w:val="22"/>
        </w:rPr>
        <w:t>具备承担本工程施工的资质条件、能力和信誉</w:t>
      </w:r>
      <w:r>
        <w:rPr>
          <w:rFonts w:hint="eastAsia" w:ascii="宋体" w:hAnsi="宋体"/>
          <w:color w:val="auto"/>
          <w:sz w:val="22"/>
        </w:rPr>
        <w:t>。</w:t>
      </w:r>
      <w:r>
        <w:rPr>
          <w:rFonts w:hint="eastAsia" w:ascii="宋体" w:hAnsi="宋体" w:cs="宋体"/>
          <w:color w:val="auto"/>
          <w:sz w:val="22"/>
          <w:szCs w:val="21"/>
          <w:lang w:val="zh-CN" w:bidi="zh-CN"/>
        </w:rPr>
        <w:t>在招标过程中，投标人名称发生变更的，必须提供企业所在地工商行政管理部门出具的相关证明，否则其投标将被拒绝；更换投标人的，按无效标处理。</w:t>
      </w:r>
    </w:p>
    <w:p w14:paraId="2FE7079B">
      <w:pPr>
        <w:pStyle w:val="5"/>
        <w:spacing w:line="480" w:lineRule="exact"/>
        <w:ind w:firstLine="118"/>
        <w:rPr>
          <w:rFonts w:ascii="Times New Roman" w:hAnsi="Times New Roman"/>
          <w:color w:val="auto"/>
          <w:sz w:val="24"/>
          <w:szCs w:val="18"/>
        </w:rPr>
      </w:pPr>
      <w:r>
        <w:rPr>
          <w:rFonts w:ascii="Times New Roman" w:hAnsi="Times New Roman"/>
          <w:color w:val="auto"/>
          <w:sz w:val="24"/>
          <w:szCs w:val="18"/>
        </w:rPr>
        <w:t>3.6 备选投标方案</w:t>
      </w:r>
      <w:bookmarkEnd w:id="71"/>
    </w:p>
    <w:p w14:paraId="4D7CCE71">
      <w:pPr>
        <w:spacing w:line="480" w:lineRule="exact"/>
        <w:ind w:firstLine="440" w:firstLineChars="200"/>
        <w:rPr>
          <w:rFonts w:ascii="宋体" w:hAnsi="宋体"/>
          <w:bCs/>
          <w:color w:val="auto"/>
          <w:sz w:val="22"/>
        </w:rPr>
      </w:pPr>
      <w:bookmarkStart w:id="72" w:name="_Toc534190101"/>
      <w:r>
        <w:rPr>
          <w:rFonts w:hint="eastAsia" w:ascii="宋体" w:hAnsi="宋体"/>
          <w:bCs/>
          <w:color w:val="auto"/>
          <w:sz w:val="22"/>
        </w:rPr>
        <w:t>除投标人须知前附表另有规定外，投标人不得递交备选投标方案。</w:t>
      </w:r>
    </w:p>
    <w:p w14:paraId="1D9EFA47">
      <w:pPr>
        <w:pStyle w:val="5"/>
        <w:spacing w:line="480" w:lineRule="exact"/>
        <w:ind w:firstLine="118"/>
        <w:rPr>
          <w:rFonts w:ascii="Times New Roman" w:hAnsi="Times New Roman"/>
          <w:color w:val="auto"/>
          <w:sz w:val="24"/>
          <w:szCs w:val="18"/>
        </w:rPr>
      </w:pPr>
      <w:r>
        <w:rPr>
          <w:rFonts w:ascii="Times New Roman" w:hAnsi="Times New Roman"/>
          <w:color w:val="auto"/>
          <w:sz w:val="24"/>
          <w:szCs w:val="18"/>
        </w:rPr>
        <w:t>3.7 投标文件的编制</w:t>
      </w:r>
      <w:bookmarkEnd w:id="72"/>
    </w:p>
    <w:p w14:paraId="1F472E88">
      <w:pPr>
        <w:spacing w:line="480" w:lineRule="exact"/>
        <w:ind w:firstLine="440" w:firstLineChars="200"/>
        <w:rPr>
          <w:rFonts w:ascii="Times New Roman" w:hAnsi="Times New Roman"/>
          <w:color w:val="auto"/>
          <w:sz w:val="22"/>
        </w:rPr>
      </w:pPr>
      <w:r>
        <w:rPr>
          <w:rFonts w:ascii="Times New Roman" w:hAnsi="Times New Roman"/>
          <w:color w:val="auto"/>
          <w:sz w:val="22"/>
        </w:rPr>
        <w:t>3.7.1 投标文件应按第</w:t>
      </w:r>
      <w:r>
        <w:rPr>
          <w:rFonts w:hint="eastAsia" w:ascii="Times New Roman" w:hAnsi="Times New Roman"/>
          <w:color w:val="auto"/>
          <w:sz w:val="22"/>
        </w:rPr>
        <w:t>八</w:t>
      </w:r>
      <w:r>
        <w:rPr>
          <w:rFonts w:ascii="Times New Roman" w:hAnsi="Times New Roman"/>
          <w:color w:val="auto"/>
          <w:sz w:val="22"/>
        </w:rPr>
        <w:t>章“投标文件格式”进行编写，如有必要，可以增加附页，作为投标文件的组成部分。</w:t>
      </w:r>
    </w:p>
    <w:p w14:paraId="011F2DFC">
      <w:pPr>
        <w:spacing w:line="360" w:lineRule="auto"/>
        <w:ind w:firstLine="440" w:firstLineChars="200"/>
        <w:jc w:val="left"/>
        <w:rPr>
          <w:b/>
          <w:color w:val="auto"/>
        </w:rPr>
      </w:pPr>
      <w:r>
        <w:rPr>
          <w:rFonts w:ascii="Times New Roman" w:hAnsi="Times New Roman"/>
          <w:color w:val="auto"/>
          <w:sz w:val="22"/>
        </w:rPr>
        <w:t xml:space="preserve">3.7.2 </w:t>
      </w:r>
      <w:bookmarkStart w:id="73" w:name="_Toc534190102"/>
      <w:r>
        <w:rPr>
          <w:b/>
          <w:color w:val="auto"/>
        </w:rPr>
        <w:t>投标文件应当对招标文件有关工期、投标有效期、质量要求、技术标准和要求、招标范围、投标文件的编制等实质性内容作出响应。投标文件不响应本招标文件的实质性要求和条件的，其投标将作为无效投标予以否决。</w:t>
      </w:r>
    </w:p>
    <w:p w14:paraId="3D0F615F">
      <w:pPr>
        <w:spacing w:before="1" w:line="521" w:lineRule="exact"/>
        <w:ind w:firstLine="494"/>
        <w:rPr>
          <w:rFonts w:ascii="Times New Roman" w:hAnsi="Times New Roman"/>
          <w:color w:val="auto"/>
          <w:sz w:val="28"/>
          <w:szCs w:val="18"/>
        </w:rPr>
      </w:pPr>
      <w:r>
        <w:rPr>
          <w:rFonts w:ascii="Times New Roman" w:hAnsi="Times New Roman"/>
          <w:color w:val="auto"/>
          <w:sz w:val="28"/>
          <w:szCs w:val="18"/>
        </w:rPr>
        <w:t>4. 投标</w:t>
      </w:r>
      <w:bookmarkEnd w:id="73"/>
      <w:bookmarkStart w:id="74" w:name="_Toc534190103"/>
    </w:p>
    <w:p w14:paraId="36450BAF">
      <w:pPr>
        <w:spacing w:before="1" w:line="521" w:lineRule="exact"/>
        <w:ind w:firstLine="494"/>
        <w:rPr>
          <w:rFonts w:ascii="Times New Roman" w:hAnsi="Times New Roman"/>
          <w:color w:val="auto"/>
          <w:sz w:val="24"/>
          <w:szCs w:val="18"/>
        </w:rPr>
      </w:pPr>
      <w:r>
        <w:rPr>
          <w:rFonts w:ascii="Times New Roman" w:hAnsi="Times New Roman"/>
          <w:color w:val="auto"/>
          <w:sz w:val="24"/>
          <w:szCs w:val="18"/>
        </w:rPr>
        <w:t>4.1 投标文件的</w:t>
      </w:r>
      <w:bookmarkEnd w:id="74"/>
      <w:r>
        <w:rPr>
          <w:rFonts w:hint="eastAsia" w:ascii="Times New Roman" w:hAnsi="Times New Roman"/>
          <w:color w:val="auto"/>
          <w:sz w:val="24"/>
          <w:szCs w:val="18"/>
        </w:rPr>
        <w:t>递交</w:t>
      </w:r>
      <w:bookmarkStart w:id="75" w:name="_Toc534190105"/>
    </w:p>
    <w:p w14:paraId="50CC252A">
      <w:pPr>
        <w:spacing w:line="360" w:lineRule="auto"/>
        <w:ind w:firstLine="440" w:firstLineChars="200"/>
        <w:rPr>
          <w:rFonts w:ascii="宋体" w:hAnsi="宋体" w:cs="宋体"/>
          <w:color w:val="auto"/>
          <w:sz w:val="22"/>
        </w:rPr>
      </w:pPr>
      <w:bookmarkStart w:id="76" w:name="_Toc246996945"/>
      <w:bookmarkStart w:id="77" w:name="_Toc21076"/>
      <w:bookmarkStart w:id="78" w:name="_Toc460423867"/>
      <w:bookmarkStart w:id="79" w:name="_Toc247085716"/>
      <w:bookmarkStart w:id="80" w:name="_Toc246996202"/>
      <w:bookmarkStart w:id="81" w:name="_Toc179632576"/>
      <w:bookmarkStart w:id="82" w:name="_Toc515369032"/>
      <w:bookmarkStart w:id="83" w:name="_Toc493602419"/>
      <w:bookmarkStart w:id="84" w:name="_Toc453949364"/>
      <w:bookmarkStart w:id="85" w:name="_Toc408147763"/>
      <w:bookmarkStart w:id="86" w:name="_Toc493606967"/>
      <w:bookmarkStart w:id="87" w:name="_Toc490842006"/>
      <w:bookmarkStart w:id="88" w:name="_Toc515368945"/>
      <w:bookmarkStart w:id="89" w:name="_Toc460619099"/>
      <w:r>
        <w:rPr>
          <w:rFonts w:hint="eastAsia" w:ascii="宋体" w:hAnsi="宋体" w:cs="宋体"/>
          <w:color w:val="auto"/>
          <w:sz w:val="22"/>
        </w:rPr>
        <w:t>4.1.1投标人应在投标人须知前附表规定的投标截止时间前递交加密文件，在电子招投标交易平台上传。</w:t>
      </w:r>
    </w:p>
    <w:p w14:paraId="7D3509F9">
      <w:pPr>
        <w:spacing w:line="360" w:lineRule="auto"/>
        <w:ind w:firstLine="440" w:firstLineChars="200"/>
        <w:rPr>
          <w:rFonts w:ascii="宋体" w:hAnsi="宋体" w:cs="宋体"/>
          <w:color w:val="auto"/>
          <w:sz w:val="22"/>
        </w:rPr>
      </w:pPr>
      <w:r>
        <w:rPr>
          <w:rFonts w:hint="eastAsia" w:ascii="宋体" w:hAnsi="宋体" w:cs="宋体"/>
          <w:color w:val="auto"/>
          <w:sz w:val="22"/>
        </w:rPr>
        <w:t>4.1.2除投标人须知前附表另有规定外，投标人所递交的投标文件不予退还。</w:t>
      </w:r>
    </w:p>
    <w:p w14:paraId="027057B0">
      <w:pPr>
        <w:spacing w:line="360" w:lineRule="auto"/>
        <w:ind w:firstLine="440" w:firstLineChars="200"/>
        <w:rPr>
          <w:rFonts w:ascii="宋体" w:hAnsi="宋体" w:cs="宋体"/>
          <w:color w:val="auto"/>
          <w:sz w:val="22"/>
        </w:rPr>
      </w:pPr>
      <w:r>
        <w:rPr>
          <w:rFonts w:hint="eastAsia" w:ascii="宋体" w:hAnsi="宋体" w:cs="宋体"/>
          <w:color w:val="auto"/>
          <w:sz w:val="22"/>
        </w:rPr>
        <w:t>注：超过投标文件截止时间，将拒收投标文件；到投标文件截止时间，招标人或招标代理机构收到的投标文件少于3家的，招标人将依法重新组织招标。</w:t>
      </w:r>
    </w:p>
    <w:bookmarkEnd w:id="76"/>
    <w:bookmarkEnd w:id="77"/>
    <w:bookmarkEnd w:id="78"/>
    <w:bookmarkEnd w:id="79"/>
    <w:bookmarkEnd w:id="80"/>
    <w:bookmarkEnd w:id="81"/>
    <w:bookmarkEnd w:id="82"/>
    <w:bookmarkEnd w:id="83"/>
    <w:bookmarkEnd w:id="84"/>
    <w:bookmarkEnd w:id="85"/>
    <w:bookmarkEnd w:id="86"/>
    <w:bookmarkEnd w:id="87"/>
    <w:bookmarkEnd w:id="88"/>
    <w:bookmarkEnd w:id="89"/>
    <w:p w14:paraId="7D632424">
      <w:pPr>
        <w:pStyle w:val="5"/>
        <w:spacing w:line="480" w:lineRule="exact"/>
        <w:ind w:firstLine="118"/>
        <w:rPr>
          <w:rFonts w:ascii="Times New Roman" w:hAnsi="Times New Roman"/>
          <w:color w:val="auto"/>
          <w:sz w:val="24"/>
          <w:szCs w:val="18"/>
        </w:rPr>
      </w:pPr>
      <w:r>
        <w:rPr>
          <w:rFonts w:hint="eastAsia" w:ascii="Times New Roman" w:hAnsi="Times New Roman"/>
          <w:color w:val="auto"/>
          <w:sz w:val="24"/>
          <w:szCs w:val="18"/>
        </w:rPr>
        <w:t>4.2 投标文件的修改与撤回</w:t>
      </w:r>
      <w:bookmarkEnd w:id="75"/>
    </w:p>
    <w:p w14:paraId="70F77561">
      <w:pPr>
        <w:widowControl/>
        <w:spacing w:line="500" w:lineRule="exact"/>
        <w:ind w:firstLine="460" w:firstLineChars="200"/>
        <w:rPr>
          <w:rFonts w:asciiTheme="minorEastAsia" w:hAnsiTheme="minorEastAsia" w:cstheme="minorEastAsia"/>
          <w:color w:val="auto"/>
          <w:spacing w:val="5"/>
          <w:sz w:val="22"/>
          <w:szCs w:val="21"/>
          <w:lang w:bidi="zh-CN"/>
        </w:rPr>
      </w:pPr>
      <w:bookmarkStart w:id="90" w:name="_Toc534190106"/>
      <w:r>
        <w:rPr>
          <w:rFonts w:hint="eastAsia" w:asciiTheme="minorEastAsia" w:hAnsiTheme="minorEastAsia" w:cstheme="minorEastAsia"/>
          <w:color w:val="auto"/>
          <w:spacing w:val="5"/>
          <w:sz w:val="22"/>
          <w:szCs w:val="21"/>
          <w:lang w:bidi="zh-CN"/>
        </w:rPr>
        <w:t>4.2.1投标人在规定的提交投标文件截止时间前，可随时登录赢标电子招标采购交易系统（http://hzsjyzx.cn:50000/#/login）补充、修改、撤回已上传的电子投标文件。需要补充或修改投标文件时，必须先撤回已上传的电子投标文件，修改后重新上传。</w:t>
      </w:r>
    </w:p>
    <w:p w14:paraId="49E0F671">
      <w:pPr>
        <w:widowControl/>
        <w:spacing w:line="500" w:lineRule="exact"/>
        <w:ind w:firstLine="460" w:firstLineChars="200"/>
        <w:rPr>
          <w:rFonts w:asciiTheme="minorEastAsia" w:hAnsiTheme="minorEastAsia" w:cstheme="minorEastAsia"/>
          <w:color w:val="auto"/>
          <w:spacing w:val="5"/>
          <w:sz w:val="22"/>
          <w:szCs w:val="21"/>
          <w:lang w:bidi="zh-CN"/>
        </w:rPr>
      </w:pPr>
      <w:r>
        <w:rPr>
          <w:rFonts w:hint="eastAsia" w:asciiTheme="minorEastAsia" w:hAnsiTheme="minorEastAsia" w:cstheme="minorEastAsia"/>
          <w:color w:val="auto"/>
          <w:spacing w:val="5"/>
          <w:sz w:val="22"/>
          <w:szCs w:val="21"/>
          <w:lang w:bidi="zh-CN"/>
        </w:rPr>
        <w:t>4.2.2重新上传的电子投标文件应按招标文件的规定编制、加密。在投标文件提交截止时间后不能修改、撤回投标文件。</w:t>
      </w:r>
    </w:p>
    <w:p w14:paraId="07446BF0">
      <w:pPr>
        <w:widowControl/>
        <w:spacing w:line="500" w:lineRule="exact"/>
        <w:ind w:firstLine="460" w:firstLineChars="200"/>
        <w:rPr>
          <w:rFonts w:asciiTheme="minorEastAsia" w:hAnsiTheme="minorEastAsia" w:cstheme="minorEastAsia"/>
          <w:color w:val="auto"/>
          <w:spacing w:val="5"/>
          <w:sz w:val="22"/>
          <w:szCs w:val="21"/>
          <w:lang w:bidi="zh-CN"/>
        </w:rPr>
      </w:pPr>
      <w:r>
        <w:rPr>
          <w:rFonts w:hint="eastAsia" w:asciiTheme="minorEastAsia" w:hAnsiTheme="minorEastAsia" w:cstheme="minorEastAsia"/>
          <w:color w:val="auto"/>
          <w:spacing w:val="5"/>
          <w:sz w:val="22"/>
          <w:szCs w:val="21"/>
          <w:lang w:bidi="zh-CN"/>
        </w:rPr>
        <w:t>4.2.3除投标人须知前附表另有规定外，投标人所递交的投标文件不予退还。</w:t>
      </w:r>
    </w:p>
    <w:p w14:paraId="58A23D68">
      <w:pPr>
        <w:pStyle w:val="2"/>
        <w:spacing w:line="480" w:lineRule="exact"/>
        <w:rPr>
          <w:rFonts w:ascii="Times New Roman" w:hAnsi="Times New Roman"/>
          <w:color w:val="auto"/>
          <w:sz w:val="28"/>
          <w:szCs w:val="18"/>
        </w:rPr>
      </w:pPr>
      <w:r>
        <w:rPr>
          <w:rFonts w:hint="eastAsia" w:ascii="Times New Roman" w:hAnsi="Times New Roman"/>
          <w:color w:val="auto"/>
          <w:sz w:val="28"/>
          <w:szCs w:val="18"/>
        </w:rPr>
        <w:t>5</w:t>
      </w:r>
      <w:r>
        <w:rPr>
          <w:rFonts w:ascii="Times New Roman" w:hAnsi="Times New Roman"/>
          <w:color w:val="auto"/>
          <w:sz w:val="28"/>
          <w:szCs w:val="18"/>
        </w:rPr>
        <w:t>. 开标</w:t>
      </w:r>
      <w:bookmarkEnd w:id="90"/>
      <w:bookmarkStart w:id="91" w:name="_Toc29821"/>
      <w:bookmarkStart w:id="92" w:name="_Toc11709974"/>
      <w:bookmarkStart w:id="93" w:name="_Toc534190108"/>
    </w:p>
    <w:p w14:paraId="504E3297">
      <w:pPr>
        <w:widowControl/>
        <w:spacing w:line="500" w:lineRule="exact"/>
        <w:rPr>
          <w:rFonts w:ascii="Times New Roman" w:hAnsi="Times New Roman" w:eastAsia="黑体"/>
          <w:color w:val="auto"/>
          <w:sz w:val="24"/>
          <w:szCs w:val="18"/>
        </w:rPr>
      </w:pPr>
      <w:r>
        <w:rPr>
          <w:rFonts w:hint="eastAsia" w:ascii="Times New Roman" w:hAnsi="Times New Roman" w:eastAsia="黑体"/>
          <w:color w:val="auto"/>
          <w:sz w:val="24"/>
          <w:szCs w:val="18"/>
        </w:rPr>
        <w:t>5.1 开标时间和地点</w:t>
      </w:r>
      <w:bookmarkEnd w:id="91"/>
      <w:bookmarkEnd w:id="92"/>
    </w:p>
    <w:p w14:paraId="0481D2C6">
      <w:pPr>
        <w:tabs>
          <w:tab w:val="left" w:pos="1539"/>
        </w:tabs>
        <w:autoSpaceDE w:val="0"/>
        <w:autoSpaceDN w:val="0"/>
        <w:spacing w:before="31" w:beforeLines="10" w:after="31" w:afterLines="10" w:line="360" w:lineRule="auto"/>
        <w:ind w:right="90" w:firstLine="442" w:firstLineChars="200"/>
        <w:jc w:val="left"/>
        <w:rPr>
          <w:rFonts w:ascii="宋体" w:hAnsi="宋体" w:cs="宋体"/>
          <w:color w:val="auto"/>
          <w:sz w:val="22"/>
        </w:rPr>
      </w:pPr>
      <w:r>
        <w:rPr>
          <w:rFonts w:hint="eastAsia" w:ascii="宋体" w:hAnsi="宋体" w:cs="宋体"/>
          <w:b/>
          <w:bCs/>
          <w:color w:val="auto"/>
          <w:sz w:val="22"/>
        </w:rPr>
        <w:t>招标人在投标人须知前附表规定的开标时间和地点公开开标。</w:t>
      </w:r>
    </w:p>
    <w:p w14:paraId="031E0386">
      <w:pPr>
        <w:pStyle w:val="5"/>
        <w:spacing w:line="480" w:lineRule="exact"/>
        <w:ind w:firstLine="118"/>
        <w:rPr>
          <w:rFonts w:ascii="Times New Roman" w:hAnsi="Times New Roman"/>
          <w:color w:val="auto"/>
          <w:sz w:val="24"/>
          <w:szCs w:val="18"/>
        </w:rPr>
      </w:pPr>
      <w:r>
        <w:rPr>
          <w:rFonts w:hint="eastAsia" w:ascii="Times New Roman" w:hAnsi="Times New Roman"/>
          <w:color w:val="auto"/>
          <w:sz w:val="24"/>
          <w:szCs w:val="18"/>
        </w:rPr>
        <w:t>5.2 开标程序</w:t>
      </w:r>
      <w:bookmarkEnd w:id="93"/>
    </w:p>
    <w:p w14:paraId="1883E156">
      <w:pPr>
        <w:spacing w:line="360" w:lineRule="auto"/>
        <w:ind w:firstLine="440" w:firstLineChars="200"/>
        <w:rPr>
          <w:rFonts w:ascii="宋体" w:hAnsi="宋体" w:cs="宋体"/>
          <w:color w:val="auto"/>
          <w:sz w:val="22"/>
        </w:rPr>
      </w:pPr>
      <w:bookmarkStart w:id="94" w:name="_Toc460619103"/>
      <w:bookmarkStart w:id="95" w:name="_Toc493602423"/>
      <w:bookmarkStart w:id="96" w:name="_Toc490842010"/>
      <w:bookmarkStart w:id="97" w:name="_Toc515369034"/>
      <w:bookmarkStart w:id="98" w:name="_Toc453949368"/>
      <w:bookmarkStart w:id="99" w:name="_Toc408147767"/>
      <w:bookmarkStart w:id="100" w:name="_Toc19402"/>
      <w:bookmarkStart w:id="101" w:name="_Toc460423871"/>
      <w:bookmarkStart w:id="102" w:name="_Toc515368947"/>
      <w:bookmarkStart w:id="103" w:name="_Toc493606971"/>
      <w:bookmarkStart w:id="104" w:name="_Toc534190110"/>
      <w:r>
        <w:rPr>
          <w:rFonts w:hint="eastAsia" w:ascii="宋体" w:hAnsi="宋体" w:cs="宋体"/>
          <w:color w:val="auto"/>
          <w:sz w:val="22"/>
        </w:rPr>
        <w:t>主持人按下列程序进行开标：本项目为全流程电子化招投标，开标方式为不见面开标，具体开标流程及要求详见电子交易平台流程操作。</w:t>
      </w:r>
      <w:bookmarkEnd w:id="94"/>
      <w:bookmarkEnd w:id="95"/>
      <w:bookmarkEnd w:id="96"/>
      <w:bookmarkEnd w:id="97"/>
      <w:bookmarkEnd w:id="98"/>
      <w:bookmarkEnd w:id="99"/>
      <w:bookmarkEnd w:id="100"/>
      <w:bookmarkEnd w:id="101"/>
      <w:bookmarkEnd w:id="102"/>
      <w:bookmarkEnd w:id="103"/>
    </w:p>
    <w:p w14:paraId="6CC3FB19">
      <w:pPr>
        <w:pStyle w:val="2"/>
        <w:spacing w:line="480" w:lineRule="exact"/>
        <w:rPr>
          <w:rFonts w:ascii="Times New Roman" w:hAnsi="Times New Roman"/>
          <w:color w:val="auto"/>
          <w:sz w:val="28"/>
          <w:szCs w:val="18"/>
        </w:rPr>
      </w:pPr>
      <w:r>
        <w:rPr>
          <w:rFonts w:ascii="Times New Roman" w:hAnsi="Times New Roman"/>
          <w:color w:val="auto"/>
          <w:sz w:val="28"/>
          <w:szCs w:val="18"/>
        </w:rPr>
        <w:t>6. 评标</w:t>
      </w:r>
      <w:bookmarkEnd w:id="104"/>
    </w:p>
    <w:p w14:paraId="2B9983ED">
      <w:pPr>
        <w:pStyle w:val="5"/>
        <w:spacing w:line="480" w:lineRule="exact"/>
        <w:ind w:firstLine="118"/>
        <w:rPr>
          <w:rFonts w:ascii="Times New Roman" w:hAnsi="Times New Roman"/>
          <w:color w:val="auto"/>
          <w:sz w:val="24"/>
          <w:szCs w:val="18"/>
        </w:rPr>
      </w:pPr>
      <w:bookmarkStart w:id="105" w:name="_Toc534190111"/>
      <w:r>
        <w:rPr>
          <w:rFonts w:ascii="Times New Roman" w:hAnsi="Times New Roman"/>
          <w:color w:val="auto"/>
          <w:sz w:val="24"/>
          <w:szCs w:val="18"/>
        </w:rPr>
        <w:t>6.1 评标委员会</w:t>
      </w:r>
      <w:bookmarkEnd w:id="105"/>
    </w:p>
    <w:p w14:paraId="595A8266">
      <w:pPr>
        <w:spacing w:line="480" w:lineRule="exact"/>
        <w:ind w:firstLine="440" w:firstLineChars="200"/>
        <w:rPr>
          <w:rFonts w:ascii="Times New Roman" w:hAnsi="Times New Roman"/>
          <w:color w:val="auto"/>
          <w:sz w:val="22"/>
        </w:rPr>
      </w:pPr>
      <w:r>
        <w:rPr>
          <w:rFonts w:ascii="Times New Roman" w:hAnsi="Times New Roman"/>
          <w:color w:val="auto"/>
          <w:sz w:val="22"/>
        </w:rPr>
        <w:t>6.1.1 评标由招标人依法组建的评标委员会负责。评标委员会由招标人以及有关技术、经济等方面的专家组成。评标委员会成员人数以及技术、经济等方面专家的确定方式见投标人须知前附表。</w:t>
      </w:r>
    </w:p>
    <w:p w14:paraId="6FE1B7DF">
      <w:pPr>
        <w:spacing w:line="480" w:lineRule="exact"/>
        <w:ind w:firstLine="440" w:firstLineChars="200"/>
        <w:rPr>
          <w:rFonts w:ascii="Times New Roman" w:hAnsi="Times New Roman"/>
          <w:color w:val="auto"/>
          <w:sz w:val="22"/>
        </w:rPr>
      </w:pPr>
      <w:r>
        <w:rPr>
          <w:rFonts w:ascii="Times New Roman" w:hAnsi="Times New Roman"/>
          <w:color w:val="auto"/>
          <w:sz w:val="22"/>
        </w:rPr>
        <w:t>6.1.2 评标委员会成员有下列情形之一的，应当回避：</w:t>
      </w:r>
    </w:p>
    <w:p w14:paraId="2D96E6F4">
      <w:pPr>
        <w:spacing w:line="480" w:lineRule="exact"/>
        <w:ind w:firstLine="752" w:firstLineChars="342"/>
        <w:rPr>
          <w:rFonts w:ascii="Times New Roman" w:hAnsi="Times New Roman"/>
          <w:color w:val="auto"/>
          <w:sz w:val="22"/>
        </w:rPr>
      </w:pPr>
      <w:r>
        <w:rPr>
          <w:rFonts w:ascii="Times New Roman" w:hAnsi="Times New Roman"/>
          <w:color w:val="auto"/>
          <w:sz w:val="22"/>
        </w:rPr>
        <w:t>（1）投标人或投标人主要负责人的近亲属；</w:t>
      </w:r>
    </w:p>
    <w:p w14:paraId="5BCC7D3F">
      <w:pPr>
        <w:spacing w:line="480" w:lineRule="exact"/>
        <w:ind w:firstLine="752" w:firstLineChars="342"/>
        <w:rPr>
          <w:rFonts w:ascii="Times New Roman" w:hAnsi="Times New Roman"/>
          <w:color w:val="auto"/>
          <w:sz w:val="22"/>
        </w:rPr>
      </w:pPr>
      <w:r>
        <w:rPr>
          <w:rFonts w:ascii="Times New Roman" w:hAnsi="Times New Roman"/>
          <w:color w:val="auto"/>
          <w:sz w:val="22"/>
        </w:rPr>
        <w:t>（2）项目主管部门或者行政监督部门的人员；</w:t>
      </w:r>
    </w:p>
    <w:p w14:paraId="2302E9A4">
      <w:pPr>
        <w:spacing w:line="480" w:lineRule="exact"/>
        <w:ind w:firstLine="752" w:firstLineChars="342"/>
        <w:rPr>
          <w:rFonts w:ascii="Times New Roman" w:hAnsi="Times New Roman"/>
          <w:color w:val="auto"/>
          <w:sz w:val="22"/>
        </w:rPr>
      </w:pPr>
      <w:r>
        <w:rPr>
          <w:rFonts w:ascii="Times New Roman" w:hAnsi="Times New Roman"/>
          <w:color w:val="auto"/>
          <w:sz w:val="22"/>
        </w:rPr>
        <w:t>（3）与投标人有经济利益关系，可能影响对投标公正评审的；</w:t>
      </w:r>
    </w:p>
    <w:p w14:paraId="39C68E44">
      <w:pPr>
        <w:spacing w:line="480" w:lineRule="exact"/>
        <w:ind w:firstLine="752" w:firstLineChars="342"/>
        <w:rPr>
          <w:rFonts w:ascii="Times New Roman" w:hAnsi="Times New Roman"/>
          <w:color w:val="auto"/>
          <w:sz w:val="22"/>
        </w:rPr>
      </w:pPr>
      <w:r>
        <w:rPr>
          <w:rFonts w:ascii="Times New Roman" w:hAnsi="Times New Roman"/>
          <w:color w:val="auto"/>
          <w:sz w:val="22"/>
        </w:rPr>
        <w:t>（4）曾因在招标、评</w:t>
      </w:r>
      <w:bookmarkStart w:id="106" w:name="_Toc300834976"/>
      <w:bookmarkStart w:id="107" w:name="_Toc144974523"/>
      <w:bookmarkStart w:id="108" w:name="_Toc152045555"/>
      <w:bookmarkStart w:id="109" w:name="_Toc361508612"/>
      <w:bookmarkStart w:id="110" w:name="_Toc6230"/>
      <w:bookmarkStart w:id="111" w:name="_Toc384308237"/>
      <w:bookmarkStart w:id="112" w:name="_Toc152042331"/>
      <w:bookmarkStart w:id="113" w:name="_Toc247513979"/>
      <w:bookmarkStart w:id="114" w:name="_Toc352691499"/>
      <w:bookmarkStart w:id="115" w:name="_Toc369531543"/>
      <w:bookmarkStart w:id="116" w:name="_Toc247527580"/>
      <w:r>
        <w:rPr>
          <w:rFonts w:ascii="Times New Roman" w:hAnsi="Times New Roman"/>
          <w:color w:val="auto"/>
          <w:sz w:val="22"/>
        </w:rPr>
        <w:t>标以及其他</w:t>
      </w:r>
      <w:bookmarkEnd w:id="106"/>
      <w:bookmarkEnd w:id="107"/>
      <w:bookmarkEnd w:id="108"/>
      <w:bookmarkEnd w:id="109"/>
      <w:bookmarkEnd w:id="110"/>
      <w:bookmarkEnd w:id="111"/>
      <w:bookmarkEnd w:id="112"/>
      <w:bookmarkEnd w:id="113"/>
      <w:bookmarkEnd w:id="114"/>
      <w:bookmarkEnd w:id="115"/>
      <w:bookmarkEnd w:id="116"/>
      <w:r>
        <w:rPr>
          <w:rFonts w:ascii="Times New Roman" w:hAnsi="Times New Roman"/>
          <w:color w:val="auto"/>
          <w:sz w:val="22"/>
        </w:rPr>
        <w:t>与</w:t>
      </w:r>
      <w:bookmarkStart w:id="117" w:name="_Toc247513980"/>
      <w:bookmarkStart w:id="118" w:name="_Toc300834977"/>
      <w:bookmarkStart w:id="119" w:name="_Toc144974524"/>
      <w:bookmarkStart w:id="120" w:name="_Toc152042332"/>
      <w:bookmarkStart w:id="121" w:name="_Toc17703"/>
      <w:bookmarkStart w:id="122" w:name="_Toc247527581"/>
      <w:bookmarkStart w:id="123" w:name="_Toc152045556"/>
      <w:bookmarkStart w:id="124" w:name="_Toc369531544"/>
      <w:bookmarkStart w:id="125" w:name="_Toc352691500"/>
      <w:bookmarkStart w:id="126" w:name="_Toc384308238"/>
      <w:bookmarkStart w:id="127" w:name="_Toc361508613"/>
      <w:r>
        <w:rPr>
          <w:rFonts w:ascii="Times New Roman" w:hAnsi="Times New Roman"/>
          <w:color w:val="auto"/>
          <w:sz w:val="22"/>
        </w:rPr>
        <w:t>招标投标有关活动中从事违法行</w:t>
      </w:r>
      <w:bookmarkEnd w:id="117"/>
      <w:bookmarkEnd w:id="118"/>
      <w:bookmarkEnd w:id="119"/>
      <w:bookmarkEnd w:id="120"/>
      <w:bookmarkEnd w:id="121"/>
      <w:bookmarkEnd w:id="122"/>
      <w:bookmarkEnd w:id="123"/>
      <w:bookmarkEnd w:id="124"/>
      <w:bookmarkEnd w:id="125"/>
      <w:bookmarkEnd w:id="126"/>
      <w:bookmarkEnd w:id="127"/>
      <w:r>
        <w:rPr>
          <w:rFonts w:ascii="Times New Roman" w:hAnsi="Times New Roman"/>
          <w:color w:val="auto"/>
          <w:sz w:val="22"/>
        </w:rPr>
        <w:t>为而受过行政处罚或刑事处罚的；</w:t>
      </w:r>
    </w:p>
    <w:p w14:paraId="752E7887">
      <w:pPr>
        <w:spacing w:line="480" w:lineRule="exact"/>
        <w:ind w:firstLine="752" w:firstLineChars="342"/>
        <w:rPr>
          <w:rFonts w:ascii="Times New Roman" w:hAnsi="Times New Roman"/>
          <w:color w:val="auto"/>
          <w:sz w:val="22"/>
        </w:rPr>
      </w:pPr>
      <w:r>
        <w:rPr>
          <w:rFonts w:ascii="Times New Roman" w:hAnsi="Times New Roman"/>
          <w:color w:val="auto"/>
          <w:sz w:val="22"/>
        </w:rPr>
        <w:t>（</w:t>
      </w:r>
      <w:r>
        <w:rPr>
          <w:rFonts w:hint="eastAsia" w:ascii="Times New Roman" w:hAnsi="Times New Roman"/>
          <w:color w:val="auto"/>
          <w:sz w:val="22"/>
        </w:rPr>
        <w:t>5</w:t>
      </w:r>
      <w:r>
        <w:rPr>
          <w:rFonts w:ascii="Times New Roman" w:hAnsi="Times New Roman"/>
          <w:color w:val="auto"/>
          <w:sz w:val="22"/>
        </w:rPr>
        <w:t>）与投标人有其他利害关系。</w:t>
      </w:r>
    </w:p>
    <w:p w14:paraId="296A4DA7">
      <w:pPr>
        <w:spacing w:line="480" w:lineRule="exact"/>
        <w:ind w:firstLine="440" w:firstLineChars="200"/>
        <w:rPr>
          <w:rFonts w:ascii="Times New Roman" w:hAnsi="Times New Roman"/>
          <w:color w:val="auto"/>
          <w:sz w:val="22"/>
        </w:rPr>
      </w:pPr>
      <w:r>
        <w:rPr>
          <w:rFonts w:ascii="Times New Roman" w:hAnsi="Times New Roman"/>
          <w:color w:val="auto"/>
          <w:sz w:val="22"/>
        </w:rPr>
        <w:t>6.1.3 评标过程中，评标委员会成员有回避事由、擅离职守或者因健康等原因不能继续评标的，招标人有权更换。被更换的评标委员会成员作出的评审结论无效，由更换后的评标委员会成员重新进行评审。</w:t>
      </w:r>
    </w:p>
    <w:p w14:paraId="32BB9DA6">
      <w:pPr>
        <w:pStyle w:val="5"/>
        <w:spacing w:line="480" w:lineRule="exact"/>
        <w:ind w:firstLine="118"/>
        <w:rPr>
          <w:rFonts w:ascii="Times New Roman" w:hAnsi="Times New Roman"/>
          <w:color w:val="auto"/>
          <w:sz w:val="24"/>
          <w:szCs w:val="18"/>
        </w:rPr>
      </w:pPr>
      <w:bookmarkStart w:id="128" w:name="_Toc534190112"/>
      <w:r>
        <w:rPr>
          <w:rFonts w:ascii="Times New Roman" w:hAnsi="Times New Roman"/>
          <w:color w:val="auto"/>
          <w:sz w:val="24"/>
          <w:szCs w:val="18"/>
        </w:rPr>
        <w:t>6.2 评标原则</w:t>
      </w:r>
      <w:bookmarkEnd w:id="128"/>
    </w:p>
    <w:p w14:paraId="37C3CC6A">
      <w:pPr>
        <w:spacing w:line="480" w:lineRule="exact"/>
        <w:ind w:firstLine="440" w:firstLineChars="200"/>
        <w:rPr>
          <w:rFonts w:ascii="Times New Roman" w:hAnsi="Times New Roman"/>
          <w:color w:val="auto"/>
          <w:sz w:val="22"/>
        </w:rPr>
      </w:pPr>
      <w:r>
        <w:rPr>
          <w:rFonts w:ascii="Times New Roman" w:hAnsi="Times New Roman"/>
          <w:color w:val="auto"/>
          <w:sz w:val="22"/>
        </w:rPr>
        <w:t>评标活动遵循公平、公正、科学和择优的原</w:t>
      </w:r>
      <w:bookmarkStart w:id="129" w:name="_Toc352691501"/>
      <w:bookmarkStart w:id="130" w:name="_Toc384308239"/>
      <w:bookmarkStart w:id="131" w:name="_Toc361508614"/>
      <w:bookmarkStart w:id="132" w:name="_Toc247527582"/>
      <w:bookmarkStart w:id="133" w:name="_Toc247513981"/>
      <w:bookmarkStart w:id="134" w:name="_Toc144974525"/>
      <w:bookmarkStart w:id="135" w:name="_Toc300834978"/>
      <w:bookmarkStart w:id="136" w:name="_Toc369531545"/>
      <w:bookmarkStart w:id="137" w:name="_Toc18949"/>
      <w:bookmarkStart w:id="138" w:name="_Toc152045557"/>
      <w:bookmarkStart w:id="139" w:name="_Toc152042333"/>
      <w:r>
        <w:rPr>
          <w:rFonts w:ascii="Times New Roman" w:hAnsi="Times New Roman"/>
          <w:color w:val="auto"/>
          <w:sz w:val="22"/>
        </w:rPr>
        <w:t>则。</w:t>
      </w:r>
    </w:p>
    <w:p w14:paraId="4529A824">
      <w:pPr>
        <w:pStyle w:val="5"/>
        <w:spacing w:line="480" w:lineRule="exact"/>
        <w:ind w:firstLine="118"/>
        <w:rPr>
          <w:rFonts w:ascii="Times New Roman" w:hAnsi="Times New Roman"/>
          <w:color w:val="auto"/>
          <w:sz w:val="24"/>
          <w:szCs w:val="18"/>
        </w:rPr>
      </w:pPr>
      <w:bookmarkStart w:id="140" w:name="_Toc534190113"/>
      <w:r>
        <w:rPr>
          <w:rFonts w:ascii="Times New Roman" w:hAnsi="Times New Roman"/>
          <w:color w:val="auto"/>
          <w:sz w:val="24"/>
          <w:szCs w:val="18"/>
        </w:rPr>
        <w:t>6.3 评标</w:t>
      </w:r>
      <w:bookmarkEnd w:id="140"/>
    </w:p>
    <w:bookmarkEnd w:id="129"/>
    <w:bookmarkEnd w:id="130"/>
    <w:bookmarkEnd w:id="131"/>
    <w:bookmarkEnd w:id="132"/>
    <w:bookmarkEnd w:id="133"/>
    <w:bookmarkEnd w:id="134"/>
    <w:bookmarkEnd w:id="135"/>
    <w:bookmarkEnd w:id="136"/>
    <w:bookmarkEnd w:id="137"/>
    <w:bookmarkEnd w:id="138"/>
    <w:bookmarkEnd w:id="139"/>
    <w:p w14:paraId="7DE8FA72">
      <w:pPr>
        <w:spacing w:line="480" w:lineRule="exact"/>
        <w:ind w:firstLine="440" w:firstLineChars="200"/>
        <w:rPr>
          <w:rFonts w:ascii="Times New Roman" w:hAnsi="Times New Roman"/>
          <w:color w:val="auto"/>
          <w:sz w:val="22"/>
        </w:rPr>
      </w:pPr>
      <w:r>
        <w:rPr>
          <w:rFonts w:hint="eastAsia" w:ascii="Times New Roman" w:hAnsi="Times New Roman"/>
          <w:color w:val="auto"/>
          <w:sz w:val="22"/>
        </w:rPr>
        <w:t>6.3.1评标委员会按照第三章、第四章“评标及定标办法”规定的方法、评审因素、标准和程序对投标文件进行评审。第三章第四章“评标及定标办法”没有规定的方法、评审因素和标准，不作为评标依据。</w:t>
      </w:r>
    </w:p>
    <w:p w14:paraId="18D92EF6">
      <w:pPr>
        <w:spacing w:line="480" w:lineRule="exact"/>
        <w:ind w:firstLine="440" w:firstLineChars="200"/>
        <w:rPr>
          <w:rFonts w:ascii="Times New Roman" w:hAnsi="Times New Roman"/>
          <w:color w:val="auto"/>
          <w:sz w:val="22"/>
        </w:rPr>
      </w:pPr>
      <w:r>
        <w:rPr>
          <w:rFonts w:hint="eastAsia" w:ascii="Times New Roman" w:hAnsi="Times New Roman"/>
          <w:color w:val="auto"/>
          <w:sz w:val="22"/>
        </w:rPr>
        <w:t>6.3.2评标完成后，评标委员会应向招标人提交书面评标报告和定标候选人名单。评标委员会推荐定标候选人的数量见投标人须知前附表。</w:t>
      </w:r>
    </w:p>
    <w:p w14:paraId="4B01C172">
      <w:pPr>
        <w:spacing w:line="480" w:lineRule="exact"/>
        <w:ind w:firstLine="440" w:firstLineChars="200"/>
        <w:rPr>
          <w:rFonts w:ascii="Times New Roman" w:hAnsi="Times New Roman"/>
          <w:color w:val="auto"/>
          <w:sz w:val="22"/>
        </w:rPr>
      </w:pPr>
      <w:r>
        <w:rPr>
          <w:rFonts w:hint="eastAsia" w:ascii="Times New Roman" w:hAnsi="Times New Roman"/>
          <w:color w:val="auto"/>
          <w:sz w:val="22"/>
        </w:rPr>
        <w:t>6.3.3评委组长及其他任意1 名评委代表后期须参加项目定标会议，评委组长须在会议现场以书面形式汇报项目评标情况。</w:t>
      </w:r>
    </w:p>
    <w:p w14:paraId="6521CA60">
      <w:pPr>
        <w:spacing w:line="480" w:lineRule="exact"/>
        <w:ind w:firstLine="440" w:firstLineChars="200"/>
        <w:rPr>
          <w:rFonts w:ascii="Times New Roman" w:hAnsi="Times New Roman"/>
          <w:color w:val="auto"/>
          <w:sz w:val="22"/>
        </w:rPr>
      </w:pPr>
      <w:bookmarkStart w:id="141" w:name="_Toc116662749"/>
      <w:r>
        <w:rPr>
          <w:rFonts w:hint="eastAsia" w:ascii="Times New Roman" w:hAnsi="Times New Roman"/>
          <w:color w:val="auto"/>
          <w:sz w:val="22"/>
        </w:rPr>
        <w:t>6.4 定标候选人公示</w:t>
      </w:r>
      <w:bookmarkEnd w:id="141"/>
    </w:p>
    <w:p w14:paraId="34DC31D8">
      <w:pPr>
        <w:spacing w:line="480" w:lineRule="exact"/>
        <w:ind w:firstLine="440" w:firstLineChars="200"/>
        <w:rPr>
          <w:rFonts w:ascii="Times New Roman" w:hAnsi="Times New Roman"/>
          <w:color w:val="auto"/>
          <w:sz w:val="22"/>
        </w:rPr>
      </w:pPr>
      <w:r>
        <w:rPr>
          <w:rFonts w:hint="eastAsia" w:ascii="Times New Roman" w:hAnsi="Times New Roman"/>
          <w:color w:val="auto"/>
          <w:sz w:val="22"/>
        </w:rPr>
        <w:t>招标人在收到评标报告之日起3日内，按照投标人须知前附表规定的公示媒介和期限依法公示定标候选人，公示期不得少于3</w:t>
      </w:r>
      <w:bookmarkStart w:id="142" w:name="_Toc116662750"/>
      <w:r>
        <w:rPr>
          <w:rFonts w:hint="eastAsia" w:ascii="Times New Roman" w:hAnsi="Times New Roman"/>
          <w:color w:val="auto"/>
          <w:sz w:val="22"/>
        </w:rPr>
        <w:t>日。</w:t>
      </w:r>
    </w:p>
    <w:p w14:paraId="6910C40B">
      <w:pPr>
        <w:spacing w:line="480" w:lineRule="exact"/>
        <w:ind w:firstLine="440" w:firstLineChars="200"/>
        <w:rPr>
          <w:rFonts w:ascii="Times New Roman" w:hAnsi="Times New Roman"/>
          <w:color w:val="auto"/>
          <w:sz w:val="22"/>
        </w:rPr>
      </w:pPr>
      <w:r>
        <w:rPr>
          <w:rFonts w:hint="eastAsia" w:ascii="Times New Roman" w:hAnsi="Times New Roman"/>
          <w:color w:val="auto"/>
          <w:sz w:val="22"/>
        </w:rPr>
        <w:t>6.5 评标结果异议</w:t>
      </w:r>
      <w:bookmarkEnd w:id="142"/>
    </w:p>
    <w:p w14:paraId="0E5D2B57">
      <w:pPr>
        <w:spacing w:line="480" w:lineRule="exact"/>
        <w:ind w:firstLine="440" w:firstLineChars="200"/>
        <w:rPr>
          <w:rFonts w:ascii="Times New Roman" w:hAnsi="Times New Roman"/>
          <w:color w:val="auto"/>
          <w:sz w:val="22"/>
        </w:rPr>
      </w:pPr>
      <w:r>
        <w:rPr>
          <w:rFonts w:hint="eastAsia" w:ascii="Times New Roman" w:hAnsi="Times New Roman"/>
          <w:color w:val="auto"/>
          <w:sz w:val="22"/>
        </w:rPr>
        <w:t>投标人或者其他利害关系人对评标结果有异议的，应在定标候选人公示期间通过电子交易系统在线提出或以其他书面形式提出。招标人将在收到异议之日起3日内作出答复；作出答复前，将暂停招标投标活动。</w:t>
      </w:r>
    </w:p>
    <w:p w14:paraId="67A42C92">
      <w:pPr>
        <w:spacing w:line="480" w:lineRule="exact"/>
        <w:ind w:firstLine="440" w:firstLineChars="200"/>
        <w:rPr>
          <w:rFonts w:ascii="Times New Roman" w:hAnsi="Times New Roman"/>
          <w:color w:val="auto"/>
          <w:sz w:val="22"/>
        </w:rPr>
      </w:pPr>
      <w:bookmarkStart w:id="143" w:name="_Toc116662751"/>
      <w:r>
        <w:rPr>
          <w:rFonts w:hint="eastAsia" w:ascii="Times New Roman" w:hAnsi="Times New Roman"/>
          <w:color w:val="auto"/>
          <w:sz w:val="22"/>
        </w:rPr>
        <w:t>6.6 定标候选人履约能力审查</w:t>
      </w:r>
      <w:bookmarkEnd w:id="143"/>
    </w:p>
    <w:p w14:paraId="4BCE6825">
      <w:pPr>
        <w:spacing w:line="480" w:lineRule="exact"/>
        <w:ind w:firstLine="440" w:firstLineChars="200"/>
        <w:rPr>
          <w:rFonts w:ascii="Times New Roman" w:hAnsi="Times New Roman"/>
          <w:color w:val="auto"/>
          <w:sz w:val="22"/>
        </w:rPr>
      </w:pPr>
      <w:r>
        <w:rPr>
          <w:rFonts w:hint="eastAsia" w:ascii="Times New Roman" w:hAnsi="Times New Roman"/>
          <w:color w:val="auto"/>
          <w:sz w:val="22"/>
        </w:rPr>
        <w:t>定标候选人的经营、财务状况发生较大变化或存在违法行为，招标人认为可能影响其履约能力的，将在发出中标通知书前提请原评标委员会按照招标文件规定的标准和方法进行审查确认。</w:t>
      </w:r>
    </w:p>
    <w:p w14:paraId="4DBA7126">
      <w:pPr>
        <w:spacing w:line="480" w:lineRule="exact"/>
        <w:ind w:firstLine="440" w:firstLineChars="200"/>
        <w:rPr>
          <w:rFonts w:ascii="Times New Roman" w:hAnsi="Times New Roman"/>
          <w:color w:val="auto"/>
          <w:sz w:val="22"/>
        </w:rPr>
      </w:pPr>
      <w:r>
        <w:rPr>
          <w:rFonts w:hint="eastAsia" w:ascii="Times New Roman" w:hAnsi="Times New Roman"/>
          <w:color w:val="auto"/>
          <w:sz w:val="22"/>
        </w:rPr>
        <w:t>6.7定标候选人的补足</w:t>
      </w:r>
    </w:p>
    <w:p w14:paraId="5227AF1D">
      <w:pPr>
        <w:spacing w:line="480" w:lineRule="exact"/>
        <w:ind w:firstLine="440" w:firstLineChars="200"/>
        <w:rPr>
          <w:rFonts w:ascii="Times New Roman" w:hAnsi="Times New Roman"/>
          <w:color w:val="auto"/>
          <w:sz w:val="22"/>
        </w:rPr>
      </w:pPr>
      <w:r>
        <w:rPr>
          <w:rFonts w:hint="eastAsia" w:ascii="Times New Roman" w:hAnsi="Times New Roman"/>
          <w:color w:val="auto"/>
          <w:sz w:val="22"/>
        </w:rPr>
        <w:t>公示期间，定标人放弃定标、因不可抗力不能履行合同、不按照招标文件要求提交履约保证金，或者被查实存在影响中标结果的违法行为等情形不符合定标条件，导致有效定标候选人少于规定数量时，招标人根据投标人须知前附表决定是否递补定标候选人。对于递补定标候选人需在相关网站公示不少于3日。</w:t>
      </w:r>
    </w:p>
    <w:p w14:paraId="32E51223">
      <w:pPr>
        <w:pStyle w:val="2"/>
        <w:spacing w:line="480" w:lineRule="exact"/>
        <w:rPr>
          <w:rFonts w:ascii="Times New Roman" w:hAnsi="Times New Roman"/>
          <w:color w:val="auto"/>
          <w:sz w:val="28"/>
          <w:szCs w:val="18"/>
        </w:rPr>
      </w:pPr>
      <w:bookmarkStart w:id="144" w:name="_Toc534190114"/>
      <w:r>
        <w:rPr>
          <w:rFonts w:ascii="Times New Roman" w:hAnsi="Times New Roman"/>
          <w:color w:val="auto"/>
          <w:sz w:val="28"/>
          <w:szCs w:val="18"/>
        </w:rPr>
        <w:t>7. 合同授予</w:t>
      </w:r>
      <w:bookmarkEnd w:id="144"/>
    </w:p>
    <w:p w14:paraId="015A590C">
      <w:pPr>
        <w:pStyle w:val="5"/>
        <w:spacing w:line="480" w:lineRule="exact"/>
        <w:ind w:firstLine="118"/>
        <w:rPr>
          <w:rFonts w:ascii="Times New Roman" w:hAnsi="Times New Roman"/>
          <w:color w:val="auto"/>
          <w:sz w:val="24"/>
          <w:szCs w:val="18"/>
        </w:rPr>
      </w:pPr>
      <w:r>
        <w:rPr>
          <w:rFonts w:hint="eastAsia" w:ascii="Times New Roman" w:hAnsi="Times New Roman"/>
          <w:color w:val="auto"/>
          <w:sz w:val="24"/>
          <w:szCs w:val="18"/>
        </w:rPr>
        <w:t xml:space="preserve">7.1 定标 </w:t>
      </w:r>
    </w:p>
    <w:p w14:paraId="46CA2A5C">
      <w:pPr>
        <w:spacing w:line="440" w:lineRule="exact"/>
        <w:ind w:firstLine="400" w:firstLineChars="200"/>
        <w:jc w:val="left"/>
        <w:rPr>
          <w:rFonts w:ascii="宋体" w:hAnsi="宋体" w:cs="宋体"/>
          <w:color w:val="auto"/>
          <w:spacing w:val="-2"/>
          <w:szCs w:val="21"/>
        </w:rPr>
      </w:pPr>
      <w:r>
        <w:rPr>
          <w:rFonts w:hint="eastAsia"/>
          <w:color w:val="auto"/>
          <w:sz w:val="20"/>
          <w:szCs w:val="21"/>
        </w:rPr>
        <w:t xml:space="preserve"> </w:t>
      </w:r>
      <w:r>
        <w:rPr>
          <w:rFonts w:hint="eastAsia" w:ascii="宋体" w:hAnsi="宋体" w:cs="宋体"/>
          <w:color w:val="auto"/>
          <w:spacing w:val="-2"/>
          <w:szCs w:val="21"/>
        </w:rPr>
        <w:t>按照投标人须知前附表的规定，由招标人依法组建的定标委员会确定中标人。</w:t>
      </w:r>
    </w:p>
    <w:p w14:paraId="20191BC4">
      <w:pPr>
        <w:pStyle w:val="5"/>
        <w:spacing w:line="480" w:lineRule="exact"/>
        <w:ind w:firstLine="118"/>
        <w:rPr>
          <w:rFonts w:ascii="Times New Roman" w:hAnsi="Times New Roman"/>
          <w:color w:val="auto"/>
          <w:sz w:val="24"/>
          <w:szCs w:val="18"/>
        </w:rPr>
      </w:pPr>
      <w:r>
        <w:rPr>
          <w:rFonts w:hint="eastAsia" w:ascii="Times New Roman" w:hAnsi="Times New Roman"/>
          <w:color w:val="auto"/>
          <w:sz w:val="24"/>
          <w:szCs w:val="18"/>
        </w:rPr>
        <w:t>7.2定标委员会组建</w:t>
      </w:r>
    </w:p>
    <w:p w14:paraId="1BCDCDBE">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定标委员会成员一般从定标成员库中产生，定标成员库分为A类库和B类库。</w:t>
      </w:r>
    </w:p>
    <w:p w14:paraId="40087EE7">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A类库成员由下列人员组成：</w:t>
      </w:r>
    </w:p>
    <w:p w14:paraId="289F54FE">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市政府相关负责人；</w:t>
      </w:r>
    </w:p>
    <w:p w14:paraId="5A1F1121">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招标人主要负责人；</w:t>
      </w:r>
    </w:p>
    <w:p w14:paraId="3CF3145D">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相关市政府部门主要负责人；</w:t>
      </w:r>
    </w:p>
    <w:p w14:paraId="00F0A456">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经市政府批准的专业技术人员及其他人员。</w:t>
      </w:r>
    </w:p>
    <w:p w14:paraId="3C1D9897">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B类库成员由下列人员组成：</w:t>
      </w:r>
    </w:p>
    <w:p w14:paraId="158C180F">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（1）招标人的领导班子成员、管理人员；</w:t>
      </w:r>
    </w:p>
    <w:p w14:paraId="6D47E3BC">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（2）招标人主管部门或者系统外相关专业技术人员。</w:t>
      </w:r>
    </w:p>
    <w:p w14:paraId="753FBB9B">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本项目选用定标成员库类别执行投标人须知前附表规定。定标工作由组建的定标委员会负责，定标委员会成员为5人及以上的单数。定标委员会组长负责组织定标等工作，定标委员会成员对所提出的意见承担责任。</w:t>
      </w:r>
    </w:p>
    <w:p w14:paraId="5EC13259">
      <w:pPr>
        <w:pStyle w:val="5"/>
        <w:spacing w:line="480" w:lineRule="exact"/>
        <w:ind w:firstLine="118"/>
        <w:rPr>
          <w:rFonts w:ascii="Times New Roman" w:hAnsi="Times New Roman"/>
          <w:color w:val="auto"/>
          <w:sz w:val="24"/>
          <w:szCs w:val="18"/>
        </w:rPr>
      </w:pPr>
      <w:r>
        <w:rPr>
          <w:rFonts w:hint="eastAsia" w:ascii="Times New Roman" w:hAnsi="Times New Roman"/>
          <w:color w:val="auto"/>
          <w:sz w:val="24"/>
          <w:szCs w:val="18"/>
        </w:rPr>
        <w:t>7.3考察定标候选人情况</w:t>
      </w:r>
    </w:p>
    <w:p w14:paraId="0708859F">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招标人按照投标人须知前附表规定组织对定标候选人的考察。定标会议召开前，由招标人（招标人组建的考察小组）围绕企业履约能力、拟派团队管理能力及水平、履约表现（记录）、是否存在影响中标结果的违法行为、投标报价及价格构成等方面进行考察，重点对定标候选人的合同履行能力特别是履约表现（记录）和风险进行考察并出具考察报告，作为定标委员会择优确定中标人的参考依据。</w:t>
      </w:r>
    </w:p>
    <w:p w14:paraId="7A893E68">
      <w:pPr>
        <w:pStyle w:val="5"/>
        <w:spacing w:line="480" w:lineRule="exact"/>
        <w:ind w:firstLine="118"/>
        <w:rPr>
          <w:rFonts w:ascii="Times New Roman" w:hAnsi="Times New Roman"/>
          <w:color w:val="auto"/>
          <w:sz w:val="24"/>
          <w:szCs w:val="18"/>
        </w:rPr>
      </w:pPr>
      <w:r>
        <w:rPr>
          <w:rFonts w:hint="eastAsia" w:ascii="Times New Roman" w:hAnsi="Times New Roman"/>
          <w:color w:val="auto"/>
          <w:sz w:val="24"/>
          <w:szCs w:val="18"/>
        </w:rPr>
        <w:t>7.4定标方法</w:t>
      </w:r>
    </w:p>
    <w:p w14:paraId="7DBF5238">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 xml:space="preserve">7.4.1 招标人自定标候选人公示结束后3个工作日内组织定标会议（如有异议、投诉的，异议、投诉处理期不计算在此时间内；如招标人组织质询、考察的，质询、考察期不计算在此时间内)。如因招标文件约定及其他特殊原因，定标会议时间可以适当延期，但不得超过投标有效期。招标人定标前组织考察的，原则上应当在中标候选人公示结束后10个工作日内召开。 </w:t>
      </w:r>
    </w:p>
    <w:p w14:paraId="43CA3843">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7.4.2 对社会影响较大的重点工程项目、招投标过程有重大异议或被投诉的项目及其他认为需要的项目，定标会议一般在公共资源交易场所进行。也可在招标人自行选定的具备影音记录条件及封闭保密的环境地点举行。</w:t>
      </w:r>
    </w:p>
    <w:p w14:paraId="50849B96">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7.4.3定标委员会应当按照招标文件约定的定标方式客观、公正定标，确定中标人。具体定标方法详见投标人须知前附表。</w:t>
      </w:r>
    </w:p>
    <w:p w14:paraId="67CDCC44">
      <w:pPr>
        <w:pStyle w:val="495"/>
        <w:ind w:firstLine="412" w:firstLineChars="200"/>
        <w:rPr>
          <w:color w:val="auto"/>
          <w:spacing w:val="-2"/>
          <w:sz w:val="21"/>
          <w:szCs w:val="21"/>
          <w:lang w:val="en-US" w:bidi="ar-SA"/>
        </w:rPr>
      </w:pPr>
      <w:r>
        <w:rPr>
          <w:rFonts w:hint="eastAsia"/>
          <w:color w:val="auto"/>
          <w:spacing w:val="-2"/>
          <w:sz w:val="21"/>
          <w:szCs w:val="21"/>
          <w:lang w:val="en-US" w:bidi="ar-SA"/>
        </w:rPr>
        <w:t>7.4.4是否由定标候选人向定标委员会进行答辩详见投标人须知前附表规定。</w:t>
      </w:r>
    </w:p>
    <w:p w14:paraId="2D2E8969">
      <w:pPr>
        <w:pStyle w:val="5"/>
        <w:spacing w:line="480" w:lineRule="exact"/>
        <w:ind w:firstLine="136"/>
        <w:rPr>
          <w:rFonts w:ascii="Times New Roman" w:hAnsi="Times New Roman"/>
          <w:color w:val="auto"/>
          <w:sz w:val="24"/>
          <w:szCs w:val="18"/>
        </w:rPr>
      </w:pPr>
      <w:r>
        <w:rPr>
          <w:rFonts w:hint="eastAsia" w:ascii="宋体" w:hAnsi="宋体" w:eastAsia="宋体" w:cs="宋体"/>
          <w:b/>
          <w:bCs/>
          <w:color w:val="auto"/>
          <w:spacing w:val="-2"/>
          <w:szCs w:val="21"/>
        </w:rPr>
        <w:t>7.5定标的其他情形</w:t>
      </w:r>
    </w:p>
    <w:p w14:paraId="275E3EF9">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 xml:space="preserve">7.5.1定标委员会确定的中标人出现放弃中标、不按照招标文件要求提交履约保证金、不能履行合同等违法违规情形，招标人可以从余下的定标候选人中重新组织定标活动，或重新组织招标。 </w:t>
      </w:r>
    </w:p>
    <w:p w14:paraId="6D9B5165">
      <w:pPr>
        <w:spacing w:line="440" w:lineRule="exact"/>
        <w:ind w:firstLine="412" w:firstLineChars="200"/>
        <w:jc w:val="left"/>
        <w:rPr>
          <w:rFonts w:ascii="宋体" w:hAnsi="宋体" w:cs="宋体"/>
          <w:color w:val="auto"/>
          <w:spacing w:val="-2"/>
          <w:szCs w:val="21"/>
          <w:u w:val="single"/>
        </w:rPr>
      </w:pPr>
      <w:r>
        <w:rPr>
          <w:rFonts w:hint="eastAsia" w:ascii="宋体" w:hAnsi="宋体" w:cs="宋体"/>
          <w:color w:val="auto"/>
          <w:spacing w:val="-2"/>
          <w:szCs w:val="21"/>
        </w:rPr>
        <w:t>7.5.2 定标候选人公示期间，因异议或投诉导致定标候选人少于招标文件规定的数量时，招标人应当从以下后续处理方式中选择一种，具体为：</w:t>
      </w:r>
      <w:r>
        <w:rPr>
          <w:rFonts w:hint="eastAsia" w:ascii="宋体" w:hAnsi="宋体" w:cs="宋体"/>
          <w:color w:val="auto"/>
          <w:spacing w:val="-2"/>
          <w:szCs w:val="21"/>
          <w:u w:val="single"/>
        </w:rPr>
        <w:t xml:space="preserve"> （1）</w:t>
      </w:r>
    </w:p>
    <w:p w14:paraId="7097EBA2">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（1）继续定标或重新招标；</w:t>
      </w:r>
    </w:p>
    <w:p w14:paraId="284851C9">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 xml:space="preserve">（2）重新评审，补充推荐定标候选人后再定标； </w:t>
      </w:r>
    </w:p>
    <w:p w14:paraId="4048B8BB">
      <w:pPr>
        <w:pStyle w:val="5"/>
        <w:spacing w:line="480" w:lineRule="exact"/>
        <w:ind w:firstLine="136"/>
        <w:rPr>
          <w:rFonts w:ascii="宋体" w:hAnsi="宋体" w:eastAsia="宋体" w:cs="宋体"/>
          <w:b/>
          <w:bCs/>
          <w:color w:val="auto"/>
          <w:spacing w:val="-2"/>
          <w:szCs w:val="21"/>
        </w:rPr>
      </w:pPr>
      <w:bookmarkStart w:id="145" w:name="_Toc116662754"/>
      <w:r>
        <w:rPr>
          <w:rFonts w:hint="eastAsia" w:ascii="宋体" w:hAnsi="宋体" w:eastAsia="宋体" w:cs="宋体"/>
          <w:b/>
          <w:bCs/>
          <w:color w:val="auto"/>
          <w:spacing w:val="-2"/>
          <w:szCs w:val="21"/>
        </w:rPr>
        <w:t>7.6 中标结果公示</w:t>
      </w:r>
      <w:bookmarkEnd w:id="145"/>
    </w:p>
    <w:p w14:paraId="01630A04">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招标人在确定中标人之日起3日内，按照投标人须知前附表规定的公示媒介依法公示中标结果。</w:t>
      </w:r>
    </w:p>
    <w:p w14:paraId="4276BB74">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中标人不得无故放弃中标。若中标人放弃中标、因不可抗力不能履行合同或不按照招标文件要求提交履约保证的，招标人可以在剩余定标候选人中，按照原定标程序和方案，组织原定标委员会重新定标，也可以重新招标。</w:t>
      </w:r>
    </w:p>
    <w:p w14:paraId="0380F808">
      <w:pPr>
        <w:pStyle w:val="5"/>
        <w:spacing w:line="480" w:lineRule="exact"/>
        <w:ind w:firstLine="136"/>
        <w:rPr>
          <w:rFonts w:ascii="宋体" w:hAnsi="宋体" w:eastAsia="宋体" w:cs="宋体"/>
          <w:b/>
          <w:bCs/>
          <w:color w:val="auto"/>
          <w:spacing w:val="-2"/>
          <w:szCs w:val="21"/>
        </w:rPr>
      </w:pPr>
      <w:bookmarkStart w:id="146" w:name="_Toc116662755"/>
      <w:r>
        <w:rPr>
          <w:rFonts w:hint="eastAsia" w:ascii="宋体" w:hAnsi="宋体" w:eastAsia="宋体" w:cs="宋体"/>
          <w:b/>
          <w:bCs/>
          <w:color w:val="auto"/>
          <w:spacing w:val="-2"/>
          <w:szCs w:val="21"/>
        </w:rPr>
        <w:t>7.7 中标通知</w:t>
      </w:r>
      <w:bookmarkEnd w:id="146"/>
    </w:p>
    <w:p w14:paraId="58936348">
      <w:pPr>
        <w:spacing w:line="440" w:lineRule="exact"/>
        <w:ind w:firstLine="412" w:firstLineChars="200"/>
        <w:jc w:val="left"/>
        <w:rPr>
          <w:rFonts w:ascii="宋体" w:hAnsi="宋体" w:cs="宋体"/>
          <w:color w:val="auto"/>
          <w:spacing w:val="-2"/>
          <w:szCs w:val="21"/>
        </w:rPr>
      </w:pPr>
      <w:r>
        <w:rPr>
          <w:rFonts w:hint="eastAsia" w:ascii="宋体" w:hAnsi="宋体" w:cs="宋体"/>
          <w:color w:val="auto"/>
          <w:spacing w:val="-2"/>
          <w:szCs w:val="21"/>
        </w:rPr>
        <w:t>在本章规定的投标有效期内，招标人向中标人发出中标通知书，同时将中标结果通知未中标的投标人（或发布中标结果公示代替中标结果通知）。</w:t>
      </w:r>
    </w:p>
    <w:p w14:paraId="0E669C0F">
      <w:pPr>
        <w:pStyle w:val="5"/>
        <w:spacing w:line="480" w:lineRule="exact"/>
        <w:ind w:firstLine="136"/>
        <w:rPr>
          <w:rFonts w:ascii="宋体" w:hAnsi="宋体" w:eastAsia="宋体" w:cs="宋体"/>
          <w:b/>
          <w:bCs/>
          <w:color w:val="auto"/>
          <w:spacing w:val="-2"/>
          <w:szCs w:val="21"/>
        </w:rPr>
      </w:pPr>
      <w:r>
        <w:rPr>
          <w:rFonts w:hint="eastAsia" w:ascii="宋体" w:hAnsi="宋体" w:eastAsia="宋体" w:cs="宋体"/>
          <w:b/>
          <w:bCs/>
          <w:color w:val="auto"/>
          <w:spacing w:val="-2"/>
          <w:szCs w:val="21"/>
        </w:rPr>
        <w:t>7.8履约担保</w:t>
      </w:r>
    </w:p>
    <w:p w14:paraId="17FACA8A">
      <w:pPr>
        <w:spacing w:line="480" w:lineRule="exact"/>
        <w:ind w:firstLine="420" w:firstLineChars="200"/>
        <w:rPr>
          <w:rFonts w:ascii="Times New Roman" w:hAnsi="Times New Roman"/>
          <w:color w:val="auto"/>
          <w:sz w:val="21"/>
          <w:szCs w:val="21"/>
        </w:rPr>
      </w:pPr>
      <w:r>
        <w:rPr>
          <w:rFonts w:ascii="Times New Roman" w:hAnsi="Times New Roman"/>
          <w:color w:val="auto"/>
          <w:sz w:val="21"/>
          <w:szCs w:val="21"/>
        </w:rPr>
        <w:t xml:space="preserve">7.8.1 </w:t>
      </w:r>
      <w:r>
        <w:rPr>
          <w:rFonts w:hint="eastAsia" w:ascii="Times New Roman" w:hAnsi="Times New Roman"/>
          <w:color w:val="auto"/>
          <w:sz w:val="21"/>
          <w:szCs w:val="21"/>
        </w:rPr>
        <w:t>在签订合同前，</w:t>
      </w:r>
      <w:r>
        <w:rPr>
          <w:rFonts w:ascii="Times New Roman" w:hAnsi="Times New Roman"/>
          <w:color w:val="auto"/>
          <w:sz w:val="21"/>
          <w:szCs w:val="21"/>
        </w:rPr>
        <w:t>中标人应按投标人须知前附表规定的形式、金额和招标文件第</w:t>
      </w:r>
      <w:r>
        <w:rPr>
          <w:rFonts w:hint="eastAsia" w:ascii="Times New Roman" w:hAnsi="Times New Roman"/>
          <w:color w:val="auto"/>
          <w:sz w:val="21"/>
          <w:szCs w:val="21"/>
        </w:rPr>
        <w:t>五</w:t>
      </w:r>
      <w:r>
        <w:rPr>
          <w:rFonts w:ascii="Times New Roman" w:hAnsi="Times New Roman"/>
          <w:color w:val="auto"/>
          <w:sz w:val="21"/>
          <w:szCs w:val="21"/>
        </w:rPr>
        <w:t>章“合同条款及格式”规定的或者事先经过招标人书面认可的履约保证金格式向招标人提交履约保证金。</w:t>
      </w:r>
    </w:p>
    <w:p w14:paraId="45FFADE7">
      <w:pPr>
        <w:spacing w:line="480" w:lineRule="exact"/>
        <w:ind w:firstLine="420" w:firstLineChars="200"/>
        <w:rPr>
          <w:rFonts w:ascii="Times New Roman" w:hAnsi="Times New Roman"/>
          <w:color w:val="auto"/>
          <w:sz w:val="21"/>
          <w:szCs w:val="21"/>
        </w:rPr>
      </w:pPr>
      <w:r>
        <w:rPr>
          <w:rFonts w:ascii="Times New Roman" w:hAnsi="Times New Roman"/>
          <w:color w:val="auto"/>
          <w:sz w:val="21"/>
          <w:szCs w:val="21"/>
        </w:rPr>
        <w:t>7.8.2 中标人不能按本章要求提交履约保证金的，视为放弃中标，其投标保证金不予退还，给招标人造成的损失超过投标保证金数额的，中标人还应当对超过部分予以赔偿。</w:t>
      </w:r>
    </w:p>
    <w:p w14:paraId="41F6E9ED">
      <w:pPr>
        <w:pStyle w:val="151"/>
        <w:ind w:firstLine="440"/>
        <w:rPr>
          <w:color w:val="auto"/>
          <w:sz w:val="21"/>
          <w:szCs w:val="21"/>
        </w:rPr>
      </w:pPr>
      <w:r>
        <w:rPr>
          <w:rFonts w:hint="eastAsia" w:ascii="Times New Roman" w:hAnsi="Times New Roman"/>
          <w:color w:val="auto"/>
          <w:sz w:val="21"/>
          <w:szCs w:val="21"/>
        </w:rPr>
        <w:t>7.</w:t>
      </w:r>
      <w:r>
        <w:rPr>
          <w:rFonts w:ascii="Times New Roman" w:hAnsi="Times New Roman"/>
          <w:color w:val="auto"/>
          <w:sz w:val="21"/>
          <w:szCs w:val="21"/>
        </w:rPr>
        <w:t>8</w:t>
      </w:r>
      <w:r>
        <w:rPr>
          <w:rFonts w:hint="eastAsia" w:ascii="Times New Roman" w:hAnsi="Times New Roman"/>
          <w:color w:val="auto"/>
          <w:sz w:val="21"/>
          <w:szCs w:val="21"/>
        </w:rPr>
        <w:t xml:space="preserve">.3 </w:t>
      </w:r>
      <w:r>
        <w:rPr>
          <w:rFonts w:hint="eastAsia" w:ascii="Times New Roman" w:hAnsi="Times New Roman" w:cs="Times New Roman"/>
          <w:color w:val="auto"/>
          <w:kern w:val="2"/>
          <w:sz w:val="21"/>
          <w:szCs w:val="21"/>
        </w:rPr>
        <w:t>履约保证金的退还：</w:t>
      </w:r>
      <w:r>
        <w:rPr>
          <w:rFonts w:hint="eastAsia" w:eastAsiaTheme="minorEastAsia"/>
          <w:color w:val="auto"/>
          <w:sz w:val="21"/>
          <w:szCs w:val="21"/>
        </w:rPr>
        <w:t>本项目全部完工后一次性无息返还</w:t>
      </w:r>
      <w:r>
        <w:rPr>
          <w:rFonts w:hint="eastAsia"/>
          <w:color w:val="auto"/>
          <w:sz w:val="21"/>
          <w:szCs w:val="21"/>
        </w:rPr>
        <w:t>。</w:t>
      </w:r>
    </w:p>
    <w:p w14:paraId="4013002D">
      <w:pPr>
        <w:pStyle w:val="5"/>
        <w:spacing w:line="480" w:lineRule="exact"/>
        <w:ind w:firstLine="136"/>
        <w:rPr>
          <w:rFonts w:ascii="宋体" w:hAnsi="宋体" w:eastAsia="宋体" w:cs="宋体"/>
          <w:b/>
          <w:bCs/>
          <w:color w:val="auto"/>
          <w:spacing w:val="-2"/>
          <w:szCs w:val="21"/>
        </w:rPr>
      </w:pPr>
      <w:r>
        <w:rPr>
          <w:rFonts w:hint="eastAsia" w:ascii="宋体" w:hAnsi="宋体" w:eastAsia="宋体" w:cs="宋体"/>
          <w:b/>
          <w:bCs/>
          <w:color w:val="auto"/>
          <w:spacing w:val="-2"/>
          <w:szCs w:val="21"/>
        </w:rPr>
        <w:t xml:space="preserve">7.9签订合同  </w:t>
      </w:r>
    </w:p>
    <w:p w14:paraId="221CD8E6">
      <w:pPr>
        <w:pStyle w:val="495"/>
        <w:ind w:firstLine="412" w:firstLineChars="200"/>
        <w:rPr>
          <w:color w:val="auto"/>
          <w:spacing w:val="-2"/>
          <w:sz w:val="21"/>
          <w:szCs w:val="21"/>
          <w:lang w:val="en-US" w:bidi="ar-SA"/>
        </w:rPr>
      </w:pPr>
      <w:r>
        <w:rPr>
          <w:color w:val="auto"/>
          <w:spacing w:val="-2"/>
          <w:sz w:val="21"/>
          <w:szCs w:val="21"/>
          <w:lang w:val="en-US" w:bidi="ar-SA"/>
        </w:rPr>
        <w:t>7.</w:t>
      </w:r>
      <w:r>
        <w:rPr>
          <w:rFonts w:hint="eastAsia"/>
          <w:color w:val="auto"/>
          <w:spacing w:val="-2"/>
          <w:sz w:val="21"/>
          <w:szCs w:val="21"/>
          <w:lang w:val="en-US" w:bidi="ar-SA"/>
        </w:rPr>
        <w:t>9</w:t>
      </w:r>
      <w:r>
        <w:rPr>
          <w:color w:val="auto"/>
          <w:spacing w:val="-2"/>
          <w:sz w:val="21"/>
          <w:szCs w:val="21"/>
          <w:lang w:val="en-US" w:bidi="ar-SA"/>
        </w:rPr>
        <w:t>.1招标人应在</w:t>
      </w:r>
      <w:r>
        <w:rPr>
          <w:rFonts w:hint="eastAsia"/>
          <w:color w:val="auto"/>
          <w:spacing w:val="-2"/>
          <w:sz w:val="21"/>
          <w:szCs w:val="21"/>
          <w:lang w:val="en-US" w:eastAsia="zh-CN" w:bidi="ar-SA"/>
        </w:rPr>
        <w:t>相关规定期限内</w:t>
      </w:r>
      <w:r>
        <w:rPr>
          <w:color w:val="auto"/>
          <w:spacing w:val="-2"/>
          <w:sz w:val="21"/>
          <w:szCs w:val="21"/>
          <w:lang w:val="en-US" w:bidi="ar-SA"/>
        </w:rPr>
        <w:t>按照招标文件和中标人的投标文件订立书面合同。招标完成后，招标人或其委托的代理机构应及时</w:t>
      </w:r>
      <w:r>
        <w:rPr>
          <w:rFonts w:hint="eastAsia"/>
          <w:color w:val="auto"/>
          <w:spacing w:val="-2"/>
          <w:sz w:val="21"/>
          <w:szCs w:val="21"/>
          <w:lang w:val="en-US" w:bidi="ar-SA"/>
        </w:rPr>
        <w:t>向招标人、主管部门等</w:t>
      </w:r>
      <w:r>
        <w:rPr>
          <w:color w:val="auto"/>
          <w:spacing w:val="-2"/>
          <w:sz w:val="21"/>
          <w:szCs w:val="21"/>
          <w:lang w:val="en-US" w:bidi="ar-SA"/>
        </w:rPr>
        <w:t>提交招标投标归档资料。</w:t>
      </w:r>
    </w:p>
    <w:p w14:paraId="27B99597">
      <w:pPr>
        <w:pStyle w:val="495"/>
        <w:ind w:firstLine="412" w:firstLineChars="200"/>
        <w:rPr>
          <w:color w:val="auto"/>
          <w:spacing w:val="-2"/>
          <w:sz w:val="21"/>
          <w:szCs w:val="21"/>
          <w:lang w:val="en-US" w:bidi="ar-SA"/>
        </w:rPr>
      </w:pPr>
      <w:r>
        <w:rPr>
          <w:color w:val="auto"/>
          <w:spacing w:val="-2"/>
          <w:sz w:val="21"/>
          <w:szCs w:val="21"/>
          <w:lang w:val="en-US" w:bidi="ar-SA"/>
        </w:rPr>
        <w:t>7.</w:t>
      </w:r>
      <w:r>
        <w:rPr>
          <w:rFonts w:hint="eastAsia"/>
          <w:color w:val="auto"/>
          <w:spacing w:val="-2"/>
          <w:sz w:val="21"/>
          <w:szCs w:val="21"/>
          <w:lang w:val="en-US" w:bidi="ar-SA"/>
        </w:rPr>
        <w:t>9</w:t>
      </w:r>
      <w:r>
        <w:rPr>
          <w:color w:val="auto"/>
          <w:spacing w:val="-2"/>
          <w:sz w:val="21"/>
          <w:szCs w:val="21"/>
          <w:lang w:val="en-US" w:bidi="ar-SA"/>
        </w:rPr>
        <w:t>.2中标人如不按本招标文件的规定与招标人订立合同，则招标人将取消其中标资格，投标保证金不予退还，给招标人造成的损失超过投标保证金数额的，还应当对超出部分予以赔偿，并依法承担相应的法律责任。</w:t>
      </w:r>
    </w:p>
    <w:p w14:paraId="1366F3E5">
      <w:pPr>
        <w:pStyle w:val="495"/>
        <w:ind w:firstLine="412" w:firstLineChars="200"/>
        <w:rPr>
          <w:color w:val="auto"/>
          <w:spacing w:val="-2"/>
          <w:sz w:val="21"/>
          <w:szCs w:val="21"/>
          <w:lang w:val="en-US" w:bidi="ar-SA"/>
        </w:rPr>
      </w:pPr>
      <w:r>
        <w:rPr>
          <w:color w:val="auto"/>
          <w:spacing w:val="-2"/>
          <w:sz w:val="21"/>
          <w:szCs w:val="21"/>
          <w:lang w:val="en-US" w:bidi="ar-SA"/>
        </w:rPr>
        <w:t>7.</w:t>
      </w:r>
      <w:r>
        <w:rPr>
          <w:rFonts w:hint="eastAsia"/>
          <w:color w:val="auto"/>
          <w:spacing w:val="-2"/>
          <w:sz w:val="21"/>
          <w:szCs w:val="21"/>
          <w:lang w:val="en-US" w:bidi="ar-SA"/>
        </w:rPr>
        <w:t>9</w:t>
      </w:r>
      <w:r>
        <w:rPr>
          <w:color w:val="auto"/>
          <w:spacing w:val="-2"/>
          <w:sz w:val="21"/>
          <w:szCs w:val="21"/>
          <w:lang w:val="en-US" w:bidi="ar-SA"/>
        </w:rPr>
        <w:t>.3发出中标通知书后，招标人无正当理由拒签合同的，招标人向中标人退还投标保证金；给中标人造成损失的，还应当赔偿损失。</w:t>
      </w:r>
    </w:p>
    <w:p w14:paraId="0C5AD194">
      <w:pPr>
        <w:pStyle w:val="495"/>
        <w:ind w:firstLine="412" w:firstLineChars="200"/>
        <w:rPr>
          <w:color w:val="auto"/>
          <w:spacing w:val="-2"/>
          <w:sz w:val="21"/>
          <w:szCs w:val="21"/>
          <w:lang w:val="en-US" w:bidi="ar-SA"/>
        </w:rPr>
      </w:pPr>
      <w:r>
        <w:rPr>
          <w:color w:val="auto"/>
          <w:spacing w:val="-2"/>
          <w:sz w:val="21"/>
          <w:szCs w:val="21"/>
          <w:lang w:val="en-US" w:bidi="ar-SA"/>
        </w:rPr>
        <w:t>7.</w:t>
      </w:r>
      <w:r>
        <w:rPr>
          <w:rFonts w:hint="eastAsia"/>
          <w:color w:val="auto"/>
          <w:spacing w:val="-2"/>
          <w:sz w:val="21"/>
          <w:szCs w:val="21"/>
          <w:lang w:val="en-US" w:bidi="ar-SA"/>
        </w:rPr>
        <w:t>9</w:t>
      </w:r>
      <w:r>
        <w:rPr>
          <w:color w:val="auto"/>
          <w:spacing w:val="-2"/>
          <w:sz w:val="21"/>
          <w:szCs w:val="21"/>
          <w:lang w:val="en-US" w:bidi="ar-SA"/>
        </w:rPr>
        <w:t>.4中标人应当按照合同约定履行义务，完成中标项目施工，不得将中标项目转包或违规分包。否则，将依照相关法律法规进行处理。</w:t>
      </w:r>
    </w:p>
    <w:p w14:paraId="080AE63C">
      <w:pPr>
        <w:spacing w:line="480" w:lineRule="exact"/>
        <w:ind w:firstLine="412" w:firstLineChars="200"/>
        <w:rPr>
          <w:rFonts w:ascii="Times New Roman" w:hAnsi="Times New Roman"/>
          <w:color w:val="auto"/>
          <w:sz w:val="22"/>
        </w:rPr>
      </w:pPr>
      <w:r>
        <w:rPr>
          <w:color w:val="auto"/>
          <w:spacing w:val="-2"/>
          <w:sz w:val="21"/>
          <w:szCs w:val="21"/>
          <w:lang w:val="en-US" w:bidi="ar-SA"/>
        </w:rPr>
        <w:t>7.</w:t>
      </w:r>
      <w:r>
        <w:rPr>
          <w:rFonts w:hint="eastAsia"/>
          <w:color w:val="auto"/>
          <w:spacing w:val="-2"/>
          <w:sz w:val="21"/>
          <w:szCs w:val="21"/>
          <w:lang w:val="en-US" w:bidi="ar-SA"/>
        </w:rPr>
        <w:t>9</w:t>
      </w:r>
      <w:r>
        <w:rPr>
          <w:color w:val="auto"/>
          <w:spacing w:val="-2"/>
          <w:sz w:val="21"/>
          <w:szCs w:val="21"/>
          <w:lang w:val="en-US" w:bidi="ar-SA"/>
        </w:rPr>
        <w:t>.5中标人在投标文件中拟定的项目负责人，未经同意不得任意更换。施工中，招标人认为项目负责人不称职时，可以要求更换项目负责人。</w:t>
      </w:r>
    </w:p>
    <w:p w14:paraId="0F0608EA">
      <w:pPr>
        <w:pStyle w:val="2"/>
        <w:spacing w:line="480" w:lineRule="exact"/>
        <w:rPr>
          <w:rFonts w:ascii="Times New Roman" w:hAnsi="Times New Roman"/>
          <w:color w:val="auto"/>
          <w:sz w:val="28"/>
          <w:szCs w:val="18"/>
        </w:rPr>
      </w:pPr>
      <w:r>
        <w:rPr>
          <w:rFonts w:ascii="Times New Roman" w:hAnsi="Times New Roman"/>
          <w:color w:val="auto"/>
          <w:sz w:val="28"/>
          <w:szCs w:val="18"/>
        </w:rPr>
        <w:t>8.</w:t>
      </w:r>
      <w:r>
        <w:rPr>
          <w:rFonts w:hint="eastAsia" w:ascii="Times New Roman" w:hAnsi="Times New Roman"/>
          <w:color w:val="auto"/>
          <w:sz w:val="28"/>
          <w:szCs w:val="18"/>
        </w:rPr>
        <w:t>重新招标和不再招标</w:t>
      </w:r>
    </w:p>
    <w:p w14:paraId="5A31BA36">
      <w:pPr>
        <w:pStyle w:val="5"/>
        <w:spacing w:line="480" w:lineRule="exact"/>
        <w:ind w:firstLine="118"/>
        <w:rPr>
          <w:rFonts w:ascii="Times New Roman" w:hAnsi="Times New Roman"/>
          <w:color w:val="auto"/>
          <w:sz w:val="24"/>
          <w:szCs w:val="18"/>
        </w:rPr>
      </w:pPr>
      <w:r>
        <w:rPr>
          <w:rFonts w:ascii="Times New Roman" w:hAnsi="Times New Roman"/>
          <w:color w:val="auto"/>
          <w:sz w:val="24"/>
          <w:szCs w:val="18"/>
        </w:rPr>
        <w:t>8.1 重新招标</w:t>
      </w:r>
    </w:p>
    <w:p w14:paraId="61F5B65E">
      <w:pPr>
        <w:spacing w:before="280" w:line="185" w:lineRule="auto"/>
        <w:ind w:firstLine="490"/>
        <w:rPr>
          <w:rFonts w:ascii="宋体" w:hAnsi="宋体" w:cs="宋体"/>
          <w:color w:val="auto"/>
          <w:sz w:val="22"/>
        </w:rPr>
      </w:pPr>
      <w:r>
        <w:rPr>
          <w:rFonts w:ascii="宋体" w:hAnsi="宋体" w:cs="宋体"/>
          <w:color w:val="auto"/>
          <w:spacing w:val="-1"/>
          <w:sz w:val="22"/>
        </w:rPr>
        <w:t>有下列情形之一的，招标人将重新招标：</w:t>
      </w:r>
    </w:p>
    <w:p w14:paraId="75502772">
      <w:pPr>
        <w:spacing w:line="480" w:lineRule="exact"/>
        <w:ind w:firstLine="660" w:firstLineChars="300"/>
        <w:rPr>
          <w:rFonts w:ascii="Times New Roman" w:hAnsi="Times New Roman"/>
          <w:color w:val="auto"/>
          <w:sz w:val="22"/>
        </w:rPr>
      </w:pPr>
      <w:r>
        <w:rPr>
          <w:rFonts w:hint="eastAsia" w:ascii="Times New Roman" w:hAnsi="Times New Roman"/>
          <w:color w:val="auto"/>
          <w:sz w:val="22"/>
        </w:rPr>
        <w:t>（1）</w:t>
      </w:r>
      <w:r>
        <w:rPr>
          <w:rFonts w:ascii="Times New Roman" w:hAnsi="Times New Roman"/>
          <w:color w:val="auto"/>
          <w:sz w:val="22"/>
        </w:rPr>
        <w:t>投标截止时间止，投标人少于 3 个的；</w:t>
      </w:r>
    </w:p>
    <w:p w14:paraId="5E7334C9">
      <w:pPr>
        <w:spacing w:line="480" w:lineRule="exact"/>
        <w:ind w:firstLine="660" w:firstLineChars="300"/>
        <w:rPr>
          <w:rFonts w:ascii="Times New Roman" w:hAnsi="Times New Roman"/>
          <w:color w:val="auto"/>
          <w:sz w:val="22"/>
        </w:rPr>
      </w:pPr>
      <w:r>
        <w:rPr>
          <w:rFonts w:hint="eastAsia" w:ascii="Times New Roman" w:hAnsi="Times New Roman"/>
          <w:color w:val="auto"/>
          <w:sz w:val="22"/>
        </w:rPr>
        <w:t>（2）</w:t>
      </w:r>
      <w:r>
        <w:rPr>
          <w:rFonts w:ascii="Times New Roman" w:hAnsi="Times New Roman"/>
          <w:color w:val="auto"/>
          <w:sz w:val="22"/>
        </w:rPr>
        <w:t>经评标委员会评审后否决所有投标的；</w:t>
      </w:r>
    </w:p>
    <w:p w14:paraId="06116C3B">
      <w:pPr>
        <w:spacing w:line="480" w:lineRule="exact"/>
        <w:ind w:firstLine="660" w:firstLineChars="300"/>
        <w:rPr>
          <w:rFonts w:ascii="Times New Roman" w:hAnsi="Times New Roman"/>
          <w:color w:val="auto"/>
          <w:sz w:val="22"/>
        </w:rPr>
      </w:pPr>
      <w:r>
        <w:rPr>
          <w:rFonts w:hint="eastAsia" w:ascii="Times New Roman" w:hAnsi="Times New Roman"/>
          <w:color w:val="auto"/>
          <w:sz w:val="22"/>
        </w:rPr>
        <w:t>（3）</w:t>
      </w:r>
      <w:r>
        <w:rPr>
          <w:rFonts w:ascii="Times New Roman" w:hAnsi="Times New Roman"/>
          <w:color w:val="auto"/>
          <w:sz w:val="22"/>
        </w:rPr>
        <w:t>经评标委员会评审后有效投标人不足三个的。</w:t>
      </w:r>
    </w:p>
    <w:p w14:paraId="6A8946A3">
      <w:pPr>
        <w:pStyle w:val="5"/>
        <w:spacing w:line="480" w:lineRule="exact"/>
        <w:ind w:firstLine="118"/>
        <w:rPr>
          <w:rFonts w:ascii="Times New Roman" w:hAnsi="Times New Roman"/>
          <w:color w:val="auto"/>
          <w:sz w:val="24"/>
          <w:szCs w:val="18"/>
        </w:rPr>
      </w:pPr>
      <w:r>
        <w:rPr>
          <w:rFonts w:ascii="Times New Roman" w:hAnsi="Times New Roman"/>
          <w:color w:val="auto"/>
          <w:sz w:val="24"/>
          <w:szCs w:val="18"/>
        </w:rPr>
        <w:t>8.2 不再招标</w:t>
      </w:r>
    </w:p>
    <w:p w14:paraId="3CA77E52">
      <w:pPr>
        <w:spacing w:line="480" w:lineRule="exact"/>
        <w:ind w:firstLine="440" w:firstLineChars="200"/>
        <w:rPr>
          <w:rFonts w:ascii="Times New Roman" w:hAnsi="Times New Roman"/>
          <w:color w:val="auto"/>
          <w:sz w:val="22"/>
        </w:rPr>
      </w:pPr>
      <w:r>
        <w:rPr>
          <w:rFonts w:ascii="Times New Roman" w:hAnsi="Times New Roman"/>
          <w:color w:val="auto"/>
          <w:sz w:val="22"/>
        </w:rPr>
        <w:t>重新招标后投标人仍少于 3 个或者所有投标被否决的，属于必须审批或核准的工程建设项目，经原审批或核准部门批准后可不再进行招标。</w:t>
      </w:r>
    </w:p>
    <w:p w14:paraId="7D19BE2F">
      <w:pPr>
        <w:pStyle w:val="2"/>
        <w:spacing w:line="480" w:lineRule="exact"/>
        <w:rPr>
          <w:rFonts w:ascii="Times New Roman" w:hAnsi="Times New Roman"/>
          <w:color w:val="auto"/>
          <w:sz w:val="28"/>
          <w:szCs w:val="18"/>
        </w:rPr>
      </w:pPr>
      <w:bookmarkStart w:id="147" w:name="_Toc361508627"/>
      <w:bookmarkStart w:id="148" w:name="_Toc24067"/>
      <w:bookmarkStart w:id="149" w:name="_Toc384308252"/>
      <w:bookmarkStart w:id="150" w:name="_Toc534190122"/>
      <w:bookmarkStart w:id="151" w:name="_Toc300834991"/>
      <w:bookmarkStart w:id="152" w:name="_Toc247527593"/>
      <w:bookmarkStart w:id="153" w:name="_Toc152042344"/>
      <w:bookmarkStart w:id="154" w:name="_Toc152045568"/>
      <w:bookmarkStart w:id="155" w:name="_Toc247513992"/>
      <w:bookmarkStart w:id="156" w:name="_Toc144974536"/>
      <w:r>
        <w:rPr>
          <w:rFonts w:hint="eastAsia" w:ascii="Times New Roman" w:hAnsi="Times New Roman"/>
          <w:color w:val="auto"/>
          <w:sz w:val="28"/>
          <w:szCs w:val="18"/>
        </w:rPr>
        <w:t>9</w:t>
      </w:r>
      <w:r>
        <w:rPr>
          <w:rFonts w:ascii="Times New Roman" w:hAnsi="Times New Roman"/>
          <w:color w:val="auto"/>
          <w:sz w:val="28"/>
          <w:szCs w:val="18"/>
        </w:rPr>
        <w:t>.</w:t>
      </w:r>
      <w:bookmarkEnd w:id="147"/>
      <w:bookmarkEnd w:id="148"/>
      <w:bookmarkEnd w:id="149"/>
      <w:r>
        <w:rPr>
          <w:rFonts w:ascii="Times New Roman" w:hAnsi="Times New Roman"/>
          <w:color w:val="auto"/>
          <w:sz w:val="28"/>
          <w:szCs w:val="18"/>
        </w:rPr>
        <w:t>纪律和监督</w:t>
      </w:r>
      <w:bookmarkEnd w:id="150"/>
    </w:p>
    <w:p w14:paraId="7A8D8BB4">
      <w:pPr>
        <w:pStyle w:val="5"/>
        <w:spacing w:line="480" w:lineRule="exact"/>
        <w:ind w:firstLine="118"/>
        <w:rPr>
          <w:rFonts w:ascii="Times New Roman" w:hAnsi="Times New Roman"/>
          <w:color w:val="auto"/>
          <w:sz w:val="24"/>
          <w:szCs w:val="18"/>
        </w:rPr>
      </w:pPr>
      <w:bookmarkStart w:id="157" w:name="_Toc534190123"/>
      <w:r>
        <w:rPr>
          <w:rFonts w:hint="eastAsia" w:ascii="Times New Roman" w:hAnsi="Times New Roman"/>
          <w:color w:val="auto"/>
          <w:sz w:val="24"/>
          <w:szCs w:val="18"/>
        </w:rPr>
        <w:t>9</w:t>
      </w:r>
      <w:r>
        <w:rPr>
          <w:rFonts w:ascii="Times New Roman" w:hAnsi="Times New Roman"/>
          <w:color w:val="auto"/>
          <w:sz w:val="24"/>
          <w:szCs w:val="18"/>
        </w:rPr>
        <w:t>.1 对招标人的纪律要求</w:t>
      </w:r>
      <w:bookmarkEnd w:id="157"/>
    </w:p>
    <w:p w14:paraId="5EFE5840">
      <w:pPr>
        <w:spacing w:line="480" w:lineRule="exact"/>
        <w:ind w:firstLine="440" w:firstLineChars="200"/>
        <w:rPr>
          <w:rFonts w:ascii="Times New Roman" w:hAnsi="Times New Roman"/>
          <w:color w:val="auto"/>
          <w:sz w:val="22"/>
        </w:rPr>
      </w:pPr>
      <w:r>
        <w:rPr>
          <w:rFonts w:ascii="Times New Roman" w:hAnsi="Times New Roman"/>
          <w:color w:val="auto"/>
          <w:sz w:val="22"/>
        </w:rPr>
        <w:t>招标人不得泄露招标投标活动中应当保密的情况和资料，不得与投标人串通损害国家利益、社会公共利益或者他人合法权益。</w:t>
      </w:r>
    </w:p>
    <w:p w14:paraId="7FBFB12B">
      <w:pPr>
        <w:pStyle w:val="5"/>
        <w:spacing w:line="480" w:lineRule="exact"/>
        <w:ind w:firstLine="118"/>
        <w:rPr>
          <w:rFonts w:ascii="Times New Roman" w:hAnsi="Times New Roman"/>
          <w:color w:val="auto"/>
          <w:sz w:val="24"/>
          <w:szCs w:val="18"/>
        </w:rPr>
      </w:pPr>
      <w:bookmarkStart w:id="158" w:name="_Toc534190124"/>
      <w:r>
        <w:rPr>
          <w:rFonts w:hint="eastAsia" w:ascii="Times New Roman" w:hAnsi="Times New Roman"/>
          <w:color w:val="auto"/>
          <w:sz w:val="24"/>
          <w:szCs w:val="18"/>
        </w:rPr>
        <w:t>9</w:t>
      </w:r>
      <w:r>
        <w:rPr>
          <w:rFonts w:ascii="Times New Roman" w:hAnsi="Times New Roman"/>
          <w:color w:val="auto"/>
          <w:sz w:val="24"/>
          <w:szCs w:val="18"/>
        </w:rPr>
        <w:t>.2 对投标人的纪律要求</w:t>
      </w:r>
      <w:bookmarkEnd w:id="158"/>
    </w:p>
    <w:p w14:paraId="63908F32">
      <w:pPr>
        <w:spacing w:line="480" w:lineRule="exact"/>
        <w:ind w:firstLine="440" w:firstLineChars="200"/>
        <w:rPr>
          <w:rFonts w:ascii="Times New Roman" w:hAnsi="Times New Roman"/>
          <w:color w:val="auto"/>
          <w:sz w:val="20"/>
          <w:szCs w:val="21"/>
        </w:rPr>
      </w:pPr>
      <w:r>
        <w:rPr>
          <w:rFonts w:ascii="Times New Roman" w:hAnsi="Times New Roman"/>
          <w:color w:val="auto"/>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2EE18942">
      <w:pPr>
        <w:pStyle w:val="5"/>
        <w:spacing w:line="480" w:lineRule="exact"/>
        <w:ind w:firstLine="118"/>
        <w:rPr>
          <w:rFonts w:ascii="Times New Roman" w:hAnsi="Times New Roman"/>
          <w:color w:val="auto"/>
          <w:sz w:val="24"/>
          <w:szCs w:val="18"/>
        </w:rPr>
      </w:pPr>
      <w:bookmarkStart w:id="159" w:name="_Toc534190125"/>
      <w:r>
        <w:rPr>
          <w:rFonts w:hint="eastAsia" w:ascii="Times New Roman" w:hAnsi="Times New Roman"/>
          <w:color w:val="auto"/>
          <w:sz w:val="24"/>
          <w:szCs w:val="18"/>
        </w:rPr>
        <w:t>9</w:t>
      </w:r>
      <w:r>
        <w:rPr>
          <w:rFonts w:ascii="Times New Roman" w:hAnsi="Times New Roman"/>
          <w:color w:val="auto"/>
          <w:sz w:val="24"/>
          <w:szCs w:val="18"/>
        </w:rPr>
        <w:t>.3 对评标委员会成员的纪律要求</w:t>
      </w:r>
      <w:bookmarkEnd w:id="159"/>
    </w:p>
    <w:p w14:paraId="1D1F55AD">
      <w:pPr>
        <w:spacing w:line="480" w:lineRule="exact"/>
        <w:ind w:firstLine="440" w:firstLineChars="200"/>
        <w:rPr>
          <w:rFonts w:ascii="Times New Roman" w:hAnsi="Times New Roman"/>
          <w:color w:val="auto"/>
          <w:sz w:val="22"/>
        </w:rPr>
      </w:pPr>
      <w:r>
        <w:rPr>
          <w:rFonts w:ascii="Times New Roman" w:hAnsi="Times New Roman"/>
          <w:color w:val="auto"/>
          <w:sz w:val="22"/>
        </w:rPr>
        <w:t>评标委员会成员不得收受他人的财物或者其他好处，不得向他人透露对投标文件的评审</w:t>
      </w:r>
      <w:bookmarkStart w:id="160" w:name="_Toc352691515"/>
      <w:bookmarkStart w:id="161" w:name="_Toc13644"/>
      <w:bookmarkStart w:id="162" w:name="_Toc361508628"/>
      <w:bookmarkStart w:id="163" w:name="_Toc384308253"/>
      <w:bookmarkStart w:id="164" w:name="_Toc369531559"/>
      <w:r>
        <w:rPr>
          <w:rFonts w:ascii="Times New Roman" w:hAnsi="Times New Roman"/>
          <w:color w:val="auto"/>
          <w:sz w:val="22"/>
        </w:rPr>
        <w:t>和比较、中标候选人</w:t>
      </w:r>
      <w:bookmarkEnd w:id="151"/>
      <w:bookmarkEnd w:id="152"/>
      <w:bookmarkEnd w:id="153"/>
      <w:bookmarkEnd w:id="154"/>
      <w:bookmarkEnd w:id="155"/>
      <w:bookmarkEnd w:id="156"/>
      <w:bookmarkEnd w:id="160"/>
      <w:bookmarkEnd w:id="161"/>
      <w:bookmarkEnd w:id="162"/>
      <w:bookmarkEnd w:id="163"/>
      <w:bookmarkEnd w:id="164"/>
      <w:r>
        <w:rPr>
          <w:rFonts w:ascii="Times New Roman" w:hAnsi="Times New Roman"/>
          <w:color w:val="auto"/>
          <w:sz w:val="22"/>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88AB5F2">
      <w:pPr>
        <w:pStyle w:val="5"/>
        <w:spacing w:line="480" w:lineRule="exact"/>
        <w:ind w:firstLine="118"/>
        <w:rPr>
          <w:rFonts w:ascii="Times New Roman" w:hAnsi="Times New Roman"/>
          <w:color w:val="auto"/>
          <w:sz w:val="24"/>
          <w:szCs w:val="18"/>
        </w:rPr>
      </w:pPr>
      <w:bookmarkStart w:id="165" w:name="_Toc534190126"/>
      <w:r>
        <w:rPr>
          <w:rFonts w:hint="eastAsia" w:ascii="Times New Roman" w:hAnsi="Times New Roman"/>
          <w:color w:val="auto"/>
          <w:sz w:val="24"/>
          <w:szCs w:val="18"/>
        </w:rPr>
        <w:t>9</w:t>
      </w:r>
      <w:r>
        <w:rPr>
          <w:rFonts w:ascii="Times New Roman" w:hAnsi="Times New Roman"/>
          <w:color w:val="auto"/>
          <w:sz w:val="24"/>
          <w:szCs w:val="18"/>
        </w:rPr>
        <w:t>.4 对与评标活动有关的工作人员的纪律要求</w:t>
      </w:r>
      <w:bookmarkEnd w:id="165"/>
    </w:p>
    <w:p w14:paraId="3FC0F180">
      <w:pPr>
        <w:spacing w:line="480" w:lineRule="exact"/>
        <w:ind w:firstLine="440" w:firstLineChars="200"/>
        <w:rPr>
          <w:rFonts w:ascii="Times New Roman" w:hAnsi="Times New Roman"/>
          <w:color w:val="auto"/>
          <w:sz w:val="22"/>
        </w:rPr>
      </w:pPr>
      <w:r>
        <w:rPr>
          <w:rFonts w:ascii="Times New Roman" w:hAnsi="Times New Roman"/>
          <w:color w:val="auto"/>
          <w:sz w:val="22"/>
        </w:rPr>
        <w:t>与评标活动有关的工作人员不得收受他人的财物或者其他好处，不得向他人透露对投标文件</w:t>
      </w:r>
      <w:bookmarkStart w:id="166" w:name="_Toc19429"/>
      <w:bookmarkStart w:id="167" w:name="_Toc300834992"/>
      <w:bookmarkStart w:id="168" w:name="_Toc369531560"/>
      <w:bookmarkStart w:id="169" w:name="_Toc152045569"/>
      <w:bookmarkStart w:id="170" w:name="_Toc361508629"/>
      <w:bookmarkStart w:id="171" w:name="_Toc247513993"/>
      <w:bookmarkStart w:id="172" w:name="_Toc152042345"/>
      <w:bookmarkStart w:id="173" w:name="_Toc384308254"/>
      <w:bookmarkStart w:id="174" w:name="_Toc144974537"/>
      <w:bookmarkStart w:id="175" w:name="_Toc352691516"/>
      <w:bookmarkStart w:id="176" w:name="_Toc247527594"/>
      <w:r>
        <w:rPr>
          <w:rFonts w:ascii="Times New Roman" w:hAnsi="Times New Roman"/>
          <w:color w:val="auto"/>
          <w:sz w:val="22"/>
        </w:rPr>
        <w:t>的评审和比较、中标</w:t>
      </w:r>
      <w:bookmarkEnd w:id="166"/>
      <w:bookmarkEnd w:id="167"/>
      <w:bookmarkEnd w:id="168"/>
      <w:bookmarkEnd w:id="169"/>
      <w:bookmarkEnd w:id="170"/>
      <w:bookmarkEnd w:id="171"/>
      <w:bookmarkEnd w:id="172"/>
      <w:bookmarkEnd w:id="173"/>
      <w:bookmarkEnd w:id="174"/>
      <w:bookmarkEnd w:id="175"/>
      <w:bookmarkEnd w:id="176"/>
      <w:r>
        <w:rPr>
          <w:rFonts w:ascii="Times New Roman" w:hAnsi="Times New Roman"/>
          <w:color w:val="auto"/>
          <w:sz w:val="22"/>
        </w:rPr>
        <w:t>候选人的推荐情况以及评标有关的其他情况。在评标活动中，与评标活动有关的工作人员不得擅离职守，影响评标程序正常进行。</w:t>
      </w:r>
    </w:p>
    <w:p w14:paraId="08B32A0B">
      <w:pPr>
        <w:pStyle w:val="5"/>
        <w:spacing w:line="480" w:lineRule="exact"/>
        <w:ind w:firstLine="118"/>
        <w:rPr>
          <w:rFonts w:ascii="Times New Roman" w:hAnsi="Times New Roman"/>
          <w:color w:val="auto"/>
          <w:sz w:val="24"/>
          <w:szCs w:val="18"/>
        </w:rPr>
      </w:pPr>
      <w:bookmarkStart w:id="177" w:name="_Toc534190127"/>
      <w:r>
        <w:rPr>
          <w:rFonts w:hint="eastAsia" w:ascii="Times New Roman" w:hAnsi="Times New Roman"/>
          <w:color w:val="auto"/>
          <w:sz w:val="24"/>
          <w:szCs w:val="18"/>
        </w:rPr>
        <w:t>9</w:t>
      </w:r>
      <w:r>
        <w:rPr>
          <w:rFonts w:ascii="Times New Roman" w:hAnsi="Times New Roman"/>
          <w:color w:val="auto"/>
          <w:sz w:val="24"/>
          <w:szCs w:val="18"/>
        </w:rPr>
        <w:t xml:space="preserve">.5 </w:t>
      </w:r>
      <w:bookmarkEnd w:id="177"/>
      <w:r>
        <w:rPr>
          <w:rFonts w:hint="eastAsia" w:ascii="宋体" w:hAnsi="宋体" w:eastAsia="宋体"/>
          <w:color w:val="auto"/>
          <w:kern w:val="0"/>
        </w:rPr>
        <w:t>开标、评标、定标过程的异议、投诉</w:t>
      </w:r>
    </w:p>
    <w:p w14:paraId="6AC53B07">
      <w:pPr>
        <w:spacing w:line="4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投标人在开标过程中，对开标过程如有异议可当场提出，招标人或招标代理机构予以当场解答，投标人不得对已解答的异议再次进行投诉。</w:t>
      </w:r>
    </w:p>
    <w:p w14:paraId="6884B85A">
      <w:pPr>
        <w:spacing w:line="4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投标人和其他利害关系人认为本工程招标投标活动不符合法律法规和规章规定，或者自身合法权益受到侵害，可依法向招标人或招标代理机构提出异议，招标人或招标代理机构应在规定时间内予以答复。联系方式和地址见招标公告。</w:t>
      </w:r>
    </w:p>
    <w:p w14:paraId="45431221">
      <w:pPr>
        <w:spacing w:line="480" w:lineRule="exact"/>
        <w:ind w:firstLine="420" w:firstLineChars="200"/>
        <w:rPr>
          <w:rFonts w:ascii="Times New Roman" w:hAnsi="Times New Roman"/>
          <w:color w:val="auto"/>
          <w:sz w:val="21"/>
          <w:szCs w:val="21"/>
        </w:rPr>
      </w:pPr>
      <w:r>
        <w:rPr>
          <w:rFonts w:hint="eastAsia" w:ascii="Times New Roman" w:hAnsi="Times New Roman"/>
          <w:color w:val="auto"/>
          <w:sz w:val="21"/>
          <w:szCs w:val="21"/>
        </w:rPr>
        <w:t>如投标人和其他利害关系人对招标人和招标代理机构的异议处理不服或者在规定时间内招标人或招标代理机构未予答复的，有权向工程所在地招标投标监督管理机构投诉。</w:t>
      </w:r>
    </w:p>
    <w:p w14:paraId="160E9B21">
      <w:pPr>
        <w:pStyle w:val="2"/>
        <w:spacing w:line="480" w:lineRule="exact"/>
        <w:rPr>
          <w:rFonts w:ascii="Times New Roman" w:hAnsi="Times New Roman"/>
          <w:color w:val="auto"/>
          <w:sz w:val="28"/>
          <w:szCs w:val="18"/>
        </w:rPr>
      </w:pPr>
      <w:bookmarkStart w:id="178" w:name="_Toc534190129"/>
      <w:bookmarkStart w:id="179" w:name="_Toc492300409"/>
      <w:r>
        <w:rPr>
          <w:rFonts w:hint="eastAsia" w:ascii="Times New Roman" w:hAnsi="Times New Roman"/>
          <w:color w:val="auto"/>
          <w:sz w:val="28"/>
          <w:szCs w:val="18"/>
        </w:rPr>
        <w:t>10</w:t>
      </w:r>
      <w:r>
        <w:rPr>
          <w:rFonts w:ascii="Times New Roman" w:hAnsi="Times New Roman"/>
          <w:color w:val="auto"/>
          <w:sz w:val="28"/>
          <w:szCs w:val="18"/>
        </w:rPr>
        <w:t xml:space="preserve">. </w:t>
      </w:r>
      <w:r>
        <w:rPr>
          <w:rFonts w:hint="eastAsia" w:ascii="Times New Roman" w:hAnsi="Times New Roman"/>
          <w:color w:val="auto"/>
          <w:sz w:val="28"/>
          <w:szCs w:val="18"/>
        </w:rPr>
        <w:t>需要补充的其他内容</w:t>
      </w:r>
      <w:bookmarkEnd w:id="178"/>
      <w:bookmarkEnd w:id="179"/>
    </w:p>
    <w:p w14:paraId="0E01C3F9">
      <w:pPr>
        <w:spacing w:line="480" w:lineRule="exact"/>
        <w:ind w:firstLine="440" w:firstLineChars="200"/>
        <w:rPr>
          <w:rFonts w:ascii="Times New Roman" w:hAnsi="Times New Roman"/>
          <w:color w:val="auto"/>
          <w:sz w:val="22"/>
        </w:rPr>
      </w:pPr>
      <w:r>
        <w:rPr>
          <w:rFonts w:ascii="Times New Roman" w:hAnsi="Times New Roman"/>
          <w:color w:val="auto"/>
          <w:sz w:val="22"/>
        </w:rPr>
        <w:t>需要补充的其他内容：见投标人须知前附表。</w:t>
      </w:r>
    </w:p>
    <w:p w14:paraId="0921A3E1">
      <w:pPr>
        <w:pStyle w:val="150"/>
        <w:rPr>
          <w:rFonts w:ascii="Times New Roman" w:hAnsi="Times New Roman" w:eastAsia="黑体"/>
          <w:color w:val="auto"/>
          <w:sz w:val="28"/>
          <w:szCs w:val="20"/>
        </w:rPr>
      </w:pPr>
    </w:p>
    <w:p w14:paraId="536B695C">
      <w:pPr>
        <w:rPr>
          <w:color w:val="auto"/>
        </w:rPr>
      </w:pPr>
      <w:r>
        <w:rPr>
          <w:color w:val="auto"/>
        </w:rPr>
        <w:br w:type="page"/>
      </w:r>
    </w:p>
    <w:p w14:paraId="22748AD7">
      <w:pPr>
        <w:numPr>
          <w:ilvl w:val="0"/>
          <w:numId w:val="1"/>
        </w:numPr>
        <w:jc w:val="center"/>
        <w:outlineLvl w:val="0"/>
        <w:rPr>
          <w:b/>
          <w:bCs/>
          <w:color w:val="auto"/>
          <w:sz w:val="36"/>
          <w:szCs w:val="36"/>
        </w:rPr>
      </w:pPr>
      <w:bookmarkStart w:id="180" w:name="_Toc534190130"/>
      <w:bookmarkStart w:id="181" w:name="_Toc9777"/>
      <w:r>
        <w:rPr>
          <w:b/>
          <w:bCs/>
          <w:color w:val="auto"/>
          <w:sz w:val="36"/>
          <w:szCs w:val="36"/>
        </w:rPr>
        <w:t>评标办法（综合评估法）</w:t>
      </w:r>
      <w:bookmarkEnd w:id="180"/>
      <w:bookmarkEnd w:id="181"/>
    </w:p>
    <w:p w14:paraId="4E091587">
      <w:pPr>
        <w:spacing w:line="360" w:lineRule="auto"/>
        <w:jc w:val="center"/>
        <w:rPr>
          <w:rFonts w:ascii="宋体" w:hAnsi="宋体"/>
          <w:color w:val="auto"/>
          <w:sz w:val="24"/>
          <w:szCs w:val="21"/>
        </w:rPr>
      </w:pPr>
      <w:r>
        <w:rPr>
          <w:rFonts w:hint="eastAsia" w:ascii="宋体" w:hAnsi="宋体"/>
          <w:color w:val="auto"/>
          <w:sz w:val="24"/>
          <w:szCs w:val="21"/>
        </w:rPr>
        <w:t>评标办法前附表</w:t>
      </w:r>
    </w:p>
    <w:tbl>
      <w:tblPr>
        <w:tblStyle w:val="88"/>
        <w:tblW w:w="9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096"/>
        <w:gridCol w:w="1892"/>
        <w:gridCol w:w="5872"/>
      </w:tblGrid>
      <w:tr w14:paraId="0BFEF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878" w:type="dxa"/>
            <w:gridSpan w:val="2"/>
            <w:vAlign w:val="center"/>
          </w:tcPr>
          <w:p w14:paraId="23828ACE">
            <w:pPr>
              <w:jc w:val="center"/>
              <w:rPr>
                <w:rFonts w:ascii="宋体" w:hAnsi="宋体"/>
                <w:b/>
                <w:bCs/>
                <w:color w:val="auto"/>
                <w:szCs w:val="21"/>
              </w:rPr>
            </w:pPr>
            <w:r>
              <w:rPr>
                <w:rFonts w:hint="eastAsia" w:ascii="宋体" w:hAnsi="宋体"/>
                <w:b/>
                <w:bCs/>
                <w:color w:val="auto"/>
                <w:szCs w:val="21"/>
              </w:rPr>
              <w:t>条款号</w:t>
            </w:r>
          </w:p>
        </w:tc>
        <w:tc>
          <w:tcPr>
            <w:tcW w:w="1892" w:type="dxa"/>
            <w:vAlign w:val="center"/>
          </w:tcPr>
          <w:p w14:paraId="70937E4D">
            <w:pPr>
              <w:jc w:val="center"/>
              <w:rPr>
                <w:rFonts w:ascii="宋体" w:hAnsi="宋体"/>
                <w:b/>
                <w:bCs/>
                <w:color w:val="auto"/>
                <w:szCs w:val="21"/>
              </w:rPr>
            </w:pPr>
            <w:r>
              <w:rPr>
                <w:rFonts w:hint="eastAsia" w:ascii="宋体" w:hAnsi="宋体"/>
                <w:b/>
                <w:bCs/>
                <w:color w:val="auto"/>
                <w:szCs w:val="21"/>
              </w:rPr>
              <w:t>评 审 因 素</w:t>
            </w:r>
          </w:p>
        </w:tc>
        <w:tc>
          <w:tcPr>
            <w:tcW w:w="5872" w:type="dxa"/>
            <w:vAlign w:val="center"/>
          </w:tcPr>
          <w:p w14:paraId="20D4E2D8">
            <w:pPr>
              <w:jc w:val="center"/>
              <w:rPr>
                <w:rFonts w:ascii="宋体" w:hAnsi="宋体"/>
                <w:b/>
                <w:bCs/>
                <w:color w:val="auto"/>
                <w:szCs w:val="21"/>
              </w:rPr>
            </w:pPr>
            <w:r>
              <w:rPr>
                <w:rFonts w:hint="eastAsia" w:ascii="宋体" w:hAnsi="宋体"/>
                <w:b/>
                <w:bCs/>
                <w:color w:val="auto"/>
                <w:szCs w:val="21"/>
              </w:rPr>
              <w:t>评 审 标 准</w:t>
            </w:r>
          </w:p>
        </w:tc>
      </w:tr>
      <w:tr w14:paraId="759A2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2" w:hRule="atLeast"/>
          <w:jc w:val="center"/>
        </w:trPr>
        <w:tc>
          <w:tcPr>
            <w:tcW w:w="782" w:type="dxa"/>
            <w:vAlign w:val="center"/>
          </w:tcPr>
          <w:p w14:paraId="0B931327">
            <w:pPr>
              <w:jc w:val="center"/>
              <w:rPr>
                <w:rFonts w:ascii="宋体" w:hAnsi="宋体"/>
                <w:color w:val="auto"/>
                <w:szCs w:val="21"/>
              </w:rPr>
            </w:pPr>
            <w:r>
              <w:rPr>
                <w:rFonts w:hint="eastAsia" w:ascii="宋体" w:hAnsi="宋体"/>
                <w:color w:val="auto"/>
                <w:szCs w:val="21"/>
              </w:rPr>
              <w:t>2.1.1</w:t>
            </w:r>
          </w:p>
        </w:tc>
        <w:tc>
          <w:tcPr>
            <w:tcW w:w="1095" w:type="dxa"/>
            <w:vAlign w:val="center"/>
          </w:tcPr>
          <w:p w14:paraId="01C1BF8C">
            <w:pPr>
              <w:jc w:val="center"/>
              <w:rPr>
                <w:rFonts w:ascii="宋体" w:hAnsi="宋体" w:cs="宋体"/>
                <w:color w:val="auto"/>
                <w:szCs w:val="21"/>
              </w:rPr>
            </w:pPr>
            <w:r>
              <w:rPr>
                <w:rFonts w:hint="eastAsia" w:ascii="宋体" w:hAnsi="宋体" w:cs="宋体"/>
                <w:color w:val="auto"/>
                <w:szCs w:val="21"/>
              </w:rPr>
              <w:t>资格评审标准</w:t>
            </w:r>
          </w:p>
        </w:tc>
        <w:tc>
          <w:tcPr>
            <w:tcW w:w="7764" w:type="dxa"/>
            <w:gridSpan w:val="2"/>
            <w:vAlign w:val="center"/>
          </w:tcPr>
          <w:p w14:paraId="787BE83D">
            <w:pPr>
              <w:numPr>
                <w:ilvl w:val="0"/>
                <w:numId w:val="3"/>
              </w:numPr>
              <w:spacing w:before="156" w:beforeLines="50" w:line="400" w:lineRule="exact"/>
              <w:rPr>
                <w:rFonts w:ascii="宋体" w:hAnsi="宋体" w:cs="宋体"/>
                <w:color w:val="auto"/>
                <w:kern w:val="0"/>
                <w:szCs w:val="21"/>
                <w:lang w:bidi="ar"/>
              </w:rPr>
            </w:pPr>
            <w:r>
              <w:rPr>
                <w:rFonts w:hint="eastAsia" w:ascii="宋体" w:hAnsi="宋体" w:cs="宋体"/>
                <w:color w:val="auto"/>
                <w:kern w:val="0"/>
                <w:szCs w:val="21"/>
                <w:lang w:bidi="ar"/>
              </w:rPr>
              <w:t>营业执照副本；</w:t>
            </w:r>
          </w:p>
          <w:p w14:paraId="45DE93A8">
            <w:pPr>
              <w:numPr>
                <w:ilvl w:val="0"/>
                <w:numId w:val="3"/>
              </w:numPr>
              <w:spacing w:before="156" w:beforeLines="50" w:line="400" w:lineRule="exact"/>
              <w:rPr>
                <w:rFonts w:ascii="宋体" w:hAnsi="宋体" w:cs="宋体"/>
                <w:color w:val="auto"/>
                <w:kern w:val="0"/>
                <w:szCs w:val="21"/>
                <w:lang w:bidi="ar"/>
              </w:rPr>
            </w:pPr>
            <w:r>
              <w:rPr>
                <w:rFonts w:hint="eastAsia" w:ascii="宋体" w:hAnsi="宋体" w:cs="宋体"/>
                <w:color w:val="auto"/>
                <w:kern w:val="0"/>
                <w:szCs w:val="21"/>
                <w:lang w:bidi="ar"/>
              </w:rPr>
              <w:t>企业资质证书副本；</w:t>
            </w:r>
          </w:p>
          <w:p w14:paraId="372D1CD5">
            <w:pPr>
              <w:numPr>
                <w:ilvl w:val="0"/>
                <w:numId w:val="3"/>
              </w:numPr>
              <w:spacing w:before="156" w:beforeLines="50" w:line="400" w:lineRule="exact"/>
              <w:rPr>
                <w:rFonts w:ascii="宋体" w:hAnsi="宋体" w:cs="宋体"/>
                <w:color w:val="auto"/>
                <w:kern w:val="0"/>
                <w:szCs w:val="21"/>
                <w:lang w:bidi="ar"/>
              </w:rPr>
            </w:pPr>
            <w:r>
              <w:rPr>
                <w:rFonts w:hint="eastAsia" w:ascii="宋体" w:hAnsi="宋体" w:cs="宋体"/>
                <w:color w:val="auto"/>
                <w:kern w:val="0"/>
                <w:szCs w:val="21"/>
                <w:lang w:bidi="ar"/>
              </w:rPr>
              <w:t>安全生产许可证副本；</w:t>
            </w:r>
          </w:p>
          <w:p w14:paraId="12F5E170">
            <w:pPr>
              <w:spacing w:before="156" w:beforeLines="50" w:line="400" w:lineRule="exact"/>
              <w:rPr>
                <w:rFonts w:ascii="宋体" w:hAnsi="宋体" w:cs="宋体"/>
                <w:color w:val="auto"/>
                <w:kern w:val="0"/>
                <w:szCs w:val="21"/>
                <w:lang w:bidi="ar"/>
              </w:rPr>
            </w:pPr>
            <w:r>
              <w:rPr>
                <w:rFonts w:hint="eastAsia" w:ascii="宋体" w:hAnsi="宋体" w:cs="宋体"/>
                <w:color w:val="auto"/>
                <w:kern w:val="0"/>
                <w:szCs w:val="21"/>
                <w:lang w:bidi="ar"/>
              </w:rPr>
              <w:t>（4）法定代表人有效的身份证原件（法定代表人参加的）或法人授权委托书及被授权人有效身份证（被授权委托人参加的）；</w:t>
            </w:r>
          </w:p>
          <w:p w14:paraId="2D4B4A02">
            <w:pPr>
              <w:spacing w:before="156" w:beforeLines="50" w:line="400" w:lineRule="exact"/>
              <w:rPr>
                <w:rFonts w:ascii="宋体" w:hAnsi="宋体" w:cs="宋体"/>
                <w:color w:val="auto"/>
                <w:kern w:val="0"/>
                <w:szCs w:val="21"/>
                <w:lang w:bidi="ar"/>
              </w:rPr>
            </w:pPr>
            <w:r>
              <w:rPr>
                <w:rFonts w:hint="eastAsia" w:ascii="宋体" w:hAnsi="宋体" w:cs="宋体"/>
                <w:color w:val="auto"/>
                <w:kern w:val="0"/>
                <w:szCs w:val="21"/>
                <w:lang w:bidi="ar"/>
              </w:rPr>
              <w:t>（5）拟派项目经理的建造师注册证书、安全生产考核合格B证、身份证及</w:t>
            </w:r>
            <w:r>
              <w:rPr>
                <w:rFonts w:hint="eastAsia" w:ascii="宋体" w:hAnsi="宋体" w:cs="宋体"/>
                <w:color w:val="auto"/>
                <w:kern w:val="0"/>
                <w:szCs w:val="21"/>
                <w:lang w:val="en-US" w:eastAsia="zh-CN" w:bidi="ar"/>
              </w:rPr>
              <w:t>无在建承诺</w:t>
            </w:r>
            <w:r>
              <w:rPr>
                <w:rFonts w:hint="eastAsia" w:ascii="宋体" w:hAnsi="宋体" w:cs="宋体"/>
                <w:color w:val="auto"/>
                <w:kern w:val="0"/>
                <w:szCs w:val="21"/>
                <w:lang w:bidi="ar"/>
              </w:rPr>
              <w:t>；</w:t>
            </w:r>
          </w:p>
          <w:p w14:paraId="7CD0428D">
            <w:pPr>
              <w:spacing w:before="156" w:beforeLines="50" w:line="400" w:lineRule="exact"/>
              <w:rPr>
                <w:rFonts w:ascii="宋体" w:hAnsi="宋体" w:cs="宋体"/>
                <w:color w:val="auto"/>
                <w:szCs w:val="21"/>
              </w:rPr>
            </w:pPr>
            <w:r>
              <w:rPr>
                <w:rFonts w:hint="eastAsia" w:ascii="宋体" w:hAnsi="宋体" w:cs="宋体"/>
                <w:color w:val="auto"/>
                <w:kern w:val="0"/>
                <w:szCs w:val="21"/>
                <w:lang w:bidi="ar"/>
              </w:rPr>
              <w:t>（6）潜在投标人提供信用中国网站（www.creditchina.gov.cn）查询相关主体信用记录网页截图（加盖公章）。</w:t>
            </w:r>
          </w:p>
        </w:tc>
      </w:tr>
      <w:tr w14:paraId="3A7D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exact"/>
          <w:jc w:val="center"/>
        </w:trPr>
        <w:tc>
          <w:tcPr>
            <w:tcW w:w="782" w:type="dxa"/>
            <w:vMerge w:val="restart"/>
            <w:vAlign w:val="center"/>
          </w:tcPr>
          <w:p w14:paraId="6025FBAD">
            <w:pPr>
              <w:jc w:val="center"/>
              <w:rPr>
                <w:rFonts w:ascii="宋体" w:hAnsi="宋体"/>
                <w:color w:val="auto"/>
                <w:szCs w:val="21"/>
              </w:rPr>
            </w:pPr>
            <w:r>
              <w:rPr>
                <w:rFonts w:hint="eastAsia" w:ascii="宋体" w:hAnsi="宋体"/>
                <w:color w:val="auto"/>
                <w:szCs w:val="21"/>
              </w:rPr>
              <w:t>2.1.2</w:t>
            </w:r>
          </w:p>
        </w:tc>
        <w:tc>
          <w:tcPr>
            <w:tcW w:w="1095" w:type="dxa"/>
            <w:vMerge w:val="restart"/>
            <w:vAlign w:val="center"/>
          </w:tcPr>
          <w:p w14:paraId="0DCF4957">
            <w:pPr>
              <w:jc w:val="center"/>
              <w:rPr>
                <w:rFonts w:ascii="宋体" w:hAnsi="宋体" w:cs="宋体"/>
                <w:color w:val="auto"/>
                <w:szCs w:val="21"/>
              </w:rPr>
            </w:pPr>
            <w:r>
              <w:rPr>
                <w:rFonts w:hint="eastAsia" w:ascii="宋体" w:hAnsi="宋体" w:cs="宋体"/>
                <w:color w:val="auto"/>
                <w:szCs w:val="21"/>
              </w:rPr>
              <w:t>形式评审标准</w:t>
            </w:r>
          </w:p>
        </w:tc>
        <w:tc>
          <w:tcPr>
            <w:tcW w:w="1892" w:type="dxa"/>
            <w:vAlign w:val="center"/>
          </w:tcPr>
          <w:p w14:paraId="7D467879">
            <w:pPr>
              <w:jc w:val="center"/>
              <w:rPr>
                <w:rFonts w:ascii="宋体" w:hAnsi="宋体" w:cs="宋体"/>
                <w:color w:val="auto"/>
                <w:szCs w:val="21"/>
              </w:rPr>
            </w:pPr>
            <w:r>
              <w:rPr>
                <w:rFonts w:hint="eastAsia" w:ascii="宋体" w:hAnsi="宋体" w:cs="宋体"/>
                <w:color w:val="auto"/>
                <w:szCs w:val="21"/>
              </w:rPr>
              <w:t>投标人名称</w:t>
            </w:r>
          </w:p>
        </w:tc>
        <w:tc>
          <w:tcPr>
            <w:tcW w:w="5872" w:type="dxa"/>
            <w:vAlign w:val="center"/>
          </w:tcPr>
          <w:p w14:paraId="0DFC2F7C">
            <w:pPr>
              <w:jc w:val="left"/>
              <w:rPr>
                <w:rFonts w:ascii="宋体" w:hAnsi="宋体" w:cs="宋体"/>
                <w:color w:val="auto"/>
                <w:szCs w:val="21"/>
              </w:rPr>
            </w:pPr>
            <w:r>
              <w:rPr>
                <w:rFonts w:hint="eastAsia" w:ascii="宋体" w:hAnsi="宋体" w:cs="宋体"/>
                <w:color w:val="auto"/>
                <w:szCs w:val="21"/>
              </w:rPr>
              <w:t>与营业执照、资质证书、安全生产许可证一致</w:t>
            </w:r>
          </w:p>
        </w:tc>
      </w:tr>
      <w:tr w14:paraId="71EE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782" w:type="dxa"/>
            <w:vMerge w:val="continue"/>
            <w:vAlign w:val="center"/>
          </w:tcPr>
          <w:p w14:paraId="70D9248E">
            <w:pPr>
              <w:jc w:val="center"/>
              <w:rPr>
                <w:rFonts w:ascii="宋体" w:hAnsi="宋体"/>
                <w:color w:val="auto"/>
                <w:szCs w:val="21"/>
              </w:rPr>
            </w:pPr>
          </w:p>
        </w:tc>
        <w:tc>
          <w:tcPr>
            <w:tcW w:w="1095" w:type="dxa"/>
            <w:vMerge w:val="continue"/>
            <w:vAlign w:val="center"/>
          </w:tcPr>
          <w:p w14:paraId="482E8BD7">
            <w:pPr>
              <w:jc w:val="center"/>
              <w:rPr>
                <w:rFonts w:ascii="宋体" w:hAnsi="宋体" w:cs="宋体"/>
                <w:color w:val="auto"/>
                <w:szCs w:val="21"/>
              </w:rPr>
            </w:pPr>
          </w:p>
        </w:tc>
        <w:tc>
          <w:tcPr>
            <w:tcW w:w="1892" w:type="dxa"/>
            <w:vAlign w:val="center"/>
          </w:tcPr>
          <w:p w14:paraId="21F0D360">
            <w:pPr>
              <w:jc w:val="center"/>
              <w:rPr>
                <w:rFonts w:ascii="宋体" w:hAnsi="宋体" w:cs="宋体"/>
                <w:color w:val="auto"/>
                <w:szCs w:val="21"/>
              </w:rPr>
            </w:pPr>
            <w:r>
              <w:rPr>
                <w:rFonts w:hint="eastAsia" w:ascii="宋体" w:hAnsi="宋体" w:cs="宋体"/>
                <w:color w:val="auto"/>
                <w:szCs w:val="21"/>
              </w:rPr>
              <w:t>投标函签字盖章</w:t>
            </w:r>
          </w:p>
        </w:tc>
        <w:tc>
          <w:tcPr>
            <w:tcW w:w="5872" w:type="dxa"/>
            <w:vAlign w:val="center"/>
          </w:tcPr>
          <w:p w14:paraId="1C16700F">
            <w:pPr>
              <w:jc w:val="left"/>
              <w:rPr>
                <w:rFonts w:ascii="宋体" w:hAnsi="宋体" w:cs="宋体"/>
                <w:color w:val="auto"/>
                <w:szCs w:val="21"/>
              </w:rPr>
            </w:pPr>
            <w:r>
              <w:rPr>
                <w:rFonts w:hint="eastAsia" w:ascii="宋体" w:hAnsi="宋体" w:cs="宋体"/>
                <w:color w:val="auto"/>
                <w:szCs w:val="21"/>
              </w:rPr>
              <w:t>有法定代表人或其委托代理人签字（或盖章）并加盖单位公章</w:t>
            </w:r>
          </w:p>
        </w:tc>
      </w:tr>
      <w:tr w14:paraId="0D911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exact"/>
          <w:jc w:val="center"/>
        </w:trPr>
        <w:tc>
          <w:tcPr>
            <w:tcW w:w="782" w:type="dxa"/>
            <w:vMerge w:val="continue"/>
            <w:vAlign w:val="center"/>
          </w:tcPr>
          <w:p w14:paraId="6A5FB41D">
            <w:pPr>
              <w:jc w:val="center"/>
              <w:rPr>
                <w:rFonts w:ascii="宋体" w:hAnsi="宋体"/>
                <w:color w:val="auto"/>
                <w:szCs w:val="21"/>
              </w:rPr>
            </w:pPr>
          </w:p>
        </w:tc>
        <w:tc>
          <w:tcPr>
            <w:tcW w:w="1095" w:type="dxa"/>
            <w:vMerge w:val="continue"/>
            <w:vAlign w:val="center"/>
          </w:tcPr>
          <w:p w14:paraId="0B5957DA">
            <w:pPr>
              <w:jc w:val="center"/>
              <w:rPr>
                <w:rFonts w:ascii="宋体" w:hAnsi="宋体" w:cs="宋体"/>
                <w:color w:val="auto"/>
                <w:szCs w:val="21"/>
              </w:rPr>
            </w:pPr>
          </w:p>
        </w:tc>
        <w:tc>
          <w:tcPr>
            <w:tcW w:w="1892" w:type="dxa"/>
            <w:vAlign w:val="center"/>
          </w:tcPr>
          <w:p w14:paraId="7EAD726B">
            <w:pPr>
              <w:jc w:val="center"/>
              <w:rPr>
                <w:rFonts w:ascii="宋体" w:hAnsi="宋体" w:cs="宋体"/>
                <w:color w:val="auto"/>
                <w:szCs w:val="21"/>
              </w:rPr>
            </w:pPr>
            <w:r>
              <w:rPr>
                <w:rFonts w:hint="eastAsia" w:ascii="宋体" w:hAnsi="宋体" w:cs="宋体"/>
                <w:color w:val="auto"/>
                <w:szCs w:val="21"/>
              </w:rPr>
              <w:t>投标文件格式</w:t>
            </w:r>
          </w:p>
        </w:tc>
        <w:tc>
          <w:tcPr>
            <w:tcW w:w="5872" w:type="dxa"/>
            <w:vAlign w:val="center"/>
          </w:tcPr>
          <w:p w14:paraId="3B17F646">
            <w:pPr>
              <w:jc w:val="left"/>
              <w:rPr>
                <w:rFonts w:ascii="宋体" w:hAnsi="宋体" w:cs="宋体"/>
                <w:color w:val="auto"/>
                <w:szCs w:val="21"/>
              </w:rPr>
            </w:pPr>
            <w:r>
              <w:rPr>
                <w:rFonts w:hint="eastAsia" w:ascii="宋体" w:hAnsi="宋体" w:cs="宋体"/>
                <w:color w:val="auto"/>
                <w:szCs w:val="21"/>
              </w:rPr>
              <w:t>符合第八章“投标文件格式”的要求</w:t>
            </w:r>
          </w:p>
        </w:tc>
      </w:tr>
      <w:tr w14:paraId="5D23D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exact"/>
          <w:jc w:val="center"/>
        </w:trPr>
        <w:tc>
          <w:tcPr>
            <w:tcW w:w="782" w:type="dxa"/>
            <w:vMerge w:val="continue"/>
            <w:vAlign w:val="center"/>
          </w:tcPr>
          <w:p w14:paraId="190B3915">
            <w:pPr>
              <w:jc w:val="center"/>
              <w:rPr>
                <w:rFonts w:ascii="宋体" w:hAnsi="宋体"/>
                <w:color w:val="auto"/>
                <w:szCs w:val="21"/>
              </w:rPr>
            </w:pPr>
          </w:p>
        </w:tc>
        <w:tc>
          <w:tcPr>
            <w:tcW w:w="1095" w:type="dxa"/>
            <w:vMerge w:val="continue"/>
            <w:vAlign w:val="center"/>
          </w:tcPr>
          <w:p w14:paraId="71E3DC68">
            <w:pPr>
              <w:jc w:val="center"/>
              <w:rPr>
                <w:rFonts w:ascii="宋体" w:hAnsi="宋体" w:cs="宋体"/>
                <w:color w:val="auto"/>
                <w:szCs w:val="21"/>
              </w:rPr>
            </w:pPr>
          </w:p>
        </w:tc>
        <w:tc>
          <w:tcPr>
            <w:tcW w:w="1892" w:type="dxa"/>
            <w:vAlign w:val="center"/>
          </w:tcPr>
          <w:p w14:paraId="0659D664">
            <w:pPr>
              <w:jc w:val="center"/>
              <w:rPr>
                <w:rFonts w:ascii="宋体" w:hAnsi="宋体" w:cs="宋体"/>
                <w:color w:val="auto"/>
                <w:szCs w:val="21"/>
              </w:rPr>
            </w:pPr>
            <w:r>
              <w:rPr>
                <w:rFonts w:hint="eastAsia" w:ascii="宋体" w:hAnsi="宋体" w:cs="宋体"/>
                <w:color w:val="auto"/>
                <w:szCs w:val="21"/>
              </w:rPr>
              <w:t>报价唯一</w:t>
            </w:r>
          </w:p>
        </w:tc>
        <w:tc>
          <w:tcPr>
            <w:tcW w:w="5872" w:type="dxa"/>
            <w:vAlign w:val="center"/>
          </w:tcPr>
          <w:p w14:paraId="426DFABF">
            <w:pPr>
              <w:jc w:val="left"/>
              <w:rPr>
                <w:rFonts w:ascii="宋体" w:hAnsi="宋体" w:cs="宋体"/>
                <w:color w:val="auto"/>
                <w:szCs w:val="21"/>
              </w:rPr>
            </w:pPr>
            <w:r>
              <w:rPr>
                <w:rFonts w:hint="eastAsia" w:ascii="宋体" w:hAnsi="宋体" w:cs="宋体"/>
                <w:color w:val="auto"/>
                <w:szCs w:val="21"/>
              </w:rPr>
              <w:t>只能有一个有效报价</w:t>
            </w:r>
          </w:p>
        </w:tc>
      </w:tr>
      <w:tr w14:paraId="1E99B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jc w:val="center"/>
        </w:trPr>
        <w:tc>
          <w:tcPr>
            <w:tcW w:w="782" w:type="dxa"/>
            <w:vMerge w:val="restart"/>
            <w:vAlign w:val="center"/>
          </w:tcPr>
          <w:p w14:paraId="546EF1CF">
            <w:pPr>
              <w:jc w:val="center"/>
              <w:rPr>
                <w:rFonts w:ascii="宋体" w:hAnsi="宋体"/>
                <w:color w:val="auto"/>
                <w:szCs w:val="21"/>
              </w:rPr>
            </w:pPr>
            <w:r>
              <w:rPr>
                <w:rFonts w:hint="eastAsia" w:ascii="宋体" w:hAnsi="宋体"/>
                <w:color w:val="auto"/>
                <w:szCs w:val="21"/>
              </w:rPr>
              <w:t>2.1.3</w:t>
            </w:r>
          </w:p>
        </w:tc>
        <w:tc>
          <w:tcPr>
            <w:tcW w:w="1095" w:type="dxa"/>
            <w:vMerge w:val="restart"/>
            <w:vAlign w:val="center"/>
          </w:tcPr>
          <w:p w14:paraId="7386B7DA">
            <w:pPr>
              <w:jc w:val="center"/>
              <w:rPr>
                <w:rFonts w:ascii="宋体" w:hAnsi="宋体" w:cs="宋体"/>
                <w:color w:val="auto"/>
                <w:szCs w:val="21"/>
              </w:rPr>
            </w:pPr>
            <w:r>
              <w:rPr>
                <w:rFonts w:hint="eastAsia" w:ascii="宋体" w:hAnsi="宋体" w:cs="宋体"/>
                <w:color w:val="auto"/>
                <w:szCs w:val="21"/>
              </w:rPr>
              <w:t>响应性评审标准</w:t>
            </w:r>
          </w:p>
        </w:tc>
        <w:tc>
          <w:tcPr>
            <w:tcW w:w="1892" w:type="dxa"/>
            <w:vAlign w:val="center"/>
          </w:tcPr>
          <w:p w14:paraId="4624BDAC">
            <w:pPr>
              <w:jc w:val="center"/>
              <w:rPr>
                <w:rFonts w:ascii="宋体" w:hAnsi="宋体" w:cs="宋体"/>
                <w:color w:val="auto"/>
                <w:szCs w:val="21"/>
              </w:rPr>
            </w:pPr>
            <w:r>
              <w:rPr>
                <w:rFonts w:hint="eastAsia" w:ascii="宋体" w:hAnsi="宋体" w:cs="宋体"/>
                <w:color w:val="auto"/>
                <w:szCs w:val="21"/>
              </w:rPr>
              <w:t>投标内容</w:t>
            </w:r>
          </w:p>
        </w:tc>
        <w:tc>
          <w:tcPr>
            <w:tcW w:w="5872" w:type="dxa"/>
            <w:vAlign w:val="center"/>
          </w:tcPr>
          <w:p w14:paraId="31D0E7D9">
            <w:pPr>
              <w:jc w:val="left"/>
              <w:rPr>
                <w:rFonts w:ascii="宋体" w:hAnsi="宋体" w:cs="宋体"/>
                <w:color w:val="auto"/>
                <w:szCs w:val="21"/>
              </w:rPr>
            </w:pPr>
            <w:r>
              <w:rPr>
                <w:rFonts w:hint="eastAsia" w:ascii="宋体" w:hAnsi="宋体" w:cs="宋体"/>
                <w:color w:val="auto"/>
                <w:szCs w:val="21"/>
              </w:rPr>
              <w:t>符合第二章“投标人须知”规定</w:t>
            </w:r>
          </w:p>
        </w:tc>
      </w:tr>
      <w:tr w14:paraId="461D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782" w:type="dxa"/>
            <w:vMerge w:val="continue"/>
          </w:tcPr>
          <w:p w14:paraId="0EB6C905">
            <w:pPr>
              <w:jc w:val="center"/>
              <w:rPr>
                <w:rFonts w:ascii="宋体" w:hAnsi="宋体"/>
                <w:color w:val="auto"/>
                <w:szCs w:val="21"/>
              </w:rPr>
            </w:pPr>
          </w:p>
        </w:tc>
        <w:tc>
          <w:tcPr>
            <w:tcW w:w="1095" w:type="dxa"/>
            <w:vMerge w:val="continue"/>
          </w:tcPr>
          <w:p w14:paraId="01090A3D">
            <w:pPr>
              <w:jc w:val="center"/>
              <w:rPr>
                <w:rFonts w:ascii="宋体" w:hAnsi="宋体" w:cs="宋体"/>
                <w:color w:val="auto"/>
                <w:szCs w:val="21"/>
              </w:rPr>
            </w:pPr>
          </w:p>
        </w:tc>
        <w:tc>
          <w:tcPr>
            <w:tcW w:w="1892" w:type="dxa"/>
            <w:vAlign w:val="center"/>
          </w:tcPr>
          <w:p w14:paraId="30A24BD2">
            <w:pPr>
              <w:jc w:val="center"/>
              <w:rPr>
                <w:rFonts w:ascii="宋体" w:hAnsi="宋体" w:cs="宋体"/>
                <w:color w:val="auto"/>
                <w:szCs w:val="21"/>
              </w:rPr>
            </w:pPr>
            <w:r>
              <w:rPr>
                <w:rFonts w:hint="eastAsia" w:ascii="宋体" w:hAnsi="宋体" w:cs="宋体"/>
                <w:color w:val="auto"/>
                <w:szCs w:val="21"/>
              </w:rPr>
              <w:t>工期</w:t>
            </w:r>
          </w:p>
        </w:tc>
        <w:tc>
          <w:tcPr>
            <w:tcW w:w="5872" w:type="dxa"/>
            <w:vAlign w:val="center"/>
          </w:tcPr>
          <w:p w14:paraId="478E8E86">
            <w:pPr>
              <w:jc w:val="left"/>
              <w:rPr>
                <w:rFonts w:ascii="宋体" w:hAnsi="宋体" w:cs="宋体"/>
                <w:color w:val="auto"/>
                <w:szCs w:val="21"/>
              </w:rPr>
            </w:pPr>
            <w:r>
              <w:rPr>
                <w:rFonts w:hint="eastAsia" w:ascii="宋体" w:hAnsi="宋体" w:cs="宋体"/>
                <w:color w:val="auto"/>
                <w:szCs w:val="21"/>
              </w:rPr>
              <w:t>符合第二章“投标人须知”规定</w:t>
            </w:r>
          </w:p>
        </w:tc>
      </w:tr>
      <w:tr w14:paraId="6A3A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782" w:type="dxa"/>
            <w:vMerge w:val="continue"/>
          </w:tcPr>
          <w:p w14:paraId="5EDCEA13">
            <w:pPr>
              <w:jc w:val="center"/>
              <w:rPr>
                <w:rFonts w:ascii="宋体" w:hAnsi="宋体"/>
                <w:color w:val="auto"/>
                <w:szCs w:val="21"/>
              </w:rPr>
            </w:pPr>
          </w:p>
        </w:tc>
        <w:tc>
          <w:tcPr>
            <w:tcW w:w="1095" w:type="dxa"/>
            <w:vMerge w:val="continue"/>
          </w:tcPr>
          <w:p w14:paraId="740F14FC">
            <w:pPr>
              <w:jc w:val="center"/>
              <w:rPr>
                <w:rFonts w:ascii="宋体" w:hAnsi="宋体" w:cs="宋体"/>
                <w:color w:val="auto"/>
                <w:szCs w:val="21"/>
              </w:rPr>
            </w:pPr>
          </w:p>
        </w:tc>
        <w:tc>
          <w:tcPr>
            <w:tcW w:w="1892" w:type="dxa"/>
            <w:vAlign w:val="center"/>
          </w:tcPr>
          <w:p w14:paraId="332BDBBD">
            <w:pPr>
              <w:jc w:val="center"/>
              <w:rPr>
                <w:rFonts w:ascii="宋体" w:hAnsi="宋体" w:cs="宋体"/>
                <w:color w:val="auto"/>
                <w:szCs w:val="21"/>
              </w:rPr>
            </w:pPr>
            <w:r>
              <w:rPr>
                <w:rFonts w:hint="eastAsia" w:ascii="宋体" w:hAnsi="宋体" w:cs="宋体"/>
                <w:color w:val="auto"/>
                <w:szCs w:val="21"/>
              </w:rPr>
              <w:t>工程质量</w:t>
            </w:r>
          </w:p>
        </w:tc>
        <w:tc>
          <w:tcPr>
            <w:tcW w:w="5872" w:type="dxa"/>
            <w:vAlign w:val="center"/>
          </w:tcPr>
          <w:p w14:paraId="208DB18C">
            <w:pPr>
              <w:jc w:val="left"/>
              <w:rPr>
                <w:rFonts w:ascii="宋体" w:hAnsi="宋体" w:cs="宋体"/>
                <w:color w:val="auto"/>
                <w:szCs w:val="21"/>
              </w:rPr>
            </w:pPr>
            <w:r>
              <w:rPr>
                <w:rFonts w:hint="eastAsia" w:ascii="宋体" w:hAnsi="宋体" w:cs="宋体"/>
                <w:color w:val="auto"/>
                <w:szCs w:val="21"/>
              </w:rPr>
              <w:t>符合第二章“投标人须知”规定</w:t>
            </w:r>
          </w:p>
        </w:tc>
      </w:tr>
      <w:tr w14:paraId="75529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jc w:val="center"/>
        </w:trPr>
        <w:tc>
          <w:tcPr>
            <w:tcW w:w="782" w:type="dxa"/>
            <w:vMerge w:val="continue"/>
          </w:tcPr>
          <w:p w14:paraId="3A48DDE4">
            <w:pPr>
              <w:jc w:val="center"/>
              <w:rPr>
                <w:rFonts w:ascii="宋体" w:hAnsi="宋体"/>
                <w:color w:val="auto"/>
                <w:szCs w:val="21"/>
              </w:rPr>
            </w:pPr>
          </w:p>
        </w:tc>
        <w:tc>
          <w:tcPr>
            <w:tcW w:w="1095" w:type="dxa"/>
            <w:vMerge w:val="continue"/>
          </w:tcPr>
          <w:p w14:paraId="36B1BFDE">
            <w:pPr>
              <w:jc w:val="center"/>
              <w:rPr>
                <w:rFonts w:ascii="宋体" w:hAnsi="宋体" w:cs="宋体"/>
                <w:color w:val="auto"/>
                <w:szCs w:val="21"/>
              </w:rPr>
            </w:pPr>
          </w:p>
        </w:tc>
        <w:tc>
          <w:tcPr>
            <w:tcW w:w="1892" w:type="dxa"/>
            <w:vAlign w:val="center"/>
          </w:tcPr>
          <w:p w14:paraId="4CE59673">
            <w:pPr>
              <w:jc w:val="center"/>
              <w:rPr>
                <w:rFonts w:ascii="宋体" w:hAnsi="宋体" w:cs="宋体"/>
                <w:color w:val="auto"/>
                <w:szCs w:val="21"/>
              </w:rPr>
            </w:pPr>
            <w:r>
              <w:rPr>
                <w:rFonts w:hint="eastAsia" w:ascii="宋体" w:hAnsi="宋体" w:cs="宋体"/>
                <w:color w:val="auto"/>
                <w:szCs w:val="21"/>
              </w:rPr>
              <w:t>投标有效期</w:t>
            </w:r>
          </w:p>
        </w:tc>
        <w:tc>
          <w:tcPr>
            <w:tcW w:w="5872" w:type="dxa"/>
            <w:vAlign w:val="center"/>
          </w:tcPr>
          <w:p w14:paraId="5CCDCF13">
            <w:pPr>
              <w:jc w:val="left"/>
              <w:rPr>
                <w:rFonts w:ascii="宋体" w:hAnsi="宋体" w:cs="宋体"/>
                <w:color w:val="auto"/>
                <w:szCs w:val="21"/>
              </w:rPr>
            </w:pPr>
            <w:r>
              <w:rPr>
                <w:rFonts w:hint="eastAsia" w:ascii="宋体" w:hAnsi="宋体" w:cs="宋体"/>
                <w:color w:val="auto"/>
                <w:szCs w:val="21"/>
              </w:rPr>
              <w:t>符合第二章“投标人须知”规定</w:t>
            </w:r>
          </w:p>
        </w:tc>
      </w:tr>
      <w:tr w14:paraId="4C592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782" w:type="dxa"/>
            <w:vMerge w:val="continue"/>
          </w:tcPr>
          <w:p w14:paraId="4959ABEA">
            <w:pPr>
              <w:jc w:val="center"/>
              <w:rPr>
                <w:rFonts w:ascii="宋体" w:hAnsi="宋体"/>
                <w:color w:val="auto"/>
                <w:szCs w:val="21"/>
              </w:rPr>
            </w:pPr>
          </w:p>
        </w:tc>
        <w:tc>
          <w:tcPr>
            <w:tcW w:w="1095" w:type="dxa"/>
            <w:vMerge w:val="continue"/>
          </w:tcPr>
          <w:p w14:paraId="2D68E78D">
            <w:pPr>
              <w:jc w:val="center"/>
              <w:rPr>
                <w:rFonts w:ascii="宋体" w:hAnsi="宋体" w:cs="宋体"/>
                <w:color w:val="auto"/>
                <w:szCs w:val="21"/>
              </w:rPr>
            </w:pPr>
          </w:p>
        </w:tc>
        <w:tc>
          <w:tcPr>
            <w:tcW w:w="1892" w:type="dxa"/>
            <w:vAlign w:val="center"/>
          </w:tcPr>
          <w:p w14:paraId="076A8EE8">
            <w:pPr>
              <w:jc w:val="center"/>
              <w:rPr>
                <w:rFonts w:ascii="宋体" w:hAnsi="宋体" w:cs="宋体"/>
                <w:color w:val="auto"/>
                <w:szCs w:val="21"/>
              </w:rPr>
            </w:pPr>
            <w:r>
              <w:rPr>
                <w:rFonts w:hint="eastAsia" w:ascii="宋体" w:hAnsi="宋体" w:cs="宋体"/>
                <w:color w:val="auto"/>
                <w:szCs w:val="21"/>
              </w:rPr>
              <w:t>已标价工程量清单</w:t>
            </w:r>
          </w:p>
        </w:tc>
        <w:tc>
          <w:tcPr>
            <w:tcW w:w="5872" w:type="dxa"/>
            <w:vAlign w:val="center"/>
          </w:tcPr>
          <w:p w14:paraId="24C6D3AC">
            <w:pPr>
              <w:jc w:val="left"/>
              <w:rPr>
                <w:rFonts w:ascii="宋体" w:hAnsi="宋体" w:cs="宋体"/>
                <w:color w:val="auto"/>
                <w:szCs w:val="21"/>
              </w:rPr>
            </w:pPr>
            <w:r>
              <w:rPr>
                <w:rFonts w:hint="eastAsia" w:ascii="宋体" w:hAnsi="宋体" w:cs="宋体"/>
                <w:color w:val="auto"/>
                <w:szCs w:val="21"/>
              </w:rPr>
              <w:t>符合第</w:t>
            </w:r>
            <w:r>
              <w:rPr>
                <w:rFonts w:hint="eastAsia" w:ascii="宋体" w:hAnsi="宋体" w:cs="宋体"/>
                <w:color w:val="auto"/>
                <w:szCs w:val="21"/>
                <w:lang w:val="en-US" w:eastAsia="zh-CN"/>
              </w:rPr>
              <w:t>六</w:t>
            </w:r>
            <w:r>
              <w:rPr>
                <w:rFonts w:hint="eastAsia" w:ascii="宋体" w:hAnsi="宋体" w:cs="宋体"/>
                <w:color w:val="auto"/>
                <w:szCs w:val="21"/>
              </w:rPr>
              <w:t>章“工程量清单”给出的范围及数量</w:t>
            </w:r>
          </w:p>
        </w:tc>
      </w:tr>
      <w:tr w14:paraId="52456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exact"/>
          <w:jc w:val="center"/>
        </w:trPr>
        <w:tc>
          <w:tcPr>
            <w:tcW w:w="782" w:type="dxa"/>
            <w:vMerge w:val="continue"/>
          </w:tcPr>
          <w:p w14:paraId="5CDDE4F5">
            <w:pPr>
              <w:jc w:val="center"/>
              <w:rPr>
                <w:rFonts w:ascii="宋体" w:hAnsi="宋体"/>
                <w:color w:val="auto"/>
                <w:szCs w:val="21"/>
              </w:rPr>
            </w:pPr>
          </w:p>
        </w:tc>
        <w:tc>
          <w:tcPr>
            <w:tcW w:w="1095" w:type="dxa"/>
            <w:vMerge w:val="continue"/>
          </w:tcPr>
          <w:p w14:paraId="395FCC10">
            <w:pPr>
              <w:jc w:val="center"/>
              <w:rPr>
                <w:rFonts w:ascii="宋体" w:hAnsi="宋体" w:cs="宋体"/>
                <w:color w:val="auto"/>
                <w:szCs w:val="21"/>
              </w:rPr>
            </w:pPr>
          </w:p>
        </w:tc>
        <w:tc>
          <w:tcPr>
            <w:tcW w:w="1892" w:type="dxa"/>
            <w:vAlign w:val="center"/>
          </w:tcPr>
          <w:p w14:paraId="5382CF61">
            <w:pPr>
              <w:jc w:val="center"/>
              <w:rPr>
                <w:rFonts w:ascii="宋体" w:hAnsi="宋体" w:cs="宋体"/>
                <w:color w:val="auto"/>
                <w:szCs w:val="21"/>
              </w:rPr>
            </w:pPr>
            <w:r>
              <w:rPr>
                <w:rFonts w:hint="eastAsia" w:ascii="宋体" w:hAnsi="宋体" w:cs="宋体"/>
                <w:color w:val="auto"/>
                <w:szCs w:val="21"/>
              </w:rPr>
              <w:t>技术标准和要求</w:t>
            </w:r>
          </w:p>
        </w:tc>
        <w:tc>
          <w:tcPr>
            <w:tcW w:w="5872" w:type="dxa"/>
            <w:vAlign w:val="center"/>
          </w:tcPr>
          <w:p w14:paraId="7B41804C">
            <w:pPr>
              <w:jc w:val="left"/>
              <w:rPr>
                <w:rFonts w:ascii="宋体" w:hAnsi="宋体" w:cs="宋体"/>
                <w:color w:val="auto"/>
                <w:szCs w:val="21"/>
              </w:rPr>
            </w:pPr>
            <w:r>
              <w:rPr>
                <w:rFonts w:hint="eastAsia" w:ascii="宋体" w:hAnsi="宋体" w:cs="宋体"/>
                <w:color w:val="auto"/>
                <w:szCs w:val="21"/>
              </w:rPr>
              <w:t>符合第七章“技术标准和要求”规定</w:t>
            </w:r>
          </w:p>
        </w:tc>
      </w:tr>
    </w:tbl>
    <w:p w14:paraId="41C0B9F3">
      <w:pPr>
        <w:pStyle w:val="86"/>
        <w:ind w:firstLine="0" w:firstLineChars="0"/>
        <w:rPr>
          <w:color w:val="auto"/>
        </w:rPr>
      </w:pPr>
    </w:p>
    <w:p w14:paraId="1BD81DEE">
      <w:pPr>
        <w:rPr>
          <w:color w:val="auto"/>
        </w:rPr>
      </w:pPr>
    </w:p>
    <w:p w14:paraId="1F33C1C8">
      <w:pPr>
        <w:jc w:val="center"/>
        <w:rPr>
          <w:rFonts w:ascii="Times New Roman" w:hAnsi="Times New Roman"/>
          <w:b/>
          <w:bCs/>
          <w:color w:val="auto"/>
          <w:sz w:val="24"/>
          <w:szCs w:val="24"/>
        </w:rPr>
      </w:pPr>
      <w:r>
        <w:rPr>
          <w:rFonts w:hint="eastAsia" w:ascii="Times New Roman" w:hAnsi="Times New Roman"/>
          <w:b/>
          <w:bCs/>
          <w:color w:val="auto"/>
          <w:sz w:val="24"/>
          <w:szCs w:val="24"/>
        </w:rPr>
        <w:t>评分细则</w:t>
      </w:r>
    </w:p>
    <w:tbl>
      <w:tblPr>
        <w:tblStyle w:val="88"/>
        <w:tblpPr w:leftFromText="180" w:rightFromText="180" w:vertAnchor="text" w:horzAnchor="page" w:tblpX="1395" w:tblpY="1268"/>
        <w:tblOverlap w:val="never"/>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2222"/>
        <w:gridCol w:w="6215"/>
      </w:tblGrid>
      <w:tr w14:paraId="57FC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vAlign w:val="center"/>
          </w:tcPr>
          <w:p w14:paraId="518EF8C7">
            <w:pPr>
              <w:spacing w:line="360" w:lineRule="exact"/>
              <w:jc w:val="center"/>
              <w:textAlignment w:val="center"/>
              <w:rPr>
                <w:color w:val="auto"/>
              </w:rPr>
            </w:pPr>
            <w:bookmarkStart w:id="182" w:name="_Toc5069"/>
            <w:bookmarkStart w:id="183" w:name="_Toc534190132"/>
            <w:r>
              <w:rPr>
                <w:color w:val="auto"/>
              </w:rPr>
              <w:t>2.3.1</w:t>
            </w:r>
          </w:p>
        </w:tc>
        <w:tc>
          <w:tcPr>
            <w:tcW w:w="1156" w:type="pct"/>
            <w:vAlign w:val="center"/>
          </w:tcPr>
          <w:p w14:paraId="793F7781">
            <w:pPr>
              <w:spacing w:line="440" w:lineRule="exact"/>
              <w:jc w:val="center"/>
              <w:rPr>
                <w:color w:val="auto"/>
              </w:rPr>
            </w:pPr>
            <w:r>
              <w:rPr>
                <w:color w:val="auto"/>
              </w:rPr>
              <w:t>分值构成</w:t>
            </w:r>
          </w:p>
          <w:p w14:paraId="2BD7D43F">
            <w:pPr>
              <w:spacing w:line="360" w:lineRule="exact"/>
              <w:jc w:val="center"/>
              <w:textAlignment w:val="center"/>
              <w:rPr>
                <w:color w:val="auto"/>
              </w:rPr>
            </w:pPr>
            <w:r>
              <w:rPr>
                <w:color w:val="auto"/>
              </w:rPr>
              <w:t>（总分100分）</w:t>
            </w:r>
          </w:p>
        </w:tc>
        <w:tc>
          <w:tcPr>
            <w:tcW w:w="3233" w:type="pct"/>
            <w:vAlign w:val="center"/>
          </w:tcPr>
          <w:p w14:paraId="10D41728">
            <w:pPr>
              <w:spacing w:line="440" w:lineRule="exact"/>
              <w:rPr>
                <w:color w:val="auto"/>
              </w:rPr>
            </w:pPr>
            <w:r>
              <w:rPr>
                <w:color w:val="auto"/>
              </w:rPr>
              <w:t>投 标 报 价：</w:t>
            </w:r>
            <w:r>
              <w:rPr>
                <w:rFonts w:hint="eastAsia"/>
                <w:color w:val="auto"/>
              </w:rPr>
              <w:t>70</w:t>
            </w:r>
            <w:r>
              <w:rPr>
                <w:color w:val="auto"/>
              </w:rPr>
              <w:t>分</w:t>
            </w:r>
          </w:p>
          <w:p w14:paraId="5FDA4487">
            <w:pPr>
              <w:spacing w:line="440" w:lineRule="exact"/>
              <w:rPr>
                <w:color w:val="auto"/>
              </w:rPr>
            </w:pPr>
            <w:r>
              <w:rPr>
                <w:color w:val="auto"/>
              </w:rPr>
              <w:t>施工组织设计：</w:t>
            </w:r>
            <w:r>
              <w:rPr>
                <w:rFonts w:hint="eastAsia"/>
                <w:color w:val="auto"/>
                <w:lang w:val="en-US" w:eastAsia="zh-CN"/>
              </w:rPr>
              <w:t>30</w:t>
            </w:r>
            <w:r>
              <w:rPr>
                <w:color w:val="auto"/>
              </w:rPr>
              <w:t>分</w:t>
            </w:r>
          </w:p>
        </w:tc>
      </w:tr>
      <w:tr w14:paraId="22EC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Align w:val="center"/>
          </w:tcPr>
          <w:p w14:paraId="5EC50E57">
            <w:pPr>
              <w:spacing w:line="360" w:lineRule="exact"/>
              <w:jc w:val="center"/>
              <w:textAlignment w:val="center"/>
              <w:rPr>
                <w:color w:val="auto"/>
              </w:rPr>
            </w:pPr>
            <w:r>
              <w:rPr>
                <w:color w:val="auto"/>
              </w:rPr>
              <w:t>2.3.2</w:t>
            </w:r>
          </w:p>
        </w:tc>
        <w:tc>
          <w:tcPr>
            <w:tcW w:w="1156" w:type="pct"/>
            <w:vAlign w:val="center"/>
          </w:tcPr>
          <w:p w14:paraId="1C026C13">
            <w:pPr>
              <w:spacing w:line="360" w:lineRule="exact"/>
              <w:jc w:val="center"/>
              <w:textAlignment w:val="center"/>
              <w:rPr>
                <w:color w:val="auto"/>
              </w:rPr>
            </w:pPr>
            <w:r>
              <w:rPr>
                <w:color w:val="auto"/>
              </w:rPr>
              <w:t>评标基准价计算方法</w:t>
            </w:r>
          </w:p>
        </w:tc>
        <w:tc>
          <w:tcPr>
            <w:tcW w:w="3233" w:type="pct"/>
            <w:vAlign w:val="center"/>
          </w:tcPr>
          <w:p w14:paraId="4829DDC6">
            <w:pPr>
              <w:spacing w:line="360" w:lineRule="exact"/>
              <w:textAlignment w:val="center"/>
              <w:rPr>
                <w:color w:val="auto"/>
              </w:rPr>
            </w:pPr>
            <w:r>
              <w:rPr>
                <w:color w:val="auto"/>
              </w:rPr>
              <w:t>详见本章第2.3.2条</w:t>
            </w:r>
          </w:p>
        </w:tc>
      </w:tr>
      <w:tr w14:paraId="5BF9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0" w:type="pct"/>
            <w:vAlign w:val="center"/>
          </w:tcPr>
          <w:p w14:paraId="76C95712">
            <w:pPr>
              <w:spacing w:line="360" w:lineRule="exact"/>
              <w:jc w:val="center"/>
              <w:textAlignment w:val="center"/>
              <w:rPr>
                <w:color w:val="auto"/>
              </w:rPr>
            </w:pPr>
            <w:r>
              <w:rPr>
                <w:color w:val="auto"/>
              </w:rPr>
              <w:t>2.3.3</w:t>
            </w:r>
          </w:p>
        </w:tc>
        <w:tc>
          <w:tcPr>
            <w:tcW w:w="1156" w:type="pct"/>
            <w:vAlign w:val="center"/>
          </w:tcPr>
          <w:p w14:paraId="4858FBE6">
            <w:pPr>
              <w:spacing w:line="360" w:lineRule="exact"/>
              <w:jc w:val="center"/>
              <w:textAlignment w:val="center"/>
              <w:rPr>
                <w:color w:val="auto"/>
              </w:rPr>
            </w:pPr>
            <w:r>
              <w:rPr>
                <w:color w:val="auto"/>
              </w:rPr>
              <w:t>投标报价的偏差率</w:t>
            </w:r>
          </w:p>
        </w:tc>
        <w:tc>
          <w:tcPr>
            <w:tcW w:w="3233" w:type="pct"/>
            <w:vAlign w:val="center"/>
          </w:tcPr>
          <w:p w14:paraId="2C4912E5">
            <w:pPr>
              <w:spacing w:line="360" w:lineRule="exact"/>
              <w:textAlignment w:val="center"/>
              <w:rPr>
                <w:color w:val="auto"/>
              </w:rPr>
            </w:pPr>
            <w:r>
              <w:rPr>
                <w:color w:val="auto"/>
              </w:rPr>
              <w:t>偏差率=（投标人报价－评标基准价）/评标基准价×100%</w:t>
            </w:r>
          </w:p>
        </w:tc>
      </w:tr>
      <w:tr w14:paraId="79798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Align w:val="center"/>
          </w:tcPr>
          <w:p w14:paraId="0EAB11CE">
            <w:pPr>
              <w:spacing w:line="360" w:lineRule="exact"/>
              <w:jc w:val="center"/>
              <w:textAlignment w:val="center"/>
              <w:rPr>
                <w:color w:val="auto"/>
              </w:rPr>
            </w:pPr>
            <w:r>
              <w:rPr>
                <w:color w:val="auto"/>
              </w:rPr>
              <w:t>条款号</w:t>
            </w:r>
          </w:p>
        </w:tc>
        <w:tc>
          <w:tcPr>
            <w:tcW w:w="1156" w:type="pct"/>
            <w:vAlign w:val="center"/>
          </w:tcPr>
          <w:p w14:paraId="16BF1216">
            <w:pPr>
              <w:spacing w:line="360" w:lineRule="exact"/>
              <w:jc w:val="center"/>
              <w:textAlignment w:val="center"/>
              <w:rPr>
                <w:color w:val="auto"/>
              </w:rPr>
            </w:pPr>
            <w:r>
              <w:rPr>
                <w:color w:val="auto"/>
              </w:rPr>
              <w:t>评分因素和分值</w:t>
            </w:r>
          </w:p>
        </w:tc>
        <w:tc>
          <w:tcPr>
            <w:tcW w:w="3233" w:type="pct"/>
            <w:vAlign w:val="center"/>
          </w:tcPr>
          <w:p w14:paraId="32339AD3">
            <w:pPr>
              <w:spacing w:line="360" w:lineRule="exact"/>
              <w:jc w:val="center"/>
              <w:textAlignment w:val="center"/>
              <w:rPr>
                <w:color w:val="auto"/>
              </w:rPr>
            </w:pPr>
            <w:r>
              <w:rPr>
                <w:color w:val="auto"/>
              </w:rPr>
              <w:t>评分标准</w:t>
            </w:r>
          </w:p>
        </w:tc>
      </w:tr>
      <w:tr w14:paraId="19D5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Align w:val="center"/>
          </w:tcPr>
          <w:p w14:paraId="3158484F">
            <w:pPr>
              <w:spacing w:line="360" w:lineRule="exact"/>
              <w:jc w:val="center"/>
              <w:textAlignment w:val="center"/>
              <w:rPr>
                <w:color w:val="auto"/>
              </w:rPr>
            </w:pPr>
            <w:r>
              <w:rPr>
                <w:color w:val="auto"/>
              </w:rPr>
              <w:t>2.3.4.1</w:t>
            </w:r>
          </w:p>
          <w:p w14:paraId="36F9C70B">
            <w:pPr>
              <w:pStyle w:val="87"/>
              <w:ind w:firstLine="0"/>
              <w:rPr>
                <w:color w:val="auto"/>
              </w:rPr>
            </w:pPr>
          </w:p>
        </w:tc>
        <w:tc>
          <w:tcPr>
            <w:tcW w:w="1156" w:type="pct"/>
            <w:vAlign w:val="center"/>
          </w:tcPr>
          <w:p w14:paraId="71BB0DBE">
            <w:pPr>
              <w:spacing w:line="440" w:lineRule="exact"/>
              <w:jc w:val="center"/>
              <w:rPr>
                <w:color w:val="auto"/>
              </w:rPr>
            </w:pPr>
            <w:r>
              <w:rPr>
                <w:color w:val="auto"/>
              </w:rPr>
              <w:t>投标报价</w:t>
            </w:r>
          </w:p>
          <w:p w14:paraId="788FD187">
            <w:pPr>
              <w:spacing w:line="440" w:lineRule="exact"/>
              <w:jc w:val="center"/>
              <w:rPr>
                <w:color w:val="auto"/>
              </w:rPr>
            </w:pPr>
            <w:r>
              <w:rPr>
                <w:color w:val="auto"/>
              </w:rPr>
              <w:t>(</w:t>
            </w:r>
            <w:r>
              <w:rPr>
                <w:rFonts w:hint="eastAsia"/>
                <w:color w:val="auto"/>
              </w:rPr>
              <w:t>70</w:t>
            </w:r>
            <w:r>
              <w:rPr>
                <w:color w:val="auto"/>
              </w:rPr>
              <w:t>分)</w:t>
            </w:r>
          </w:p>
          <w:p w14:paraId="2EB31301">
            <w:pPr>
              <w:spacing w:line="360" w:lineRule="exact"/>
              <w:jc w:val="center"/>
              <w:textAlignment w:val="center"/>
              <w:rPr>
                <w:color w:val="auto"/>
              </w:rPr>
            </w:pPr>
          </w:p>
        </w:tc>
        <w:tc>
          <w:tcPr>
            <w:tcW w:w="3233" w:type="pct"/>
            <w:vAlign w:val="center"/>
          </w:tcPr>
          <w:p w14:paraId="5D30DE76">
            <w:pPr>
              <w:pStyle w:val="46"/>
              <w:spacing w:line="440" w:lineRule="exact"/>
              <w:rPr>
                <w:rFonts w:ascii="Times New Roman" w:hAnsi="Times New Roman"/>
                <w:color w:val="auto"/>
                <w:szCs w:val="24"/>
              </w:rPr>
            </w:pPr>
            <w:r>
              <w:rPr>
                <w:rFonts w:hint="eastAsia" w:ascii="Times New Roman" w:hAnsi="Times New Roman"/>
                <w:color w:val="auto"/>
                <w:szCs w:val="24"/>
              </w:rPr>
              <w:t>1.投标人的投标总报价凡不高于招标人公布的招标控制价、不低于其企业成本者为有效投标报价，否则为无效投标报价。投标报价为无效投标报价者评标委员会有权否决其投标。</w:t>
            </w:r>
          </w:p>
          <w:p w14:paraId="646D2C1D">
            <w:pPr>
              <w:pStyle w:val="46"/>
              <w:spacing w:line="440" w:lineRule="exact"/>
              <w:rPr>
                <w:rFonts w:ascii="Times New Roman" w:hAnsi="Times New Roman"/>
                <w:color w:val="auto"/>
                <w:szCs w:val="24"/>
              </w:rPr>
            </w:pPr>
            <w:r>
              <w:rPr>
                <w:rFonts w:hint="eastAsia" w:ascii="Times New Roman" w:hAnsi="Times New Roman"/>
                <w:color w:val="auto"/>
                <w:szCs w:val="24"/>
              </w:rPr>
              <w:t>2.A：评标基准价。当n（有效投标人个数，以下相同）＜7时，A=所有投标价的算术平均值；</w:t>
            </w:r>
          </w:p>
          <w:p w14:paraId="50848749">
            <w:pPr>
              <w:pStyle w:val="46"/>
              <w:spacing w:line="440" w:lineRule="exact"/>
              <w:rPr>
                <w:rFonts w:ascii="Times New Roman" w:hAnsi="Times New Roman"/>
                <w:color w:val="auto"/>
                <w:szCs w:val="24"/>
              </w:rPr>
            </w:pPr>
            <w:r>
              <w:rPr>
                <w:rFonts w:hint="eastAsia" w:ascii="Times New Roman" w:hAnsi="Times New Roman"/>
                <w:color w:val="auto"/>
                <w:szCs w:val="24"/>
              </w:rPr>
              <w:t>当7≤n＜10时，A=所有投标报价中去掉1个最高价、1个最低价后的算术平均值；</w:t>
            </w:r>
          </w:p>
          <w:p w14:paraId="7E756F1F">
            <w:pPr>
              <w:pStyle w:val="46"/>
              <w:spacing w:line="440" w:lineRule="exact"/>
              <w:rPr>
                <w:rFonts w:ascii="Times New Roman" w:hAnsi="Times New Roman"/>
                <w:color w:val="auto"/>
                <w:szCs w:val="24"/>
              </w:rPr>
            </w:pPr>
            <w:r>
              <w:rPr>
                <w:rFonts w:hint="eastAsia" w:ascii="Times New Roman" w:hAnsi="Times New Roman"/>
                <w:color w:val="auto"/>
                <w:szCs w:val="24"/>
              </w:rPr>
              <w:t>当n≥10时，A=所有投标报价中去掉2个最高价、2个最低价后的算术平均值。</w:t>
            </w:r>
          </w:p>
          <w:p w14:paraId="3FFED752">
            <w:pPr>
              <w:pStyle w:val="46"/>
              <w:spacing w:line="440" w:lineRule="exact"/>
              <w:rPr>
                <w:rFonts w:ascii="Times New Roman" w:hAnsi="Times New Roman"/>
                <w:color w:val="auto"/>
                <w:szCs w:val="24"/>
              </w:rPr>
            </w:pPr>
            <w:r>
              <w:rPr>
                <w:rFonts w:hint="eastAsia" w:ascii="Times New Roman" w:hAnsi="Times New Roman"/>
                <w:color w:val="auto"/>
                <w:szCs w:val="24"/>
              </w:rPr>
              <w:t>3.</w:t>
            </w:r>
            <w:r>
              <w:rPr>
                <w:rFonts w:ascii="Times New Roman" w:hAnsi="Times New Roman"/>
                <w:color w:val="auto"/>
                <w:szCs w:val="24"/>
              </w:rPr>
              <w:t>以确定的</w:t>
            </w:r>
            <w:r>
              <w:rPr>
                <w:rFonts w:hint="eastAsia" w:ascii="Times New Roman" w:hAnsi="Times New Roman"/>
                <w:color w:val="auto"/>
                <w:szCs w:val="24"/>
              </w:rPr>
              <w:t>A</w:t>
            </w:r>
            <w:r>
              <w:rPr>
                <w:rFonts w:ascii="Times New Roman" w:hAnsi="Times New Roman"/>
                <w:color w:val="auto"/>
                <w:szCs w:val="24"/>
              </w:rPr>
              <w:t>值为基准，投标人有效投标</w:t>
            </w:r>
            <w:r>
              <w:rPr>
                <w:rFonts w:hint="eastAsia" w:ascii="Times New Roman" w:hAnsi="Times New Roman"/>
                <w:color w:val="auto"/>
                <w:szCs w:val="24"/>
              </w:rPr>
              <w:t>总</w:t>
            </w:r>
            <w:r>
              <w:rPr>
                <w:rFonts w:ascii="Times New Roman" w:hAnsi="Times New Roman"/>
                <w:color w:val="auto"/>
                <w:szCs w:val="24"/>
              </w:rPr>
              <w:t>报价与</w:t>
            </w:r>
            <w:r>
              <w:rPr>
                <w:rFonts w:hint="eastAsia" w:ascii="Times New Roman" w:hAnsi="Times New Roman"/>
                <w:color w:val="auto"/>
                <w:szCs w:val="24"/>
              </w:rPr>
              <w:t>A</w:t>
            </w:r>
            <w:r>
              <w:rPr>
                <w:rFonts w:ascii="Times New Roman" w:hAnsi="Times New Roman"/>
                <w:color w:val="auto"/>
                <w:szCs w:val="24"/>
              </w:rPr>
              <w:t>相同时，得最高分</w:t>
            </w:r>
            <w:r>
              <w:rPr>
                <w:rFonts w:hint="eastAsia" w:ascii="Times New Roman"/>
                <w:color w:val="auto"/>
                <w:szCs w:val="24"/>
              </w:rPr>
              <w:t>70</w:t>
            </w:r>
            <w:r>
              <w:rPr>
                <w:rFonts w:ascii="Times New Roman" w:hAnsi="Times New Roman"/>
                <w:color w:val="auto"/>
                <w:szCs w:val="24"/>
              </w:rPr>
              <w:t>分，每高于</w:t>
            </w:r>
            <w:r>
              <w:rPr>
                <w:rFonts w:hint="eastAsia" w:ascii="Times New Roman" w:hAnsi="Times New Roman"/>
                <w:color w:val="auto"/>
                <w:szCs w:val="24"/>
              </w:rPr>
              <w:t>A值</w:t>
            </w:r>
            <w:r>
              <w:rPr>
                <w:rFonts w:ascii="Times New Roman" w:hAnsi="Times New Roman"/>
                <w:color w:val="auto"/>
                <w:szCs w:val="24"/>
              </w:rPr>
              <w:t>1%扣减0.</w:t>
            </w:r>
            <w:r>
              <w:rPr>
                <w:rFonts w:hint="eastAsia" w:ascii="Times New Roman"/>
                <w:color w:val="auto"/>
                <w:szCs w:val="24"/>
              </w:rPr>
              <w:t>3</w:t>
            </w:r>
            <w:r>
              <w:rPr>
                <w:rFonts w:ascii="Times New Roman" w:hAnsi="Times New Roman"/>
                <w:color w:val="auto"/>
                <w:szCs w:val="24"/>
              </w:rPr>
              <w:t>分；每低于</w:t>
            </w:r>
            <w:r>
              <w:rPr>
                <w:rFonts w:hint="eastAsia" w:ascii="Times New Roman" w:hAnsi="Times New Roman"/>
                <w:color w:val="auto"/>
                <w:szCs w:val="24"/>
              </w:rPr>
              <w:t>A值</w:t>
            </w:r>
            <w:r>
              <w:rPr>
                <w:rFonts w:ascii="Times New Roman" w:hAnsi="Times New Roman"/>
                <w:color w:val="auto"/>
                <w:szCs w:val="24"/>
              </w:rPr>
              <w:t>1%扣减0.</w:t>
            </w:r>
            <w:r>
              <w:rPr>
                <w:rFonts w:hint="eastAsia" w:ascii="Times New Roman"/>
                <w:color w:val="auto"/>
                <w:szCs w:val="24"/>
              </w:rPr>
              <w:t>3</w:t>
            </w:r>
            <w:r>
              <w:rPr>
                <w:rFonts w:ascii="Times New Roman" w:hAnsi="Times New Roman"/>
                <w:color w:val="auto"/>
                <w:szCs w:val="24"/>
              </w:rPr>
              <w:t>分，不足1%的部分按“插入法”计算，扣完为止。得分四舍五入后保留到小数点后二位。</w:t>
            </w:r>
          </w:p>
          <w:p w14:paraId="66ABD914">
            <w:pPr>
              <w:pStyle w:val="46"/>
              <w:spacing w:line="440" w:lineRule="exact"/>
              <w:rPr>
                <w:color w:val="auto"/>
              </w:rPr>
            </w:pPr>
            <w:r>
              <w:rPr>
                <w:rFonts w:ascii="Times New Roman" w:hAnsi="Times New Roman"/>
                <w:color w:val="auto"/>
                <w:szCs w:val="24"/>
              </w:rPr>
              <w:t>注：</w:t>
            </w:r>
            <w:r>
              <w:rPr>
                <w:rFonts w:hint="eastAsia" w:ascii="Times New Roman" w:hAnsi="Times New Roman"/>
                <w:color w:val="auto"/>
                <w:szCs w:val="24"/>
              </w:rPr>
              <w:t>A值</w:t>
            </w:r>
            <w:r>
              <w:rPr>
                <w:rFonts w:ascii="Times New Roman" w:hAnsi="Times New Roman"/>
                <w:color w:val="auto"/>
                <w:szCs w:val="24"/>
              </w:rPr>
              <w:t>以元为单位四舍五入保留到小数点后二位。</w:t>
            </w:r>
          </w:p>
        </w:tc>
      </w:tr>
      <w:tr w14:paraId="7677E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Merge w:val="restart"/>
            <w:vAlign w:val="center"/>
          </w:tcPr>
          <w:p w14:paraId="2EE90E51">
            <w:pPr>
              <w:spacing w:line="360" w:lineRule="exact"/>
              <w:jc w:val="center"/>
              <w:textAlignment w:val="center"/>
              <w:rPr>
                <w:color w:val="auto"/>
              </w:rPr>
            </w:pPr>
            <w:r>
              <w:rPr>
                <w:color w:val="auto"/>
              </w:rPr>
              <w:t>2.3.4.2</w:t>
            </w:r>
          </w:p>
          <w:p w14:paraId="6B5E9EA4">
            <w:pPr>
              <w:pStyle w:val="87"/>
              <w:ind w:firstLine="0"/>
              <w:rPr>
                <w:color w:val="auto"/>
              </w:rPr>
            </w:pPr>
            <w:r>
              <w:rPr>
                <w:rFonts w:hint="eastAsia"/>
                <w:color w:val="auto"/>
              </w:rPr>
              <w:t>技术部分</w:t>
            </w:r>
          </w:p>
        </w:tc>
        <w:tc>
          <w:tcPr>
            <w:tcW w:w="1156" w:type="pct"/>
            <w:vMerge w:val="restart"/>
            <w:vAlign w:val="center"/>
          </w:tcPr>
          <w:p w14:paraId="52F7A0F5">
            <w:pPr>
              <w:spacing w:line="360" w:lineRule="auto"/>
              <w:jc w:val="center"/>
              <w:rPr>
                <w:color w:val="auto"/>
              </w:rPr>
            </w:pPr>
            <w:r>
              <w:rPr>
                <w:color w:val="auto"/>
              </w:rPr>
              <w:t>施工组织设计</w:t>
            </w:r>
          </w:p>
          <w:p w14:paraId="4817BD3F">
            <w:pPr>
              <w:spacing w:line="360" w:lineRule="exact"/>
              <w:jc w:val="center"/>
              <w:textAlignment w:val="center"/>
              <w:rPr>
                <w:color w:val="auto"/>
              </w:rPr>
            </w:pPr>
            <w:r>
              <w:rPr>
                <w:color w:val="auto"/>
              </w:rPr>
              <w:t>（</w:t>
            </w:r>
            <w:r>
              <w:rPr>
                <w:rFonts w:hint="eastAsia"/>
                <w:color w:val="auto"/>
                <w:lang w:val="en-US" w:eastAsia="zh-CN"/>
              </w:rPr>
              <w:t>30</w:t>
            </w:r>
            <w:r>
              <w:rPr>
                <w:color w:val="auto"/>
              </w:rPr>
              <w:t>分）</w:t>
            </w:r>
          </w:p>
        </w:tc>
        <w:tc>
          <w:tcPr>
            <w:tcW w:w="3233" w:type="pct"/>
            <w:vAlign w:val="center"/>
          </w:tcPr>
          <w:p w14:paraId="0BD8D1E5">
            <w:pPr>
              <w:pStyle w:val="46"/>
              <w:spacing w:line="440" w:lineRule="exact"/>
              <w:rPr>
                <w:rFonts w:hAnsi="宋体" w:cs="宋体"/>
                <w:color w:val="auto"/>
                <w:kern w:val="1"/>
                <w:szCs w:val="21"/>
                <w:lang w:val="zh-CN"/>
              </w:rPr>
            </w:pPr>
            <w:r>
              <w:rPr>
                <w:rFonts w:hint="eastAsia" w:hAnsi="宋体" w:cs="宋体"/>
                <w:color w:val="auto"/>
                <w:kern w:val="1"/>
                <w:szCs w:val="21"/>
                <w:lang w:val="zh-CN"/>
              </w:rPr>
              <w:t>施工组织总体设想、施工方案及施工段划分</w:t>
            </w:r>
            <w:r>
              <w:rPr>
                <w:rFonts w:hint="eastAsia" w:hAnsi="宋体" w:cs="宋体"/>
                <w:color w:val="auto"/>
                <w:kern w:val="1"/>
                <w:szCs w:val="21"/>
              </w:rPr>
              <w:t>（</w:t>
            </w:r>
            <w:r>
              <w:rPr>
                <w:rFonts w:hint="eastAsia" w:hAnsi="宋体" w:cs="宋体"/>
                <w:color w:val="auto"/>
                <w:kern w:val="1"/>
                <w:szCs w:val="21"/>
                <w:lang w:val="en-US" w:eastAsia="zh-CN"/>
              </w:rPr>
              <w:t>4</w:t>
            </w:r>
            <w:r>
              <w:rPr>
                <w:rFonts w:hint="eastAsia" w:hAnsi="宋体" w:cs="宋体"/>
                <w:color w:val="auto"/>
                <w:kern w:val="1"/>
                <w:szCs w:val="21"/>
                <w:lang w:val="zh-CN"/>
              </w:rPr>
              <w:t>分</w:t>
            </w:r>
            <w:r>
              <w:rPr>
                <w:rFonts w:hint="eastAsia" w:hAnsi="宋体" w:cs="宋体"/>
                <w:color w:val="auto"/>
                <w:kern w:val="1"/>
                <w:szCs w:val="21"/>
              </w:rPr>
              <w:t>）</w:t>
            </w:r>
          </w:p>
          <w:p w14:paraId="3A73BF14">
            <w:pPr>
              <w:pStyle w:val="46"/>
              <w:spacing w:line="440" w:lineRule="exact"/>
              <w:rPr>
                <w:rFonts w:ascii="Times New Roman" w:hAnsi="Times New Roman"/>
                <w:color w:val="auto"/>
                <w:szCs w:val="24"/>
              </w:rPr>
            </w:pPr>
            <w:r>
              <w:rPr>
                <w:rFonts w:hint="eastAsia" w:hAnsi="宋体" w:cs="宋体"/>
                <w:color w:val="auto"/>
                <w:kern w:val="1"/>
                <w:szCs w:val="21"/>
                <w:lang w:val="zh-CN"/>
              </w:rPr>
              <w:t>施工组织总体设想是否符合项目实际，须有详尽的施工技术方案，工艺先进、方法科学合理、可行，施工段划分能指导具体施工并确保安全；优得</w:t>
            </w:r>
            <w:r>
              <w:rPr>
                <w:rFonts w:hint="eastAsia" w:hAnsi="宋体" w:cs="宋体"/>
                <w:color w:val="auto"/>
                <w:kern w:val="1"/>
                <w:szCs w:val="21"/>
              </w:rPr>
              <w:t>2.1</w:t>
            </w:r>
            <w:r>
              <w:rPr>
                <w:rFonts w:hint="eastAsia" w:hAnsi="宋体" w:cs="宋体"/>
                <w:color w:val="auto"/>
                <w:kern w:val="1"/>
                <w:szCs w:val="21"/>
                <w:lang w:val="zh-CN"/>
              </w:rPr>
              <w:t>-</w:t>
            </w:r>
            <w:r>
              <w:rPr>
                <w:rFonts w:hint="eastAsia" w:hAnsi="宋体" w:cs="宋体"/>
                <w:color w:val="auto"/>
                <w:kern w:val="1"/>
                <w:szCs w:val="21"/>
                <w:lang w:val="en-US" w:eastAsia="zh-CN"/>
              </w:rPr>
              <w:t>4</w:t>
            </w:r>
            <w:r>
              <w:rPr>
                <w:rFonts w:hint="eastAsia" w:hAnsi="宋体" w:cs="宋体"/>
                <w:color w:val="auto"/>
                <w:kern w:val="1"/>
                <w:szCs w:val="21"/>
                <w:lang w:val="zh-CN"/>
              </w:rPr>
              <w:t>分，良得</w:t>
            </w:r>
            <w:r>
              <w:rPr>
                <w:rFonts w:hint="eastAsia" w:hAnsi="宋体" w:cs="宋体"/>
                <w:color w:val="auto"/>
                <w:kern w:val="1"/>
                <w:szCs w:val="21"/>
              </w:rPr>
              <w:t>1.1</w:t>
            </w:r>
            <w:r>
              <w:rPr>
                <w:rFonts w:hint="eastAsia" w:hAnsi="宋体" w:cs="宋体"/>
                <w:color w:val="auto"/>
                <w:kern w:val="1"/>
                <w:szCs w:val="21"/>
                <w:lang w:val="zh-CN"/>
              </w:rPr>
              <w:t>-</w:t>
            </w:r>
            <w:r>
              <w:rPr>
                <w:rFonts w:hint="eastAsia" w:hAnsi="宋体" w:cs="宋体"/>
                <w:color w:val="auto"/>
                <w:kern w:val="1"/>
                <w:szCs w:val="21"/>
              </w:rPr>
              <w:t>2</w:t>
            </w:r>
            <w:r>
              <w:rPr>
                <w:rFonts w:hint="eastAsia" w:hAnsi="宋体" w:cs="宋体"/>
                <w:color w:val="auto"/>
                <w:kern w:val="1"/>
                <w:szCs w:val="21"/>
                <w:lang w:val="zh-CN"/>
              </w:rPr>
              <w:t>分，一般得0-</w:t>
            </w:r>
            <w:r>
              <w:rPr>
                <w:rFonts w:hint="eastAsia" w:hAnsi="宋体" w:cs="宋体"/>
                <w:color w:val="auto"/>
                <w:kern w:val="1"/>
                <w:szCs w:val="21"/>
              </w:rPr>
              <w:t>1</w:t>
            </w:r>
            <w:r>
              <w:rPr>
                <w:rFonts w:hint="eastAsia" w:hAnsi="宋体" w:cs="宋体"/>
                <w:color w:val="auto"/>
                <w:kern w:val="1"/>
                <w:szCs w:val="21"/>
                <w:lang w:val="zh-CN"/>
              </w:rPr>
              <w:t>分。</w:t>
            </w:r>
          </w:p>
        </w:tc>
      </w:tr>
      <w:tr w14:paraId="1857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Merge w:val="continue"/>
            <w:vAlign w:val="center"/>
          </w:tcPr>
          <w:p w14:paraId="5038767A">
            <w:pPr>
              <w:spacing w:line="360" w:lineRule="exact"/>
              <w:jc w:val="center"/>
              <w:textAlignment w:val="center"/>
              <w:rPr>
                <w:color w:val="auto"/>
              </w:rPr>
            </w:pPr>
          </w:p>
        </w:tc>
        <w:tc>
          <w:tcPr>
            <w:tcW w:w="1156" w:type="pct"/>
            <w:vMerge w:val="continue"/>
            <w:vAlign w:val="center"/>
          </w:tcPr>
          <w:p w14:paraId="57C08433">
            <w:pPr>
              <w:spacing w:line="360" w:lineRule="exact"/>
              <w:jc w:val="center"/>
              <w:textAlignment w:val="center"/>
              <w:rPr>
                <w:color w:val="auto"/>
              </w:rPr>
            </w:pPr>
          </w:p>
        </w:tc>
        <w:tc>
          <w:tcPr>
            <w:tcW w:w="3233" w:type="pct"/>
            <w:vAlign w:val="center"/>
          </w:tcPr>
          <w:p w14:paraId="7E419BFD">
            <w:pPr>
              <w:pStyle w:val="46"/>
              <w:spacing w:line="440" w:lineRule="exact"/>
              <w:rPr>
                <w:rFonts w:hAnsi="宋体" w:cs="宋体"/>
                <w:color w:val="auto"/>
                <w:kern w:val="1"/>
                <w:szCs w:val="21"/>
                <w:lang w:val="zh-CN"/>
              </w:rPr>
            </w:pPr>
            <w:r>
              <w:rPr>
                <w:rFonts w:hAnsi="宋体" w:cs="宋体"/>
                <w:color w:val="auto"/>
                <w:kern w:val="1"/>
                <w:szCs w:val="21"/>
                <w:lang w:val="zh-CN"/>
              </w:rPr>
              <w:t>施工现场平面布置和临时设施、临时道路布置</w:t>
            </w:r>
            <w:r>
              <w:rPr>
                <w:rFonts w:hint="eastAsia" w:hAnsi="宋体" w:cs="宋体"/>
                <w:color w:val="auto"/>
                <w:kern w:val="1"/>
                <w:szCs w:val="21"/>
                <w:lang w:val="zh-CN"/>
              </w:rPr>
              <w:t>（</w:t>
            </w:r>
            <w:r>
              <w:rPr>
                <w:rFonts w:hint="eastAsia" w:hAnsi="宋体" w:cs="宋体"/>
                <w:color w:val="auto"/>
                <w:kern w:val="1"/>
                <w:szCs w:val="21"/>
                <w:lang w:val="en-US" w:eastAsia="zh-CN"/>
              </w:rPr>
              <w:t>4</w:t>
            </w:r>
            <w:r>
              <w:rPr>
                <w:rFonts w:hint="eastAsia" w:hAnsi="宋体" w:cs="宋体"/>
                <w:color w:val="auto"/>
                <w:kern w:val="1"/>
                <w:szCs w:val="21"/>
                <w:lang w:val="zh-CN"/>
              </w:rPr>
              <w:t>分）</w:t>
            </w:r>
          </w:p>
          <w:p w14:paraId="4E7EEE82">
            <w:pPr>
              <w:pStyle w:val="46"/>
              <w:spacing w:line="440" w:lineRule="exact"/>
              <w:rPr>
                <w:rFonts w:ascii="Times New Roman" w:hAnsi="Times New Roman"/>
                <w:color w:val="auto"/>
                <w:szCs w:val="24"/>
              </w:rPr>
            </w:pPr>
            <w:r>
              <w:rPr>
                <w:rFonts w:hint="eastAsia" w:hAnsi="宋体" w:cs="宋体"/>
                <w:color w:val="auto"/>
                <w:kern w:val="1"/>
                <w:szCs w:val="21"/>
                <w:lang w:val="zh-CN"/>
              </w:rPr>
              <w:t>施工现场总平面图布置科学合理，临时设施临时道路布置符合本工程的施工需要；优得</w:t>
            </w:r>
            <w:r>
              <w:rPr>
                <w:rFonts w:hint="eastAsia" w:hAnsi="宋体" w:cs="宋体"/>
                <w:color w:val="auto"/>
                <w:kern w:val="1"/>
                <w:szCs w:val="21"/>
              </w:rPr>
              <w:t>2.1</w:t>
            </w:r>
            <w:r>
              <w:rPr>
                <w:rFonts w:hint="eastAsia" w:hAnsi="宋体" w:cs="宋体"/>
                <w:color w:val="auto"/>
                <w:kern w:val="1"/>
                <w:szCs w:val="21"/>
                <w:lang w:val="zh-CN"/>
              </w:rPr>
              <w:t>-</w:t>
            </w:r>
            <w:r>
              <w:rPr>
                <w:rFonts w:hint="eastAsia" w:hAnsi="宋体" w:cs="宋体"/>
                <w:color w:val="auto"/>
                <w:kern w:val="1"/>
                <w:szCs w:val="21"/>
                <w:lang w:val="en-US" w:eastAsia="zh-CN"/>
              </w:rPr>
              <w:t>4</w:t>
            </w:r>
            <w:r>
              <w:rPr>
                <w:rFonts w:hint="eastAsia" w:hAnsi="宋体" w:cs="宋体"/>
                <w:color w:val="auto"/>
                <w:kern w:val="1"/>
                <w:szCs w:val="21"/>
                <w:lang w:val="zh-CN"/>
              </w:rPr>
              <w:t>分，良得</w:t>
            </w:r>
            <w:r>
              <w:rPr>
                <w:rFonts w:hint="eastAsia" w:hAnsi="宋体" w:cs="宋体"/>
                <w:color w:val="auto"/>
                <w:kern w:val="1"/>
                <w:szCs w:val="21"/>
              </w:rPr>
              <w:t>1.1</w:t>
            </w:r>
            <w:r>
              <w:rPr>
                <w:rFonts w:hint="eastAsia" w:hAnsi="宋体" w:cs="宋体"/>
                <w:color w:val="auto"/>
                <w:kern w:val="1"/>
                <w:szCs w:val="21"/>
                <w:lang w:val="zh-CN"/>
              </w:rPr>
              <w:t>-</w:t>
            </w:r>
            <w:r>
              <w:rPr>
                <w:rFonts w:hint="eastAsia" w:hAnsi="宋体" w:cs="宋体"/>
                <w:color w:val="auto"/>
                <w:kern w:val="1"/>
                <w:szCs w:val="21"/>
              </w:rPr>
              <w:t>2</w:t>
            </w:r>
            <w:r>
              <w:rPr>
                <w:rFonts w:hint="eastAsia" w:hAnsi="宋体" w:cs="宋体"/>
                <w:color w:val="auto"/>
                <w:kern w:val="1"/>
                <w:szCs w:val="21"/>
                <w:lang w:val="zh-CN"/>
              </w:rPr>
              <w:t>分，一般得0-</w:t>
            </w:r>
            <w:r>
              <w:rPr>
                <w:rFonts w:hint="eastAsia" w:hAnsi="宋体" w:cs="宋体"/>
                <w:color w:val="auto"/>
                <w:kern w:val="1"/>
                <w:szCs w:val="21"/>
              </w:rPr>
              <w:t>1</w:t>
            </w:r>
            <w:r>
              <w:rPr>
                <w:rFonts w:hint="eastAsia" w:hAnsi="宋体" w:cs="宋体"/>
                <w:color w:val="auto"/>
                <w:kern w:val="1"/>
                <w:szCs w:val="21"/>
                <w:lang w:val="zh-CN"/>
              </w:rPr>
              <w:t>分。</w:t>
            </w:r>
          </w:p>
        </w:tc>
      </w:tr>
      <w:tr w14:paraId="62CAF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Merge w:val="continue"/>
            <w:vAlign w:val="center"/>
          </w:tcPr>
          <w:p w14:paraId="2D7551AF">
            <w:pPr>
              <w:spacing w:line="360" w:lineRule="exact"/>
              <w:jc w:val="center"/>
              <w:textAlignment w:val="center"/>
              <w:rPr>
                <w:color w:val="auto"/>
              </w:rPr>
            </w:pPr>
          </w:p>
        </w:tc>
        <w:tc>
          <w:tcPr>
            <w:tcW w:w="1156" w:type="pct"/>
            <w:vMerge w:val="continue"/>
            <w:vAlign w:val="center"/>
          </w:tcPr>
          <w:p w14:paraId="44D1562D">
            <w:pPr>
              <w:spacing w:line="360" w:lineRule="exact"/>
              <w:jc w:val="center"/>
              <w:textAlignment w:val="center"/>
              <w:rPr>
                <w:color w:val="auto"/>
              </w:rPr>
            </w:pPr>
          </w:p>
        </w:tc>
        <w:tc>
          <w:tcPr>
            <w:tcW w:w="3233" w:type="pct"/>
            <w:vAlign w:val="center"/>
          </w:tcPr>
          <w:p w14:paraId="01B3E78F">
            <w:pPr>
              <w:pStyle w:val="46"/>
              <w:spacing w:line="440" w:lineRule="exact"/>
              <w:rPr>
                <w:rFonts w:hAnsi="宋体" w:cs="宋体"/>
                <w:color w:val="auto"/>
                <w:kern w:val="1"/>
                <w:szCs w:val="21"/>
                <w:lang w:val="zh-CN"/>
              </w:rPr>
            </w:pPr>
            <w:r>
              <w:rPr>
                <w:rFonts w:hAnsi="宋体" w:cs="宋体"/>
                <w:color w:val="auto"/>
                <w:kern w:val="1"/>
                <w:szCs w:val="21"/>
                <w:lang w:val="zh-CN"/>
              </w:rPr>
              <w:t>施工进度计划和各阶段进度的保证措施</w:t>
            </w:r>
            <w:r>
              <w:rPr>
                <w:rFonts w:hint="eastAsia" w:hAnsi="宋体" w:cs="宋体"/>
                <w:color w:val="auto"/>
                <w:kern w:val="1"/>
                <w:szCs w:val="21"/>
                <w:lang w:val="zh-CN"/>
              </w:rPr>
              <w:t>（</w:t>
            </w:r>
            <w:r>
              <w:rPr>
                <w:rFonts w:hint="eastAsia" w:hAnsi="宋体" w:cs="宋体"/>
                <w:color w:val="auto"/>
                <w:kern w:val="1"/>
                <w:szCs w:val="21"/>
                <w:lang w:val="en-US" w:eastAsia="zh-CN"/>
              </w:rPr>
              <w:t>4</w:t>
            </w:r>
            <w:r>
              <w:rPr>
                <w:rFonts w:hint="eastAsia" w:hAnsi="宋体" w:cs="宋体"/>
                <w:color w:val="auto"/>
                <w:kern w:val="1"/>
                <w:szCs w:val="21"/>
                <w:lang w:val="zh-CN"/>
              </w:rPr>
              <w:t>分）</w:t>
            </w:r>
          </w:p>
          <w:p w14:paraId="78C0A533">
            <w:pPr>
              <w:pStyle w:val="46"/>
              <w:spacing w:line="440" w:lineRule="exact"/>
              <w:rPr>
                <w:rFonts w:ascii="Times New Roman" w:hAnsi="Times New Roman"/>
                <w:color w:val="auto"/>
                <w:szCs w:val="24"/>
              </w:rPr>
            </w:pPr>
            <w:r>
              <w:rPr>
                <w:rFonts w:hint="eastAsia" w:hAnsi="宋体" w:cs="宋体"/>
                <w:color w:val="auto"/>
                <w:kern w:val="1"/>
                <w:szCs w:val="21"/>
                <w:lang w:val="zh-CN"/>
              </w:rPr>
              <w:t>在施工工艺、施工方法、材料选用、劳动力安排、技术等方面有保证工期的具体措施且措施得当。有控制工期的施工进度计划。应有施工总进度表或施工网络图，各项计划图表编制完善，安排科学合理，是否符合本项目施工实际要求；优得</w:t>
            </w:r>
            <w:r>
              <w:rPr>
                <w:rFonts w:hint="eastAsia" w:hAnsi="宋体" w:cs="宋体"/>
                <w:color w:val="auto"/>
                <w:kern w:val="1"/>
                <w:szCs w:val="21"/>
              </w:rPr>
              <w:t>2.1</w:t>
            </w:r>
            <w:r>
              <w:rPr>
                <w:rFonts w:hint="eastAsia" w:hAnsi="宋体" w:cs="宋体"/>
                <w:color w:val="auto"/>
                <w:kern w:val="1"/>
                <w:szCs w:val="21"/>
                <w:lang w:val="zh-CN"/>
              </w:rPr>
              <w:t>-</w:t>
            </w:r>
            <w:r>
              <w:rPr>
                <w:rFonts w:hint="eastAsia" w:hAnsi="宋体" w:cs="宋体"/>
                <w:color w:val="auto"/>
                <w:kern w:val="1"/>
                <w:szCs w:val="21"/>
                <w:lang w:val="en-US" w:eastAsia="zh-CN"/>
              </w:rPr>
              <w:t>4</w:t>
            </w:r>
            <w:r>
              <w:rPr>
                <w:rFonts w:hint="eastAsia" w:hAnsi="宋体" w:cs="宋体"/>
                <w:color w:val="auto"/>
                <w:kern w:val="1"/>
                <w:szCs w:val="21"/>
                <w:lang w:val="zh-CN"/>
              </w:rPr>
              <w:t>分，良得</w:t>
            </w:r>
            <w:r>
              <w:rPr>
                <w:rFonts w:hint="eastAsia" w:hAnsi="宋体" w:cs="宋体"/>
                <w:color w:val="auto"/>
                <w:kern w:val="1"/>
                <w:szCs w:val="21"/>
              </w:rPr>
              <w:t>1.1</w:t>
            </w:r>
            <w:r>
              <w:rPr>
                <w:rFonts w:hint="eastAsia" w:hAnsi="宋体" w:cs="宋体"/>
                <w:color w:val="auto"/>
                <w:kern w:val="1"/>
                <w:szCs w:val="21"/>
                <w:lang w:val="zh-CN"/>
              </w:rPr>
              <w:t>-</w:t>
            </w:r>
            <w:r>
              <w:rPr>
                <w:rFonts w:hint="eastAsia" w:hAnsi="宋体" w:cs="宋体"/>
                <w:color w:val="auto"/>
                <w:kern w:val="1"/>
                <w:szCs w:val="21"/>
              </w:rPr>
              <w:t>2</w:t>
            </w:r>
            <w:r>
              <w:rPr>
                <w:rFonts w:hint="eastAsia" w:hAnsi="宋体" w:cs="宋体"/>
                <w:color w:val="auto"/>
                <w:kern w:val="1"/>
                <w:szCs w:val="21"/>
                <w:lang w:val="zh-CN"/>
              </w:rPr>
              <w:t>分，一般得0-</w:t>
            </w:r>
            <w:r>
              <w:rPr>
                <w:rFonts w:hint="eastAsia" w:hAnsi="宋体" w:cs="宋体"/>
                <w:color w:val="auto"/>
                <w:kern w:val="1"/>
                <w:szCs w:val="21"/>
              </w:rPr>
              <w:t>1</w:t>
            </w:r>
            <w:r>
              <w:rPr>
                <w:rFonts w:hint="eastAsia" w:hAnsi="宋体" w:cs="宋体"/>
                <w:color w:val="auto"/>
                <w:kern w:val="1"/>
                <w:szCs w:val="21"/>
                <w:lang w:val="zh-CN"/>
              </w:rPr>
              <w:t>分。</w:t>
            </w:r>
          </w:p>
        </w:tc>
      </w:tr>
      <w:tr w14:paraId="21F7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Merge w:val="continue"/>
            <w:vAlign w:val="center"/>
          </w:tcPr>
          <w:p w14:paraId="5304DB4C">
            <w:pPr>
              <w:spacing w:line="360" w:lineRule="exact"/>
              <w:jc w:val="center"/>
              <w:textAlignment w:val="center"/>
              <w:rPr>
                <w:color w:val="auto"/>
              </w:rPr>
            </w:pPr>
          </w:p>
        </w:tc>
        <w:tc>
          <w:tcPr>
            <w:tcW w:w="1156" w:type="pct"/>
            <w:vMerge w:val="continue"/>
            <w:vAlign w:val="center"/>
          </w:tcPr>
          <w:p w14:paraId="253740BE">
            <w:pPr>
              <w:spacing w:line="360" w:lineRule="exact"/>
              <w:jc w:val="center"/>
              <w:textAlignment w:val="center"/>
              <w:rPr>
                <w:color w:val="auto"/>
              </w:rPr>
            </w:pPr>
          </w:p>
        </w:tc>
        <w:tc>
          <w:tcPr>
            <w:tcW w:w="3233" w:type="pct"/>
            <w:vAlign w:val="center"/>
          </w:tcPr>
          <w:p w14:paraId="383E9663">
            <w:pPr>
              <w:pStyle w:val="46"/>
              <w:spacing w:line="440" w:lineRule="exact"/>
              <w:rPr>
                <w:rFonts w:hAnsi="宋体" w:cs="宋体"/>
                <w:color w:val="auto"/>
                <w:kern w:val="1"/>
                <w:szCs w:val="21"/>
                <w:lang w:val="zh-CN"/>
              </w:rPr>
            </w:pPr>
            <w:r>
              <w:rPr>
                <w:rFonts w:hint="eastAsia" w:hAnsi="宋体" w:cs="宋体"/>
                <w:color w:val="auto"/>
                <w:kern w:val="1"/>
                <w:szCs w:val="21"/>
                <w:lang w:val="zh-CN"/>
              </w:rPr>
              <w:t>分部分项工程的施工方案和质量保证措施（</w:t>
            </w:r>
            <w:r>
              <w:rPr>
                <w:rFonts w:hint="eastAsia" w:hAnsi="宋体" w:cs="宋体"/>
                <w:color w:val="auto"/>
                <w:kern w:val="1"/>
                <w:szCs w:val="21"/>
                <w:lang w:val="en-US" w:eastAsia="zh-CN"/>
              </w:rPr>
              <w:t>4</w:t>
            </w:r>
            <w:r>
              <w:rPr>
                <w:rFonts w:hint="eastAsia" w:hAnsi="宋体" w:cs="宋体"/>
                <w:color w:val="auto"/>
                <w:kern w:val="1"/>
                <w:szCs w:val="21"/>
                <w:lang w:val="zh-CN"/>
              </w:rPr>
              <w:t>分）</w:t>
            </w:r>
          </w:p>
          <w:p w14:paraId="5B98B60E">
            <w:pPr>
              <w:pStyle w:val="46"/>
              <w:spacing w:line="440" w:lineRule="exact"/>
              <w:rPr>
                <w:color w:val="auto"/>
              </w:rPr>
            </w:pPr>
            <w:r>
              <w:rPr>
                <w:rFonts w:hint="eastAsia" w:hAnsi="宋体" w:cs="宋体"/>
                <w:color w:val="auto"/>
                <w:kern w:val="1"/>
                <w:szCs w:val="21"/>
                <w:lang w:val="zh-CN"/>
              </w:rPr>
              <w:t>主要工序应有质量技术保证措施和手段，自控体系完整，能有效保证技术质量；优得</w:t>
            </w:r>
            <w:r>
              <w:rPr>
                <w:rFonts w:hint="eastAsia" w:hAnsi="宋体" w:cs="宋体"/>
                <w:color w:val="auto"/>
                <w:kern w:val="1"/>
                <w:szCs w:val="21"/>
              </w:rPr>
              <w:t>2.1</w:t>
            </w:r>
            <w:r>
              <w:rPr>
                <w:rFonts w:hint="eastAsia" w:hAnsi="宋体" w:cs="宋体"/>
                <w:color w:val="auto"/>
                <w:kern w:val="1"/>
                <w:szCs w:val="21"/>
                <w:lang w:val="zh-CN"/>
              </w:rPr>
              <w:t>-</w:t>
            </w:r>
            <w:r>
              <w:rPr>
                <w:rFonts w:hint="eastAsia" w:hAnsi="宋体" w:cs="宋体"/>
                <w:color w:val="auto"/>
                <w:kern w:val="1"/>
                <w:szCs w:val="21"/>
                <w:lang w:val="en-US" w:eastAsia="zh-CN"/>
              </w:rPr>
              <w:t>4</w:t>
            </w:r>
            <w:r>
              <w:rPr>
                <w:rFonts w:hint="eastAsia" w:hAnsi="宋体" w:cs="宋体"/>
                <w:color w:val="auto"/>
                <w:kern w:val="1"/>
                <w:szCs w:val="21"/>
                <w:lang w:val="zh-CN"/>
              </w:rPr>
              <w:t>分，良得</w:t>
            </w:r>
            <w:r>
              <w:rPr>
                <w:rFonts w:hint="eastAsia" w:hAnsi="宋体" w:cs="宋体"/>
                <w:color w:val="auto"/>
                <w:kern w:val="1"/>
                <w:szCs w:val="21"/>
              </w:rPr>
              <w:t>1.1</w:t>
            </w:r>
            <w:r>
              <w:rPr>
                <w:rFonts w:hint="eastAsia" w:hAnsi="宋体" w:cs="宋体"/>
                <w:color w:val="auto"/>
                <w:kern w:val="1"/>
                <w:szCs w:val="21"/>
                <w:lang w:val="zh-CN"/>
              </w:rPr>
              <w:t>-</w:t>
            </w:r>
            <w:r>
              <w:rPr>
                <w:rFonts w:hint="eastAsia" w:hAnsi="宋体" w:cs="宋体"/>
                <w:color w:val="auto"/>
                <w:kern w:val="1"/>
                <w:szCs w:val="21"/>
              </w:rPr>
              <w:t>2</w:t>
            </w:r>
            <w:r>
              <w:rPr>
                <w:rFonts w:hint="eastAsia" w:hAnsi="宋体" w:cs="宋体"/>
                <w:color w:val="auto"/>
                <w:kern w:val="1"/>
                <w:szCs w:val="21"/>
                <w:lang w:val="zh-CN"/>
              </w:rPr>
              <w:t>分，一般得0-</w:t>
            </w:r>
            <w:r>
              <w:rPr>
                <w:rFonts w:hint="eastAsia" w:hAnsi="宋体" w:cs="宋体"/>
                <w:color w:val="auto"/>
                <w:kern w:val="1"/>
                <w:szCs w:val="21"/>
              </w:rPr>
              <w:t>1</w:t>
            </w:r>
            <w:r>
              <w:rPr>
                <w:rFonts w:hint="eastAsia" w:hAnsi="宋体" w:cs="宋体"/>
                <w:color w:val="auto"/>
                <w:kern w:val="1"/>
                <w:szCs w:val="21"/>
                <w:lang w:val="zh-CN"/>
              </w:rPr>
              <w:t>分。</w:t>
            </w:r>
          </w:p>
        </w:tc>
      </w:tr>
      <w:tr w14:paraId="1108A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Merge w:val="continue"/>
            <w:vAlign w:val="center"/>
          </w:tcPr>
          <w:p w14:paraId="0ADD0CD6">
            <w:pPr>
              <w:spacing w:line="360" w:lineRule="exact"/>
              <w:jc w:val="center"/>
              <w:textAlignment w:val="center"/>
              <w:rPr>
                <w:color w:val="auto"/>
              </w:rPr>
            </w:pPr>
          </w:p>
        </w:tc>
        <w:tc>
          <w:tcPr>
            <w:tcW w:w="1156" w:type="pct"/>
            <w:vMerge w:val="continue"/>
            <w:vAlign w:val="center"/>
          </w:tcPr>
          <w:p w14:paraId="45A1DEBF">
            <w:pPr>
              <w:spacing w:line="360" w:lineRule="exact"/>
              <w:jc w:val="center"/>
              <w:textAlignment w:val="center"/>
              <w:rPr>
                <w:color w:val="auto"/>
              </w:rPr>
            </w:pPr>
          </w:p>
        </w:tc>
        <w:tc>
          <w:tcPr>
            <w:tcW w:w="3233" w:type="pct"/>
            <w:vAlign w:val="center"/>
          </w:tcPr>
          <w:p w14:paraId="287A6468">
            <w:pPr>
              <w:pStyle w:val="46"/>
              <w:spacing w:line="440" w:lineRule="exact"/>
              <w:rPr>
                <w:rFonts w:hAnsi="宋体" w:cs="宋体"/>
                <w:color w:val="auto"/>
                <w:kern w:val="1"/>
                <w:szCs w:val="21"/>
                <w:lang w:val="zh-CN"/>
              </w:rPr>
            </w:pPr>
            <w:r>
              <w:rPr>
                <w:rFonts w:hint="eastAsia" w:hAnsi="宋体" w:cs="宋体"/>
                <w:color w:val="auto"/>
                <w:kern w:val="1"/>
                <w:szCs w:val="21"/>
                <w:lang w:val="zh-CN"/>
              </w:rPr>
              <w:t>安全文明施工和环境保护措施（</w:t>
            </w:r>
            <w:r>
              <w:rPr>
                <w:rFonts w:hint="eastAsia" w:hAnsi="宋体" w:cs="宋体"/>
                <w:color w:val="auto"/>
                <w:kern w:val="1"/>
                <w:szCs w:val="21"/>
                <w:lang w:val="en-US" w:eastAsia="zh-CN"/>
              </w:rPr>
              <w:t>4</w:t>
            </w:r>
            <w:r>
              <w:rPr>
                <w:rFonts w:hint="eastAsia" w:hAnsi="宋体" w:cs="宋体"/>
                <w:color w:val="auto"/>
                <w:kern w:val="1"/>
                <w:szCs w:val="21"/>
                <w:lang w:val="zh-CN"/>
              </w:rPr>
              <w:t>分）</w:t>
            </w:r>
          </w:p>
          <w:p w14:paraId="20CDA323">
            <w:pPr>
              <w:pStyle w:val="46"/>
              <w:spacing w:line="440" w:lineRule="exact"/>
              <w:rPr>
                <w:rFonts w:hAnsi="宋体" w:cs="宋体"/>
                <w:color w:val="auto"/>
                <w:kern w:val="1"/>
                <w:szCs w:val="21"/>
                <w:lang w:val="zh-CN"/>
              </w:rPr>
            </w:pPr>
            <w:r>
              <w:rPr>
                <w:rFonts w:hint="eastAsia" w:hAnsi="宋体" w:cs="宋体"/>
                <w:color w:val="auto"/>
                <w:kern w:val="1"/>
                <w:szCs w:val="21"/>
                <w:lang w:val="zh-CN"/>
              </w:rPr>
              <w:t>安全文明施工是否合理、措施是否严密有效，环境保护管理、文明施工的体系与措施是否科学合理；优得</w:t>
            </w:r>
            <w:r>
              <w:rPr>
                <w:rFonts w:hint="eastAsia" w:hAnsi="宋体" w:cs="宋体"/>
                <w:color w:val="auto"/>
                <w:kern w:val="1"/>
                <w:szCs w:val="21"/>
              </w:rPr>
              <w:t>2.1</w:t>
            </w:r>
            <w:r>
              <w:rPr>
                <w:rFonts w:hint="eastAsia" w:hAnsi="宋体" w:cs="宋体"/>
                <w:color w:val="auto"/>
                <w:kern w:val="1"/>
                <w:szCs w:val="21"/>
                <w:lang w:val="zh-CN"/>
              </w:rPr>
              <w:t>-</w:t>
            </w:r>
            <w:r>
              <w:rPr>
                <w:rFonts w:hint="eastAsia" w:hAnsi="宋体" w:cs="宋体"/>
                <w:color w:val="auto"/>
                <w:kern w:val="1"/>
                <w:szCs w:val="21"/>
                <w:lang w:val="en-US" w:eastAsia="zh-CN"/>
              </w:rPr>
              <w:t>4</w:t>
            </w:r>
            <w:r>
              <w:rPr>
                <w:rFonts w:hint="eastAsia" w:hAnsi="宋体" w:cs="宋体"/>
                <w:color w:val="auto"/>
                <w:kern w:val="1"/>
                <w:szCs w:val="21"/>
                <w:lang w:val="zh-CN"/>
              </w:rPr>
              <w:t>分，良得</w:t>
            </w:r>
            <w:r>
              <w:rPr>
                <w:rFonts w:hint="eastAsia" w:hAnsi="宋体" w:cs="宋体"/>
                <w:color w:val="auto"/>
                <w:kern w:val="1"/>
                <w:szCs w:val="21"/>
              </w:rPr>
              <w:t>1.1</w:t>
            </w:r>
            <w:r>
              <w:rPr>
                <w:rFonts w:hint="eastAsia" w:hAnsi="宋体" w:cs="宋体"/>
                <w:color w:val="auto"/>
                <w:kern w:val="1"/>
                <w:szCs w:val="21"/>
                <w:lang w:val="zh-CN"/>
              </w:rPr>
              <w:t>-</w:t>
            </w:r>
            <w:r>
              <w:rPr>
                <w:rFonts w:hint="eastAsia" w:hAnsi="宋体" w:cs="宋体"/>
                <w:color w:val="auto"/>
                <w:kern w:val="1"/>
                <w:szCs w:val="21"/>
              </w:rPr>
              <w:t>2</w:t>
            </w:r>
            <w:r>
              <w:rPr>
                <w:rFonts w:hint="eastAsia" w:hAnsi="宋体" w:cs="宋体"/>
                <w:color w:val="auto"/>
                <w:kern w:val="1"/>
                <w:szCs w:val="21"/>
                <w:lang w:val="zh-CN"/>
              </w:rPr>
              <w:t>分，一般得0-</w:t>
            </w:r>
            <w:r>
              <w:rPr>
                <w:rFonts w:hint="eastAsia" w:hAnsi="宋体" w:cs="宋体"/>
                <w:color w:val="auto"/>
                <w:kern w:val="1"/>
                <w:szCs w:val="21"/>
              </w:rPr>
              <w:t>1</w:t>
            </w:r>
            <w:r>
              <w:rPr>
                <w:rFonts w:hint="eastAsia" w:hAnsi="宋体" w:cs="宋体"/>
                <w:color w:val="auto"/>
                <w:kern w:val="1"/>
                <w:szCs w:val="21"/>
                <w:lang w:val="zh-CN"/>
              </w:rPr>
              <w:t>分。</w:t>
            </w:r>
          </w:p>
        </w:tc>
      </w:tr>
      <w:tr w14:paraId="6B1E7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Merge w:val="continue"/>
            <w:vAlign w:val="center"/>
          </w:tcPr>
          <w:p w14:paraId="1C8746FB">
            <w:pPr>
              <w:spacing w:line="360" w:lineRule="exact"/>
              <w:jc w:val="center"/>
              <w:textAlignment w:val="center"/>
              <w:rPr>
                <w:color w:val="auto"/>
              </w:rPr>
            </w:pPr>
          </w:p>
        </w:tc>
        <w:tc>
          <w:tcPr>
            <w:tcW w:w="1156" w:type="pct"/>
            <w:vMerge w:val="continue"/>
            <w:vAlign w:val="center"/>
          </w:tcPr>
          <w:p w14:paraId="2138C142">
            <w:pPr>
              <w:spacing w:line="360" w:lineRule="exact"/>
              <w:jc w:val="center"/>
              <w:textAlignment w:val="center"/>
              <w:rPr>
                <w:color w:val="auto"/>
              </w:rPr>
            </w:pPr>
          </w:p>
        </w:tc>
        <w:tc>
          <w:tcPr>
            <w:tcW w:w="3233" w:type="pct"/>
            <w:vAlign w:val="center"/>
          </w:tcPr>
          <w:p w14:paraId="78CED822">
            <w:pPr>
              <w:pStyle w:val="46"/>
              <w:spacing w:line="440" w:lineRule="exact"/>
              <w:rPr>
                <w:rFonts w:hAnsi="宋体" w:cs="宋体"/>
                <w:color w:val="auto"/>
                <w:kern w:val="1"/>
                <w:szCs w:val="21"/>
                <w:lang w:val="zh-CN"/>
              </w:rPr>
            </w:pPr>
            <w:r>
              <w:rPr>
                <w:rFonts w:hint="eastAsia" w:hAnsi="宋体" w:cs="宋体"/>
                <w:color w:val="auto"/>
                <w:kern w:val="1"/>
                <w:szCs w:val="21"/>
                <w:lang w:val="zh-CN"/>
              </w:rPr>
              <w:t>项目管理班子的人员岗位职责、分工（</w:t>
            </w:r>
            <w:r>
              <w:rPr>
                <w:rFonts w:hint="eastAsia" w:hAnsi="宋体" w:cs="宋体"/>
                <w:color w:val="auto"/>
                <w:kern w:val="1"/>
                <w:szCs w:val="21"/>
                <w:lang w:val="en-US" w:eastAsia="zh-CN"/>
              </w:rPr>
              <w:t>4</w:t>
            </w:r>
            <w:r>
              <w:rPr>
                <w:rFonts w:hint="eastAsia" w:hAnsi="宋体" w:cs="宋体"/>
                <w:color w:val="auto"/>
                <w:kern w:val="1"/>
                <w:szCs w:val="21"/>
                <w:lang w:val="zh-CN"/>
              </w:rPr>
              <w:t>分）</w:t>
            </w:r>
          </w:p>
          <w:p w14:paraId="4A48DAF9">
            <w:pPr>
              <w:pStyle w:val="46"/>
              <w:spacing w:line="440" w:lineRule="exact"/>
              <w:rPr>
                <w:rFonts w:hAnsi="宋体" w:cs="宋体"/>
                <w:color w:val="auto"/>
                <w:kern w:val="1"/>
                <w:szCs w:val="21"/>
                <w:lang w:val="zh-CN"/>
              </w:rPr>
            </w:pPr>
            <w:r>
              <w:rPr>
                <w:rFonts w:hint="eastAsia" w:hAnsi="宋体" w:cs="宋体"/>
                <w:color w:val="auto"/>
                <w:kern w:val="1"/>
                <w:szCs w:val="21"/>
                <w:lang w:val="zh-CN"/>
              </w:rPr>
              <w:t>项目管理班子人员岗位职责、分工是否明确，人员配备是否合理、切实可行；优得</w:t>
            </w:r>
            <w:r>
              <w:rPr>
                <w:rFonts w:hint="eastAsia" w:hAnsi="宋体" w:cs="宋体"/>
                <w:color w:val="auto"/>
                <w:kern w:val="1"/>
                <w:szCs w:val="21"/>
              </w:rPr>
              <w:t>2.1</w:t>
            </w:r>
            <w:r>
              <w:rPr>
                <w:rFonts w:hint="eastAsia" w:hAnsi="宋体" w:cs="宋体"/>
                <w:color w:val="auto"/>
                <w:kern w:val="1"/>
                <w:szCs w:val="21"/>
                <w:lang w:val="zh-CN"/>
              </w:rPr>
              <w:t>-</w:t>
            </w:r>
            <w:r>
              <w:rPr>
                <w:rFonts w:hint="eastAsia" w:hAnsi="宋体" w:cs="宋体"/>
                <w:color w:val="auto"/>
                <w:kern w:val="1"/>
                <w:szCs w:val="21"/>
                <w:lang w:val="en-US" w:eastAsia="zh-CN"/>
              </w:rPr>
              <w:t>4</w:t>
            </w:r>
            <w:r>
              <w:rPr>
                <w:rFonts w:hint="eastAsia" w:hAnsi="宋体" w:cs="宋体"/>
                <w:color w:val="auto"/>
                <w:kern w:val="1"/>
                <w:szCs w:val="21"/>
                <w:lang w:val="zh-CN"/>
              </w:rPr>
              <w:t>分，良得</w:t>
            </w:r>
            <w:r>
              <w:rPr>
                <w:rFonts w:hint="eastAsia" w:hAnsi="宋体" w:cs="宋体"/>
                <w:color w:val="auto"/>
                <w:kern w:val="1"/>
                <w:szCs w:val="21"/>
              </w:rPr>
              <w:t>1.1</w:t>
            </w:r>
            <w:r>
              <w:rPr>
                <w:rFonts w:hint="eastAsia" w:hAnsi="宋体" w:cs="宋体"/>
                <w:color w:val="auto"/>
                <w:kern w:val="1"/>
                <w:szCs w:val="21"/>
                <w:lang w:val="zh-CN"/>
              </w:rPr>
              <w:t>-</w:t>
            </w:r>
            <w:r>
              <w:rPr>
                <w:rFonts w:hint="eastAsia" w:hAnsi="宋体" w:cs="宋体"/>
                <w:color w:val="auto"/>
                <w:kern w:val="1"/>
                <w:szCs w:val="21"/>
              </w:rPr>
              <w:t>2</w:t>
            </w:r>
            <w:r>
              <w:rPr>
                <w:rFonts w:hint="eastAsia" w:hAnsi="宋体" w:cs="宋体"/>
                <w:color w:val="auto"/>
                <w:kern w:val="1"/>
                <w:szCs w:val="21"/>
                <w:lang w:val="zh-CN"/>
              </w:rPr>
              <w:t>分，一般得0-</w:t>
            </w:r>
            <w:r>
              <w:rPr>
                <w:rFonts w:hint="eastAsia" w:hAnsi="宋体" w:cs="宋体"/>
                <w:color w:val="auto"/>
                <w:kern w:val="1"/>
                <w:szCs w:val="21"/>
              </w:rPr>
              <w:t>1</w:t>
            </w:r>
            <w:r>
              <w:rPr>
                <w:rFonts w:hint="eastAsia" w:hAnsi="宋体" w:cs="宋体"/>
                <w:color w:val="auto"/>
                <w:kern w:val="1"/>
                <w:szCs w:val="21"/>
                <w:lang w:val="zh-CN"/>
              </w:rPr>
              <w:t>分。</w:t>
            </w:r>
          </w:p>
        </w:tc>
      </w:tr>
      <w:tr w14:paraId="22428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Merge w:val="continue"/>
            <w:vAlign w:val="center"/>
          </w:tcPr>
          <w:p w14:paraId="2DD5CCC4">
            <w:pPr>
              <w:spacing w:line="360" w:lineRule="exact"/>
              <w:jc w:val="center"/>
              <w:textAlignment w:val="center"/>
              <w:rPr>
                <w:color w:val="auto"/>
              </w:rPr>
            </w:pPr>
          </w:p>
        </w:tc>
        <w:tc>
          <w:tcPr>
            <w:tcW w:w="1156" w:type="pct"/>
            <w:vMerge w:val="continue"/>
            <w:vAlign w:val="center"/>
          </w:tcPr>
          <w:p w14:paraId="66A88AF2">
            <w:pPr>
              <w:spacing w:line="360" w:lineRule="exact"/>
              <w:jc w:val="center"/>
              <w:textAlignment w:val="center"/>
              <w:rPr>
                <w:color w:val="auto"/>
              </w:rPr>
            </w:pPr>
          </w:p>
        </w:tc>
        <w:tc>
          <w:tcPr>
            <w:tcW w:w="3233" w:type="pct"/>
            <w:vAlign w:val="center"/>
          </w:tcPr>
          <w:p w14:paraId="64CA84B4">
            <w:pPr>
              <w:pStyle w:val="46"/>
              <w:spacing w:line="440" w:lineRule="exact"/>
              <w:rPr>
                <w:rFonts w:hAnsi="宋体" w:cs="宋体"/>
                <w:color w:val="auto"/>
                <w:kern w:val="1"/>
                <w:szCs w:val="21"/>
                <w:lang w:val="zh-CN"/>
              </w:rPr>
            </w:pPr>
            <w:r>
              <w:rPr>
                <w:rFonts w:hAnsi="宋体" w:cs="宋体"/>
                <w:color w:val="auto"/>
                <w:kern w:val="1"/>
                <w:szCs w:val="21"/>
                <w:lang w:val="zh-CN"/>
              </w:rPr>
              <w:t>劳动力、机械设备和材料投入计划</w:t>
            </w:r>
            <w:r>
              <w:rPr>
                <w:rFonts w:hint="eastAsia" w:hAnsi="宋体" w:cs="宋体"/>
                <w:color w:val="auto"/>
                <w:kern w:val="1"/>
                <w:szCs w:val="21"/>
                <w:lang w:val="zh-CN"/>
              </w:rPr>
              <w:t>（</w:t>
            </w:r>
            <w:r>
              <w:rPr>
                <w:rFonts w:hint="eastAsia" w:hAnsi="宋体" w:cs="宋体"/>
                <w:color w:val="auto"/>
                <w:kern w:val="1"/>
                <w:szCs w:val="21"/>
              </w:rPr>
              <w:t>3</w:t>
            </w:r>
            <w:r>
              <w:rPr>
                <w:rFonts w:hint="eastAsia" w:hAnsi="宋体" w:cs="宋体"/>
                <w:color w:val="auto"/>
                <w:kern w:val="1"/>
                <w:szCs w:val="21"/>
                <w:lang w:val="zh-CN"/>
              </w:rPr>
              <w:t>分）</w:t>
            </w:r>
          </w:p>
          <w:p w14:paraId="77437C1B">
            <w:pPr>
              <w:pStyle w:val="46"/>
              <w:spacing w:line="440" w:lineRule="exact"/>
              <w:rPr>
                <w:rFonts w:hint="eastAsia" w:hAnsi="宋体" w:cs="宋体"/>
                <w:color w:val="auto"/>
                <w:kern w:val="1"/>
                <w:szCs w:val="21"/>
                <w:lang w:val="zh-CN"/>
              </w:rPr>
            </w:pPr>
            <w:r>
              <w:rPr>
                <w:rFonts w:hint="eastAsia" w:hAnsi="宋体" w:cs="宋体"/>
                <w:color w:val="auto"/>
                <w:kern w:val="1"/>
                <w:szCs w:val="21"/>
                <w:lang w:val="zh-CN"/>
              </w:rPr>
              <w:t>拟投入的主要人工、施工机械、设备、材料计划是否具有详细计划且计划周密，设备数量、选型配置、进场数量、时间安排是否满足施工现场需要并有预案。优得</w:t>
            </w:r>
            <w:r>
              <w:rPr>
                <w:rFonts w:hint="eastAsia" w:hAnsi="宋体" w:cs="宋体"/>
                <w:color w:val="auto"/>
                <w:kern w:val="1"/>
                <w:szCs w:val="21"/>
              </w:rPr>
              <w:t>2.1</w:t>
            </w:r>
            <w:r>
              <w:rPr>
                <w:rFonts w:hint="eastAsia" w:hAnsi="宋体" w:cs="宋体"/>
                <w:color w:val="auto"/>
                <w:kern w:val="1"/>
                <w:szCs w:val="21"/>
                <w:lang w:val="zh-CN"/>
              </w:rPr>
              <w:t>-</w:t>
            </w:r>
            <w:r>
              <w:rPr>
                <w:rFonts w:hint="eastAsia" w:hAnsi="宋体" w:cs="宋体"/>
                <w:color w:val="auto"/>
                <w:kern w:val="1"/>
                <w:szCs w:val="21"/>
              </w:rPr>
              <w:t>3</w:t>
            </w:r>
            <w:r>
              <w:rPr>
                <w:rFonts w:hint="eastAsia" w:hAnsi="宋体" w:cs="宋体"/>
                <w:color w:val="auto"/>
                <w:kern w:val="1"/>
                <w:szCs w:val="21"/>
                <w:lang w:val="zh-CN"/>
              </w:rPr>
              <w:t>分，良得</w:t>
            </w:r>
            <w:r>
              <w:rPr>
                <w:rFonts w:hint="eastAsia" w:hAnsi="宋体" w:cs="宋体"/>
                <w:color w:val="auto"/>
                <w:kern w:val="1"/>
                <w:szCs w:val="21"/>
              </w:rPr>
              <w:t>1.1</w:t>
            </w:r>
            <w:r>
              <w:rPr>
                <w:rFonts w:hint="eastAsia" w:hAnsi="宋体" w:cs="宋体"/>
                <w:color w:val="auto"/>
                <w:kern w:val="1"/>
                <w:szCs w:val="21"/>
                <w:lang w:val="zh-CN"/>
              </w:rPr>
              <w:t>-</w:t>
            </w:r>
            <w:r>
              <w:rPr>
                <w:rFonts w:hint="eastAsia" w:hAnsi="宋体" w:cs="宋体"/>
                <w:color w:val="auto"/>
                <w:kern w:val="1"/>
                <w:szCs w:val="21"/>
              </w:rPr>
              <w:t>2</w:t>
            </w:r>
            <w:r>
              <w:rPr>
                <w:rFonts w:hint="eastAsia" w:hAnsi="宋体" w:cs="宋体"/>
                <w:color w:val="auto"/>
                <w:kern w:val="1"/>
                <w:szCs w:val="21"/>
                <w:lang w:val="zh-CN"/>
              </w:rPr>
              <w:t>分，一般得0-</w:t>
            </w:r>
            <w:r>
              <w:rPr>
                <w:rFonts w:hint="eastAsia" w:hAnsi="宋体" w:cs="宋体"/>
                <w:color w:val="auto"/>
                <w:kern w:val="1"/>
                <w:szCs w:val="21"/>
              </w:rPr>
              <w:t>1</w:t>
            </w:r>
            <w:r>
              <w:rPr>
                <w:rFonts w:hint="eastAsia" w:hAnsi="宋体" w:cs="宋体"/>
                <w:color w:val="auto"/>
                <w:kern w:val="1"/>
                <w:szCs w:val="21"/>
                <w:lang w:val="zh-CN"/>
              </w:rPr>
              <w:t>分。</w:t>
            </w:r>
          </w:p>
        </w:tc>
      </w:tr>
      <w:tr w14:paraId="60F5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10" w:type="pct"/>
            <w:vMerge w:val="continue"/>
            <w:vAlign w:val="center"/>
          </w:tcPr>
          <w:p w14:paraId="664282C9">
            <w:pPr>
              <w:spacing w:line="360" w:lineRule="exact"/>
              <w:jc w:val="center"/>
              <w:textAlignment w:val="center"/>
              <w:rPr>
                <w:color w:val="auto"/>
              </w:rPr>
            </w:pPr>
          </w:p>
        </w:tc>
        <w:tc>
          <w:tcPr>
            <w:tcW w:w="1156" w:type="pct"/>
            <w:vMerge w:val="continue"/>
            <w:vAlign w:val="center"/>
          </w:tcPr>
          <w:p w14:paraId="69257E4E">
            <w:pPr>
              <w:spacing w:line="360" w:lineRule="exact"/>
              <w:jc w:val="center"/>
              <w:textAlignment w:val="center"/>
              <w:rPr>
                <w:color w:val="auto"/>
              </w:rPr>
            </w:pPr>
          </w:p>
        </w:tc>
        <w:tc>
          <w:tcPr>
            <w:tcW w:w="3233" w:type="pct"/>
            <w:vAlign w:val="center"/>
          </w:tcPr>
          <w:p w14:paraId="2C94D0A7">
            <w:pPr>
              <w:pStyle w:val="46"/>
              <w:spacing w:line="440" w:lineRule="exact"/>
              <w:rPr>
                <w:rFonts w:hAnsi="宋体" w:cs="宋体"/>
                <w:color w:val="auto"/>
                <w:kern w:val="1"/>
                <w:szCs w:val="21"/>
                <w:lang w:val="zh-CN"/>
              </w:rPr>
            </w:pPr>
            <w:r>
              <w:rPr>
                <w:rFonts w:hAnsi="宋体" w:cs="宋体"/>
                <w:color w:val="auto"/>
                <w:kern w:val="1"/>
                <w:szCs w:val="21"/>
                <w:lang w:val="zh-CN"/>
              </w:rPr>
              <w:t>关键施工技术、工艺及工程实施的重点、难点和解决方案</w:t>
            </w:r>
            <w:r>
              <w:rPr>
                <w:rFonts w:hint="eastAsia" w:hAnsi="宋体" w:cs="宋体"/>
                <w:color w:val="auto"/>
                <w:kern w:val="1"/>
                <w:szCs w:val="21"/>
                <w:lang w:val="zh-CN"/>
              </w:rPr>
              <w:t>（</w:t>
            </w:r>
            <w:r>
              <w:rPr>
                <w:rFonts w:hint="eastAsia" w:hAnsi="宋体" w:cs="宋体"/>
                <w:color w:val="auto"/>
                <w:kern w:val="1"/>
                <w:szCs w:val="21"/>
              </w:rPr>
              <w:t>3</w:t>
            </w:r>
            <w:r>
              <w:rPr>
                <w:rFonts w:hint="eastAsia" w:hAnsi="宋体" w:cs="宋体"/>
                <w:color w:val="auto"/>
                <w:kern w:val="1"/>
                <w:szCs w:val="21"/>
                <w:lang w:val="zh-CN"/>
              </w:rPr>
              <w:t>分）</w:t>
            </w:r>
          </w:p>
          <w:p w14:paraId="204E7F77">
            <w:pPr>
              <w:pStyle w:val="46"/>
              <w:spacing w:line="440" w:lineRule="exact"/>
              <w:rPr>
                <w:rFonts w:hint="eastAsia" w:hAnsi="宋体" w:cs="宋体"/>
                <w:color w:val="auto"/>
                <w:kern w:val="1"/>
                <w:szCs w:val="21"/>
                <w:lang w:val="zh-CN"/>
              </w:rPr>
            </w:pPr>
            <w:r>
              <w:rPr>
                <w:rFonts w:hint="eastAsia" w:hAnsi="宋体" w:cs="宋体"/>
                <w:color w:val="auto"/>
                <w:kern w:val="1"/>
                <w:szCs w:val="21"/>
                <w:lang w:val="zh-CN"/>
              </w:rPr>
              <w:t>工程施工的重点和难点及保证措施是否完善正确有效；优得</w:t>
            </w:r>
            <w:r>
              <w:rPr>
                <w:rFonts w:hint="eastAsia" w:hAnsi="宋体" w:cs="宋体"/>
                <w:color w:val="auto"/>
                <w:kern w:val="1"/>
                <w:szCs w:val="21"/>
              </w:rPr>
              <w:t>2.1</w:t>
            </w:r>
            <w:r>
              <w:rPr>
                <w:rFonts w:hint="eastAsia" w:hAnsi="宋体" w:cs="宋体"/>
                <w:color w:val="auto"/>
                <w:kern w:val="1"/>
                <w:szCs w:val="21"/>
                <w:lang w:val="zh-CN"/>
              </w:rPr>
              <w:t>-</w:t>
            </w:r>
            <w:r>
              <w:rPr>
                <w:rFonts w:hint="eastAsia" w:hAnsi="宋体" w:cs="宋体"/>
                <w:color w:val="auto"/>
                <w:kern w:val="1"/>
                <w:szCs w:val="21"/>
              </w:rPr>
              <w:t>3</w:t>
            </w:r>
            <w:r>
              <w:rPr>
                <w:rFonts w:hint="eastAsia" w:hAnsi="宋体" w:cs="宋体"/>
                <w:color w:val="auto"/>
                <w:kern w:val="1"/>
                <w:szCs w:val="21"/>
                <w:lang w:val="zh-CN"/>
              </w:rPr>
              <w:t>分，良得</w:t>
            </w:r>
            <w:r>
              <w:rPr>
                <w:rFonts w:hint="eastAsia" w:hAnsi="宋体" w:cs="宋体"/>
                <w:color w:val="auto"/>
                <w:kern w:val="1"/>
                <w:szCs w:val="21"/>
              </w:rPr>
              <w:t>1.1</w:t>
            </w:r>
            <w:r>
              <w:rPr>
                <w:rFonts w:hint="eastAsia" w:hAnsi="宋体" w:cs="宋体"/>
                <w:color w:val="auto"/>
                <w:kern w:val="1"/>
                <w:szCs w:val="21"/>
                <w:lang w:val="zh-CN"/>
              </w:rPr>
              <w:t>-</w:t>
            </w:r>
            <w:r>
              <w:rPr>
                <w:rFonts w:hint="eastAsia" w:hAnsi="宋体" w:cs="宋体"/>
                <w:color w:val="auto"/>
                <w:kern w:val="1"/>
                <w:szCs w:val="21"/>
              </w:rPr>
              <w:t>2</w:t>
            </w:r>
            <w:r>
              <w:rPr>
                <w:rFonts w:hint="eastAsia" w:hAnsi="宋体" w:cs="宋体"/>
                <w:color w:val="auto"/>
                <w:kern w:val="1"/>
                <w:szCs w:val="21"/>
                <w:lang w:val="zh-CN"/>
              </w:rPr>
              <w:t>分，一般得0-</w:t>
            </w:r>
            <w:r>
              <w:rPr>
                <w:rFonts w:hint="eastAsia" w:hAnsi="宋体" w:cs="宋体"/>
                <w:color w:val="auto"/>
                <w:kern w:val="1"/>
                <w:szCs w:val="21"/>
              </w:rPr>
              <w:t>1</w:t>
            </w:r>
            <w:r>
              <w:rPr>
                <w:rFonts w:hint="eastAsia" w:hAnsi="宋体" w:cs="宋体"/>
                <w:color w:val="auto"/>
                <w:kern w:val="1"/>
                <w:szCs w:val="21"/>
                <w:lang w:val="zh-CN"/>
              </w:rPr>
              <w:t>分。</w:t>
            </w:r>
          </w:p>
        </w:tc>
      </w:tr>
    </w:tbl>
    <w:p w14:paraId="0543F8D6">
      <w:pPr>
        <w:ind w:firstLine="422" w:firstLineChars="200"/>
        <w:jc w:val="left"/>
        <w:rPr>
          <w:rFonts w:hint="eastAsia" w:ascii="宋体" w:hAnsi="宋体" w:eastAsia="宋体" w:cs="宋体"/>
          <w:b/>
          <w:bCs/>
          <w:color w:val="auto"/>
          <w:sz w:val="24"/>
          <w:szCs w:val="24"/>
          <w:lang w:eastAsia="zh-CN"/>
        </w:rPr>
      </w:pPr>
      <w:r>
        <w:rPr>
          <w:rFonts w:hint="eastAsia" w:ascii="宋体" w:hAnsi="宋体" w:cs="宋体"/>
          <w:b/>
          <w:bCs/>
          <w:color w:val="auto"/>
          <w:szCs w:val="21"/>
        </w:rPr>
        <w:t>注：</w:t>
      </w:r>
      <w:bookmarkEnd w:id="182"/>
      <w:r>
        <w:rPr>
          <w:rFonts w:hint="eastAsia" w:ascii="宋体" w:hAnsi="宋体" w:cs="宋体"/>
          <w:b/>
          <w:bCs/>
          <w:color w:val="auto"/>
          <w:szCs w:val="21"/>
        </w:rPr>
        <w:t>某一投标人的综合分数，为各专家的平均分数（四舍五入，小数点后保留两位小数）为该投标人的最后得分</w:t>
      </w:r>
      <w:r>
        <w:rPr>
          <w:rFonts w:hint="eastAsia" w:ascii="宋体" w:hAnsi="宋体" w:cs="宋体"/>
          <w:b/>
          <w:bCs/>
          <w:color w:val="auto"/>
          <w:szCs w:val="21"/>
          <w:lang w:eastAsia="zh-CN"/>
        </w:rPr>
        <w:t>。</w:t>
      </w:r>
    </w:p>
    <w:bookmarkEnd w:id="183"/>
    <w:p w14:paraId="3117042D">
      <w:pPr>
        <w:pStyle w:val="2"/>
        <w:numPr>
          <w:ilvl w:val="0"/>
          <w:numId w:val="4"/>
        </w:numPr>
        <w:spacing w:line="480" w:lineRule="exact"/>
        <w:rPr>
          <w:rFonts w:ascii="新宋体" w:hAnsi="新宋体" w:eastAsia="新宋体" w:cs="新宋体"/>
          <w:color w:val="auto"/>
          <w:sz w:val="22"/>
          <w:szCs w:val="18"/>
        </w:rPr>
      </w:pPr>
      <w:bookmarkStart w:id="184" w:name="_Toc534190135"/>
      <w:r>
        <w:rPr>
          <w:rFonts w:ascii="Times New Roman" w:hAnsi="Times New Roman"/>
          <w:color w:val="auto"/>
          <w:sz w:val="28"/>
          <w:szCs w:val="18"/>
        </w:rPr>
        <w:t>评标方法</w:t>
      </w:r>
    </w:p>
    <w:p w14:paraId="18BAB9E5">
      <w:pPr>
        <w:widowControl/>
        <w:adjustRightInd w:val="0"/>
        <w:snapToGrid w:val="0"/>
        <w:spacing w:line="500" w:lineRule="exact"/>
        <w:ind w:firstLine="440" w:firstLineChars="200"/>
        <w:textAlignment w:val="baseline"/>
        <w:rPr>
          <w:rFonts w:hAnsi="宋体" w:cs="宋体"/>
          <w:color w:val="auto"/>
          <w:kern w:val="1"/>
          <w:sz w:val="22"/>
        </w:rPr>
      </w:pPr>
      <w:r>
        <w:rPr>
          <w:rFonts w:hint="eastAsia" w:hAnsi="宋体" w:cs="宋体"/>
          <w:color w:val="auto"/>
          <w:kern w:val="1"/>
          <w:sz w:val="22"/>
        </w:rPr>
        <w:t>本次评标采用综合评估法。评标委员会对满足招标文件实质性要求的投标文件，按照本章规定的评分标准进行打分，向招标人推荐一定数量不排序的定标侯选人。</w:t>
      </w:r>
    </w:p>
    <w:p w14:paraId="78AC0EE2">
      <w:pPr>
        <w:widowControl/>
        <w:adjustRightInd w:val="0"/>
        <w:snapToGrid w:val="0"/>
        <w:spacing w:line="500" w:lineRule="exact"/>
        <w:ind w:firstLine="440" w:firstLineChars="200"/>
        <w:textAlignment w:val="baseline"/>
        <w:rPr>
          <w:rFonts w:hint="eastAsia" w:hAnsi="宋体" w:cs="宋体"/>
          <w:color w:val="auto"/>
          <w:kern w:val="1"/>
          <w:sz w:val="22"/>
        </w:rPr>
      </w:pPr>
      <w:r>
        <w:rPr>
          <w:rFonts w:hint="eastAsia" w:hAnsi="宋体" w:cs="宋体"/>
          <w:color w:val="auto"/>
          <w:kern w:val="1"/>
          <w:sz w:val="22"/>
        </w:rPr>
        <w:t>经评标委员会评审,当有效投标人为3-5名时,按最终得分由高到低推荐3名定标候选人；当有效投标人为6-10名时，按最终得分由高到低推荐5名定标候选人；当有效投标人为11名及以上时，按最终得分由高到低推荐7名定标候选人。若排序时出现得分相同的情况，则按投标报价低的优先排名，报价也相同的按施工组织优劣排序。</w:t>
      </w:r>
    </w:p>
    <w:p w14:paraId="4B04361A">
      <w:pPr>
        <w:pStyle w:val="2"/>
        <w:numPr>
          <w:ilvl w:val="0"/>
          <w:numId w:val="4"/>
        </w:numPr>
        <w:spacing w:line="480" w:lineRule="exact"/>
        <w:rPr>
          <w:rFonts w:ascii="Times New Roman" w:hAnsi="Times New Roman"/>
          <w:color w:val="auto"/>
          <w:sz w:val="28"/>
          <w:szCs w:val="18"/>
        </w:rPr>
      </w:pPr>
      <w:r>
        <w:rPr>
          <w:rFonts w:hint="eastAsia" w:ascii="Times New Roman" w:hAnsi="Times New Roman"/>
          <w:color w:val="auto"/>
          <w:sz w:val="28"/>
          <w:szCs w:val="18"/>
        </w:rPr>
        <w:t>评审标准</w:t>
      </w:r>
    </w:p>
    <w:p w14:paraId="5F145970">
      <w:pPr>
        <w:widowControl/>
        <w:adjustRightInd w:val="0"/>
        <w:snapToGrid w:val="0"/>
        <w:spacing w:line="500" w:lineRule="exact"/>
        <w:textAlignment w:val="baseline"/>
        <w:rPr>
          <w:rFonts w:hAnsi="宋体"/>
          <w:b/>
          <w:bCs/>
          <w:color w:val="auto"/>
          <w:kern w:val="1"/>
          <w:sz w:val="22"/>
        </w:rPr>
      </w:pPr>
      <w:r>
        <w:rPr>
          <w:rFonts w:cs="Calibri"/>
          <w:b/>
          <w:bCs/>
          <w:color w:val="auto"/>
          <w:kern w:val="1"/>
          <w:sz w:val="22"/>
        </w:rPr>
        <w:t xml:space="preserve">2.1 </w:t>
      </w:r>
      <w:r>
        <w:rPr>
          <w:rFonts w:hint="eastAsia" w:hAnsi="宋体" w:cs="宋体"/>
          <w:b/>
          <w:bCs/>
          <w:color w:val="auto"/>
          <w:kern w:val="1"/>
          <w:sz w:val="22"/>
        </w:rPr>
        <w:t>初步评审标准：</w:t>
      </w:r>
    </w:p>
    <w:p w14:paraId="37656497">
      <w:pPr>
        <w:widowControl/>
        <w:adjustRightInd w:val="0"/>
        <w:snapToGrid w:val="0"/>
        <w:spacing w:line="500" w:lineRule="exact"/>
        <w:ind w:firstLine="440" w:firstLineChars="200"/>
        <w:textAlignment w:val="baseline"/>
        <w:rPr>
          <w:rFonts w:hAnsi="宋体" w:cs="Calibri"/>
          <w:color w:val="auto"/>
          <w:kern w:val="1"/>
          <w:sz w:val="22"/>
        </w:rPr>
      </w:pPr>
      <w:r>
        <w:rPr>
          <w:rFonts w:hAnsi="宋体" w:cs="Calibri"/>
          <w:color w:val="auto"/>
          <w:kern w:val="1"/>
          <w:sz w:val="22"/>
        </w:rPr>
        <w:t>2.1.1</w:t>
      </w:r>
      <w:r>
        <w:rPr>
          <w:rFonts w:hint="eastAsia" w:hAnsi="宋体" w:cs="Calibri"/>
          <w:color w:val="auto"/>
          <w:kern w:val="1"/>
          <w:sz w:val="22"/>
        </w:rPr>
        <w:t xml:space="preserve">资格评审标准：见评标办法前附表 </w:t>
      </w:r>
    </w:p>
    <w:p w14:paraId="03CDE732">
      <w:pPr>
        <w:widowControl/>
        <w:adjustRightInd w:val="0"/>
        <w:snapToGrid w:val="0"/>
        <w:spacing w:line="500" w:lineRule="exact"/>
        <w:ind w:firstLine="440" w:firstLineChars="200"/>
        <w:textAlignment w:val="baseline"/>
        <w:rPr>
          <w:rFonts w:hAnsi="宋体" w:cs="宋体"/>
          <w:color w:val="auto"/>
          <w:kern w:val="1"/>
          <w:sz w:val="22"/>
        </w:rPr>
      </w:pPr>
      <w:r>
        <w:rPr>
          <w:rFonts w:hAnsi="宋体" w:cs="Calibri"/>
          <w:color w:val="auto"/>
          <w:kern w:val="1"/>
          <w:sz w:val="22"/>
        </w:rPr>
        <w:t>2.1.2</w:t>
      </w:r>
      <w:r>
        <w:rPr>
          <w:rFonts w:hint="eastAsia" w:hAnsi="宋体" w:cs="宋体"/>
          <w:color w:val="auto"/>
          <w:kern w:val="1"/>
          <w:sz w:val="22"/>
        </w:rPr>
        <w:t>形式评审标准：见评标办法前附表</w:t>
      </w:r>
    </w:p>
    <w:p w14:paraId="0B1A81BC">
      <w:pPr>
        <w:widowControl/>
        <w:adjustRightInd w:val="0"/>
        <w:snapToGrid w:val="0"/>
        <w:spacing w:line="500" w:lineRule="exact"/>
        <w:ind w:firstLine="440" w:firstLineChars="200"/>
        <w:textAlignment w:val="baseline"/>
        <w:rPr>
          <w:rFonts w:hAnsi="宋体"/>
          <w:color w:val="auto"/>
          <w:kern w:val="1"/>
          <w:sz w:val="22"/>
        </w:rPr>
      </w:pPr>
      <w:r>
        <w:rPr>
          <w:rFonts w:hAnsi="宋体" w:cs="Calibri"/>
          <w:color w:val="auto"/>
          <w:kern w:val="1"/>
          <w:sz w:val="22"/>
        </w:rPr>
        <w:t>2.1.3</w:t>
      </w:r>
      <w:r>
        <w:rPr>
          <w:rFonts w:hint="eastAsia" w:hAnsi="宋体" w:cs="宋体"/>
          <w:color w:val="auto"/>
          <w:kern w:val="1"/>
          <w:sz w:val="22"/>
        </w:rPr>
        <w:t>响应性评审标准：见评标办法前附表</w:t>
      </w:r>
    </w:p>
    <w:p w14:paraId="0565E959">
      <w:pPr>
        <w:widowControl/>
        <w:adjustRightInd w:val="0"/>
        <w:snapToGrid w:val="0"/>
        <w:spacing w:line="500" w:lineRule="exact"/>
        <w:textAlignment w:val="baseline"/>
        <w:rPr>
          <w:rFonts w:ascii="宋体"/>
          <w:b/>
          <w:bCs/>
          <w:color w:val="auto"/>
          <w:sz w:val="22"/>
        </w:rPr>
      </w:pPr>
      <w:r>
        <w:rPr>
          <w:rFonts w:cs="Calibri"/>
          <w:b/>
          <w:bCs/>
          <w:color w:val="auto"/>
          <w:kern w:val="1"/>
          <w:sz w:val="22"/>
        </w:rPr>
        <w:t>2.2</w:t>
      </w:r>
      <w:r>
        <w:rPr>
          <w:rFonts w:hint="eastAsia" w:ascii="宋体" w:hAnsi="宋体" w:cs="宋体"/>
          <w:b/>
          <w:bCs/>
          <w:color w:val="auto"/>
          <w:sz w:val="22"/>
        </w:rPr>
        <w:t>分值构成与评分标准</w:t>
      </w:r>
    </w:p>
    <w:p w14:paraId="67EB25D3">
      <w:pPr>
        <w:widowControl/>
        <w:adjustRightInd w:val="0"/>
        <w:snapToGrid w:val="0"/>
        <w:spacing w:line="500" w:lineRule="exact"/>
        <w:ind w:firstLine="442" w:firstLineChars="200"/>
        <w:textAlignment w:val="baseline"/>
        <w:rPr>
          <w:rFonts w:ascii="宋体"/>
          <w:b/>
          <w:bCs/>
          <w:color w:val="auto"/>
          <w:sz w:val="22"/>
        </w:rPr>
      </w:pPr>
      <w:r>
        <w:rPr>
          <w:rFonts w:ascii="宋体" w:hAnsi="宋体" w:cs="宋体"/>
          <w:b/>
          <w:bCs/>
          <w:color w:val="auto"/>
          <w:sz w:val="22"/>
        </w:rPr>
        <w:t xml:space="preserve">2.2.1 </w:t>
      </w:r>
      <w:r>
        <w:rPr>
          <w:rFonts w:hint="eastAsia" w:ascii="宋体" w:hAnsi="宋体" w:cs="宋体"/>
          <w:b/>
          <w:bCs/>
          <w:color w:val="auto"/>
          <w:sz w:val="22"/>
        </w:rPr>
        <w:t>分值构成</w:t>
      </w:r>
    </w:p>
    <w:p w14:paraId="5144C775">
      <w:pPr>
        <w:widowControl/>
        <w:adjustRightInd w:val="0"/>
        <w:snapToGrid w:val="0"/>
        <w:spacing w:line="500" w:lineRule="exact"/>
        <w:ind w:firstLine="440" w:firstLineChars="200"/>
        <w:textAlignment w:val="baseline"/>
        <w:rPr>
          <w:rFonts w:ascii="宋体"/>
          <w:color w:val="auto"/>
          <w:sz w:val="22"/>
        </w:rPr>
      </w:pPr>
      <w:r>
        <w:rPr>
          <w:rFonts w:hint="eastAsia" w:ascii="宋体" w:hAnsi="宋体" w:cs="宋体"/>
          <w:color w:val="auto"/>
          <w:sz w:val="22"/>
        </w:rPr>
        <w:t>详见评标办法前附表；</w:t>
      </w:r>
    </w:p>
    <w:p w14:paraId="61EB8983">
      <w:pPr>
        <w:widowControl/>
        <w:adjustRightInd w:val="0"/>
        <w:snapToGrid w:val="0"/>
        <w:spacing w:line="500" w:lineRule="exact"/>
        <w:ind w:firstLine="442" w:firstLineChars="200"/>
        <w:textAlignment w:val="baseline"/>
        <w:rPr>
          <w:rFonts w:ascii="宋体"/>
          <w:b/>
          <w:bCs/>
          <w:color w:val="auto"/>
          <w:sz w:val="22"/>
        </w:rPr>
      </w:pPr>
      <w:r>
        <w:rPr>
          <w:rFonts w:ascii="宋体" w:hAnsi="宋体" w:cs="宋体"/>
          <w:b/>
          <w:bCs/>
          <w:color w:val="auto"/>
          <w:sz w:val="22"/>
        </w:rPr>
        <w:t>2.2.2</w:t>
      </w:r>
      <w:r>
        <w:rPr>
          <w:rFonts w:hint="eastAsia" w:ascii="宋体" w:hAnsi="宋体" w:cs="宋体"/>
          <w:b/>
          <w:bCs/>
          <w:color w:val="auto"/>
          <w:sz w:val="22"/>
        </w:rPr>
        <w:t>评分标准</w:t>
      </w:r>
    </w:p>
    <w:p w14:paraId="6FF7A3D3">
      <w:pPr>
        <w:widowControl/>
        <w:adjustRightInd w:val="0"/>
        <w:snapToGrid w:val="0"/>
        <w:spacing w:line="500" w:lineRule="exact"/>
        <w:ind w:firstLine="440" w:firstLineChars="200"/>
        <w:textAlignment w:val="baseline"/>
        <w:rPr>
          <w:rFonts w:ascii="宋体"/>
          <w:color w:val="auto"/>
          <w:sz w:val="22"/>
        </w:rPr>
      </w:pPr>
      <w:r>
        <w:rPr>
          <w:rFonts w:hint="eastAsia" w:ascii="宋体" w:hAnsi="宋体" w:cs="宋体"/>
          <w:color w:val="auto"/>
          <w:sz w:val="22"/>
        </w:rPr>
        <w:t>商务部分评分标准：见评标办法前附表；</w:t>
      </w:r>
    </w:p>
    <w:p w14:paraId="01FBCB4E">
      <w:pPr>
        <w:widowControl/>
        <w:adjustRightInd w:val="0"/>
        <w:snapToGrid w:val="0"/>
        <w:spacing w:line="500" w:lineRule="exact"/>
        <w:ind w:firstLine="440" w:firstLineChars="200"/>
        <w:textAlignment w:val="baseline"/>
        <w:rPr>
          <w:rFonts w:ascii="宋体"/>
          <w:color w:val="auto"/>
          <w:sz w:val="22"/>
        </w:rPr>
      </w:pPr>
      <w:r>
        <w:rPr>
          <w:rFonts w:hint="eastAsia" w:ascii="宋体" w:hAnsi="宋体" w:cs="宋体"/>
          <w:color w:val="auto"/>
          <w:sz w:val="22"/>
        </w:rPr>
        <w:t>资信部分评分标准：见评标办法前附表；</w:t>
      </w:r>
    </w:p>
    <w:p w14:paraId="56240CFB">
      <w:pPr>
        <w:widowControl/>
        <w:adjustRightInd w:val="0"/>
        <w:snapToGrid w:val="0"/>
        <w:spacing w:line="500" w:lineRule="exact"/>
        <w:ind w:firstLine="440" w:firstLineChars="200"/>
        <w:textAlignment w:val="baseline"/>
        <w:rPr>
          <w:rFonts w:ascii="宋体"/>
          <w:color w:val="auto"/>
          <w:sz w:val="22"/>
        </w:rPr>
      </w:pPr>
      <w:r>
        <w:rPr>
          <w:rFonts w:hint="eastAsia" w:cs="宋体"/>
          <w:color w:val="auto"/>
          <w:sz w:val="22"/>
        </w:rPr>
        <w:t>技术部分评分标准</w:t>
      </w:r>
      <w:r>
        <w:rPr>
          <w:rFonts w:hint="eastAsia" w:ascii="宋体" w:hAnsi="宋体" w:cs="宋体"/>
          <w:color w:val="auto"/>
          <w:sz w:val="22"/>
        </w:rPr>
        <w:t>：见评标办法前附表；</w:t>
      </w:r>
    </w:p>
    <w:p w14:paraId="4F78CC53">
      <w:pPr>
        <w:pStyle w:val="2"/>
        <w:numPr>
          <w:ilvl w:val="0"/>
          <w:numId w:val="4"/>
        </w:numPr>
        <w:spacing w:line="480" w:lineRule="exact"/>
        <w:rPr>
          <w:rFonts w:ascii="Times New Roman" w:hAnsi="Times New Roman"/>
          <w:color w:val="auto"/>
          <w:sz w:val="28"/>
          <w:szCs w:val="18"/>
        </w:rPr>
      </w:pPr>
      <w:r>
        <w:rPr>
          <w:rFonts w:hint="eastAsia" w:ascii="Times New Roman" w:hAnsi="Times New Roman"/>
          <w:color w:val="auto"/>
          <w:sz w:val="28"/>
          <w:szCs w:val="18"/>
        </w:rPr>
        <w:t>评标程序</w:t>
      </w:r>
    </w:p>
    <w:p w14:paraId="339D9497">
      <w:pPr>
        <w:spacing w:line="360" w:lineRule="auto"/>
        <w:rPr>
          <w:rFonts w:ascii="新宋体" w:hAnsi="新宋体" w:eastAsia="新宋体" w:cs="新宋体"/>
          <w:b/>
          <w:bCs/>
          <w:color w:val="auto"/>
          <w:sz w:val="22"/>
          <w:szCs w:val="21"/>
        </w:rPr>
      </w:pPr>
      <w:bookmarkStart w:id="185" w:name="_Toc144974572"/>
      <w:bookmarkStart w:id="186" w:name="_Toc179632623"/>
      <w:bookmarkStart w:id="187" w:name="_Toc152042382"/>
      <w:bookmarkStart w:id="188" w:name="_Toc152045605"/>
      <w:r>
        <w:rPr>
          <w:rFonts w:hint="eastAsia" w:ascii="新宋体" w:hAnsi="新宋体" w:eastAsia="新宋体" w:cs="新宋体"/>
          <w:b/>
          <w:bCs/>
          <w:color w:val="auto"/>
          <w:sz w:val="22"/>
          <w:szCs w:val="21"/>
        </w:rPr>
        <w:t>3.1 初步评审</w:t>
      </w:r>
      <w:bookmarkEnd w:id="185"/>
      <w:bookmarkEnd w:id="186"/>
      <w:bookmarkEnd w:id="187"/>
      <w:bookmarkEnd w:id="188"/>
    </w:p>
    <w:p w14:paraId="0EDAB554">
      <w:pPr>
        <w:widowControl/>
        <w:adjustRightInd w:val="0"/>
        <w:snapToGrid w:val="0"/>
        <w:spacing w:line="500" w:lineRule="exact"/>
        <w:ind w:firstLine="440" w:firstLineChars="200"/>
        <w:textAlignment w:val="baseline"/>
        <w:rPr>
          <w:color w:val="auto"/>
          <w:kern w:val="1"/>
          <w:sz w:val="22"/>
        </w:rPr>
      </w:pPr>
      <w:r>
        <w:rPr>
          <w:rFonts w:hint="eastAsia" w:ascii="宋体" w:hAnsi="宋体"/>
          <w:color w:val="auto"/>
          <w:sz w:val="22"/>
          <w:szCs w:val="21"/>
        </w:rPr>
        <w:t>3.1.1</w:t>
      </w:r>
      <w:r>
        <w:rPr>
          <w:rFonts w:cs="Calibri"/>
          <w:color w:val="auto"/>
          <w:kern w:val="1"/>
          <w:sz w:val="22"/>
        </w:rPr>
        <w:t xml:space="preserve"> </w:t>
      </w:r>
      <w:r>
        <w:rPr>
          <w:rFonts w:hint="eastAsia" w:hAnsi="宋体" w:cs="宋体"/>
          <w:color w:val="auto"/>
          <w:kern w:val="1"/>
          <w:sz w:val="22"/>
        </w:rPr>
        <w:t>评标委员会依据本章规定的评审标准对投标文件进行初步评审。有一项不符合评审标准的，作无效标予以否决处理。</w:t>
      </w:r>
    </w:p>
    <w:p w14:paraId="3A90AE95">
      <w:pPr>
        <w:spacing w:line="360" w:lineRule="auto"/>
        <w:ind w:firstLine="440" w:firstLineChars="200"/>
        <w:rPr>
          <w:rFonts w:ascii="宋体" w:hAnsi="宋体"/>
          <w:color w:val="auto"/>
          <w:sz w:val="22"/>
          <w:szCs w:val="21"/>
        </w:rPr>
      </w:pPr>
      <w:r>
        <w:rPr>
          <w:rFonts w:hint="eastAsia" w:ascii="宋体" w:hAnsi="宋体"/>
          <w:color w:val="auto"/>
          <w:sz w:val="22"/>
          <w:szCs w:val="21"/>
        </w:rPr>
        <w:t>3</w:t>
      </w:r>
      <w:r>
        <w:rPr>
          <w:rFonts w:ascii="宋体" w:hAnsi="宋体"/>
          <w:color w:val="auto"/>
          <w:sz w:val="22"/>
          <w:szCs w:val="21"/>
        </w:rPr>
        <w:t>.1.2评标委员会依据招标文件规定的标准对投标文件进行初步评审。有一项不符合评审标准的，作</w:t>
      </w:r>
      <w:r>
        <w:rPr>
          <w:rFonts w:hint="eastAsia" w:ascii="宋体" w:hAnsi="宋体"/>
          <w:color w:val="auto"/>
          <w:sz w:val="22"/>
          <w:szCs w:val="21"/>
        </w:rPr>
        <w:t>无效投标</w:t>
      </w:r>
      <w:r>
        <w:rPr>
          <w:rFonts w:ascii="宋体" w:hAnsi="宋体"/>
          <w:color w:val="auto"/>
          <w:sz w:val="22"/>
          <w:szCs w:val="21"/>
        </w:rPr>
        <w:t>处理。当投标人资格预审申请文件的内容发生重大变化时，评标委员会依据招标文件规定的标准对其更新资料进行评审。</w:t>
      </w:r>
    </w:p>
    <w:p w14:paraId="0B8C9861">
      <w:pPr>
        <w:spacing w:line="480" w:lineRule="exact"/>
        <w:ind w:firstLine="440" w:firstLineChars="200"/>
        <w:rPr>
          <w:rFonts w:ascii="新宋体" w:hAnsi="新宋体" w:eastAsia="新宋体" w:cs="新宋体"/>
          <w:color w:val="auto"/>
          <w:sz w:val="22"/>
          <w:szCs w:val="21"/>
        </w:rPr>
      </w:pPr>
      <w:r>
        <w:rPr>
          <w:rFonts w:hint="eastAsia" w:ascii="新宋体" w:hAnsi="新宋体" w:eastAsia="新宋体" w:cs="新宋体"/>
          <w:color w:val="auto"/>
          <w:sz w:val="22"/>
          <w:szCs w:val="21"/>
        </w:rPr>
        <w:t>3.1.3投标人有以下情形之一的，其投标作废标处理：</w:t>
      </w:r>
    </w:p>
    <w:p w14:paraId="09B3B94D">
      <w:pPr>
        <w:spacing w:line="480" w:lineRule="exact"/>
        <w:ind w:firstLine="330" w:firstLineChars="150"/>
        <w:rPr>
          <w:rFonts w:ascii="新宋体" w:hAnsi="新宋体" w:eastAsia="新宋体" w:cs="新宋体"/>
          <w:color w:val="auto"/>
          <w:sz w:val="22"/>
          <w:szCs w:val="21"/>
        </w:rPr>
      </w:pPr>
      <w:r>
        <w:rPr>
          <w:rFonts w:hint="eastAsia" w:ascii="新宋体" w:hAnsi="新宋体" w:eastAsia="新宋体" w:cs="新宋体"/>
          <w:color w:val="auto"/>
          <w:sz w:val="22"/>
          <w:szCs w:val="21"/>
        </w:rPr>
        <w:t>（1）第二章“投标人须知”规定的任何一种情形的；</w:t>
      </w:r>
    </w:p>
    <w:p w14:paraId="0C133304">
      <w:pPr>
        <w:spacing w:line="480" w:lineRule="exact"/>
        <w:ind w:firstLine="330" w:firstLineChars="150"/>
        <w:rPr>
          <w:rFonts w:ascii="新宋体" w:hAnsi="新宋体" w:eastAsia="新宋体" w:cs="新宋体"/>
          <w:color w:val="auto"/>
          <w:sz w:val="22"/>
          <w:szCs w:val="21"/>
        </w:rPr>
      </w:pPr>
      <w:r>
        <w:rPr>
          <w:rFonts w:hint="eastAsia" w:ascii="新宋体" w:hAnsi="新宋体" w:eastAsia="新宋体" w:cs="新宋体"/>
          <w:color w:val="auto"/>
          <w:sz w:val="22"/>
          <w:szCs w:val="21"/>
        </w:rPr>
        <w:t>（2）串通投标或弄虚作假或有其他违法行为的；</w:t>
      </w:r>
    </w:p>
    <w:p w14:paraId="10349AD8">
      <w:pPr>
        <w:spacing w:line="480" w:lineRule="exact"/>
        <w:ind w:firstLine="330" w:firstLineChars="150"/>
        <w:rPr>
          <w:rFonts w:ascii="新宋体" w:hAnsi="新宋体" w:eastAsia="新宋体" w:cs="新宋体"/>
          <w:color w:val="auto"/>
          <w:sz w:val="22"/>
          <w:szCs w:val="21"/>
        </w:rPr>
      </w:pPr>
      <w:r>
        <w:rPr>
          <w:rFonts w:hint="eastAsia" w:ascii="新宋体" w:hAnsi="新宋体" w:eastAsia="新宋体" w:cs="新宋体"/>
          <w:color w:val="auto"/>
          <w:sz w:val="22"/>
          <w:szCs w:val="21"/>
        </w:rPr>
        <w:t>（3）不按评标委员会要求澄清、说明或补正的；</w:t>
      </w:r>
    </w:p>
    <w:p w14:paraId="526EAFC6">
      <w:pPr>
        <w:spacing w:line="480" w:lineRule="exact"/>
        <w:ind w:firstLine="330" w:firstLineChars="150"/>
        <w:rPr>
          <w:rFonts w:ascii="新宋体" w:hAnsi="新宋体" w:eastAsia="新宋体" w:cs="新宋体"/>
          <w:color w:val="auto"/>
          <w:sz w:val="22"/>
          <w:szCs w:val="21"/>
        </w:rPr>
      </w:pPr>
      <w:r>
        <w:rPr>
          <w:rFonts w:hint="eastAsia" w:ascii="新宋体" w:hAnsi="新宋体" w:eastAsia="新宋体" w:cs="新宋体"/>
          <w:color w:val="auto"/>
          <w:sz w:val="22"/>
          <w:szCs w:val="21"/>
        </w:rPr>
        <w:t>（4）不符合招标文件中规定的其他实质性要求的。</w:t>
      </w:r>
    </w:p>
    <w:p w14:paraId="270EDF29">
      <w:pPr>
        <w:spacing w:line="480" w:lineRule="exact"/>
        <w:ind w:firstLine="440" w:firstLineChars="200"/>
        <w:rPr>
          <w:rFonts w:ascii="新宋体" w:hAnsi="新宋体" w:eastAsia="新宋体" w:cs="新宋体"/>
          <w:color w:val="auto"/>
          <w:sz w:val="22"/>
          <w:szCs w:val="21"/>
        </w:rPr>
      </w:pPr>
      <w:r>
        <w:rPr>
          <w:rFonts w:hint="eastAsia" w:ascii="新宋体" w:hAnsi="新宋体" w:eastAsia="新宋体" w:cs="新宋体"/>
          <w:color w:val="auto"/>
          <w:sz w:val="22"/>
          <w:szCs w:val="21"/>
        </w:rPr>
        <w:t>3.1.4投标报价有算术错误的，评标委员会按以下原则对投标报价进行修正，修正的价格经投标人书面确认后具有约束力。投标人不接受修正价格的，其投标作废标处理。</w:t>
      </w:r>
    </w:p>
    <w:p w14:paraId="25AB449D">
      <w:pPr>
        <w:spacing w:line="480" w:lineRule="exact"/>
        <w:ind w:firstLine="440" w:firstLineChars="200"/>
        <w:rPr>
          <w:rFonts w:ascii="新宋体" w:hAnsi="新宋体" w:eastAsia="新宋体" w:cs="新宋体"/>
          <w:color w:val="auto"/>
          <w:sz w:val="22"/>
          <w:szCs w:val="21"/>
        </w:rPr>
      </w:pPr>
      <w:r>
        <w:rPr>
          <w:rFonts w:hint="eastAsia" w:ascii="新宋体" w:hAnsi="新宋体" w:eastAsia="新宋体" w:cs="新宋体"/>
          <w:color w:val="auto"/>
          <w:sz w:val="22"/>
          <w:szCs w:val="21"/>
        </w:rPr>
        <w:t>（1）投标文件中的大写金额与小写金额不一致的，以大写金额为准；</w:t>
      </w:r>
    </w:p>
    <w:p w14:paraId="20958530">
      <w:pPr>
        <w:spacing w:line="480" w:lineRule="exact"/>
        <w:ind w:firstLine="440" w:firstLineChars="200"/>
        <w:rPr>
          <w:rFonts w:ascii="新宋体" w:hAnsi="新宋体" w:eastAsia="新宋体" w:cs="新宋体"/>
          <w:b/>
          <w:color w:val="auto"/>
          <w:sz w:val="22"/>
          <w:szCs w:val="21"/>
        </w:rPr>
      </w:pPr>
      <w:r>
        <w:rPr>
          <w:rFonts w:hint="eastAsia" w:ascii="新宋体" w:hAnsi="新宋体" w:eastAsia="新宋体" w:cs="新宋体"/>
          <w:color w:val="auto"/>
          <w:sz w:val="22"/>
          <w:szCs w:val="21"/>
        </w:rPr>
        <w:t>（2）总价金额与依据单价计算出的结果不一致的，以单价金额为准修正总价，但单价金额小数点有明显错误的除外。</w:t>
      </w:r>
    </w:p>
    <w:p w14:paraId="30E750D3">
      <w:pPr>
        <w:spacing w:line="360" w:lineRule="auto"/>
        <w:rPr>
          <w:rFonts w:ascii="新宋体" w:hAnsi="新宋体" w:eastAsia="新宋体" w:cs="新宋体"/>
          <w:b/>
          <w:bCs/>
          <w:color w:val="auto"/>
          <w:sz w:val="22"/>
          <w:szCs w:val="21"/>
        </w:rPr>
      </w:pPr>
      <w:bookmarkStart w:id="189" w:name="_Toc152042384"/>
      <w:bookmarkStart w:id="190" w:name="_Toc152045606"/>
      <w:bookmarkStart w:id="191" w:name="_Toc179632624"/>
      <w:bookmarkStart w:id="192" w:name="_Toc144974573"/>
      <w:r>
        <w:rPr>
          <w:rFonts w:hint="eastAsia" w:ascii="新宋体" w:hAnsi="新宋体" w:eastAsia="新宋体" w:cs="新宋体"/>
          <w:b/>
          <w:bCs/>
          <w:color w:val="auto"/>
          <w:sz w:val="22"/>
          <w:szCs w:val="21"/>
        </w:rPr>
        <w:t>3.2 详细评审</w:t>
      </w:r>
      <w:bookmarkEnd w:id="189"/>
      <w:bookmarkEnd w:id="190"/>
      <w:bookmarkEnd w:id="191"/>
      <w:bookmarkEnd w:id="192"/>
    </w:p>
    <w:p w14:paraId="4958C3EE">
      <w:pPr>
        <w:spacing w:line="360" w:lineRule="auto"/>
        <w:rPr>
          <w:rFonts w:ascii="新宋体" w:hAnsi="新宋体" w:eastAsia="新宋体" w:cs="新宋体"/>
          <w:color w:val="auto"/>
          <w:sz w:val="22"/>
          <w:szCs w:val="21"/>
        </w:rPr>
      </w:pPr>
      <w:r>
        <w:rPr>
          <w:rFonts w:hint="eastAsia" w:ascii="新宋体" w:hAnsi="新宋体" w:eastAsia="新宋体" w:cs="新宋体"/>
          <w:color w:val="auto"/>
          <w:sz w:val="22"/>
          <w:szCs w:val="21"/>
        </w:rPr>
        <w:t>评标委员会按本章规定的量化因素和分值进行打分，并计算出综合评估得分。</w:t>
      </w:r>
    </w:p>
    <w:p w14:paraId="6616CC15">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3.2.1 评分分值计算保留小数点后两位，小数点后第三位“四舍五入”。</w:t>
      </w:r>
    </w:p>
    <w:p w14:paraId="514D4166">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 xml:space="preserve">3.2.2 </w:t>
      </w:r>
      <w:r>
        <w:rPr>
          <w:rFonts w:hint="eastAsia" w:ascii="宋体" w:hAnsi="宋体" w:cs="宋体"/>
          <w:color w:val="auto"/>
          <w:kern w:val="0"/>
          <w:sz w:val="22"/>
        </w:rPr>
        <w:t>投标人总计分</w:t>
      </w:r>
      <w:r>
        <w:rPr>
          <w:rFonts w:hint="eastAsia" w:ascii="新宋体" w:hAnsi="新宋体" w:eastAsia="新宋体" w:cs="新宋体"/>
          <w:color w:val="auto"/>
          <w:sz w:val="22"/>
          <w:szCs w:val="21"/>
        </w:rPr>
        <w:t>=商务部分得分+技术部分得分+资信部分得分；</w:t>
      </w:r>
      <w:r>
        <w:rPr>
          <w:rFonts w:hint="eastAsia" w:ascii="宋体" w:hAnsi="宋体" w:cs="宋体"/>
          <w:color w:val="auto"/>
          <w:kern w:val="0"/>
          <w:sz w:val="22"/>
        </w:rPr>
        <w:t>投标人最终得分取所有评委对该投标人计分之和的算术平均值</w:t>
      </w:r>
      <w:r>
        <w:rPr>
          <w:rFonts w:hint="eastAsia" w:ascii="新宋体" w:hAnsi="新宋体" w:eastAsia="新宋体" w:cs="新宋体"/>
          <w:color w:val="auto"/>
          <w:sz w:val="22"/>
          <w:szCs w:val="21"/>
        </w:rPr>
        <w:t>。</w:t>
      </w:r>
    </w:p>
    <w:p w14:paraId="22CC4037">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3.2.3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3DEFE1DB">
      <w:pPr>
        <w:spacing w:line="360" w:lineRule="auto"/>
        <w:rPr>
          <w:rFonts w:ascii="新宋体" w:hAnsi="新宋体" w:eastAsia="新宋体" w:cs="新宋体"/>
          <w:b/>
          <w:bCs/>
          <w:color w:val="auto"/>
          <w:sz w:val="22"/>
          <w:szCs w:val="21"/>
        </w:rPr>
      </w:pPr>
      <w:bookmarkStart w:id="193" w:name="_Toc144974575"/>
      <w:bookmarkStart w:id="194" w:name="_Toc152045607"/>
      <w:bookmarkStart w:id="195" w:name="_Toc152042385"/>
      <w:bookmarkStart w:id="196" w:name="_Toc179632625"/>
      <w:r>
        <w:rPr>
          <w:rFonts w:hint="eastAsia" w:ascii="新宋体" w:hAnsi="新宋体" w:eastAsia="新宋体" w:cs="新宋体"/>
          <w:b/>
          <w:bCs/>
          <w:color w:val="auto"/>
          <w:sz w:val="22"/>
          <w:szCs w:val="21"/>
        </w:rPr>
        <w:t>3.3 投标文件的澄清</w:t>
      </w:r>
      <w:bookmarkEnd w:id="193"/>
      <w:r>
        <w:rPr>
          <w:rFonts w:hint="eastAsia" w:ascii="新宋体" w:hAnsi="新宋体" w:eastAsia="新宋体" w:cs="新宋体"/>
          <w:b/>
          <w:bCs/>
          <w:color w:val="auto"/>
          <w:sz w:val="22"/>
          <w:szCs w:val="21"/>
        </w:rPr>
        <w:t>和补正</w:t>
      </w:r>
      <w:bookmarkEnd w:id="194"/>
      <w:bookmarkEnd w:id="195"/>
      <w:bookmarkEnd w:id="196"/>
    </w:p>
    <w:p w14:paraId="339498E2">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3.3.1在评标过程中，评标委员会可以书面形式要求投标人对所提交投标文件中不明确的内容进行书面澄清或说明，或者对细微偏差进行补正。评标委员会不接受投标人主动提出的澄清、说明或补正。</w:t>
      </w:r>
    </w:p>
    <w:p w14:paraId="5CC24EAF">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3.3.2 澄清、说明和补正不得改变投标文件的实质性内容（算术性错误修正的除外）。投标人的书面澄清、说明和补正属于投标文件的组成部分。</w:t>
      </w:r>
    </w:p>
    <w:p w14:paraId="17950BEC">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3.3.3 评标委员会对投标人提交的澄清、说明或补正有疑问的，可以要求投标人进一步澄清、说明或补正，直至满足评标委员会的要求。</w:t>
      </w:r>
    </w:p>
    <w:p w14:paraId="159B4044">
      <w:pPr>
        <w:spacing w:line="360" w:lineRule="auto"/>
        <w:rPr>
          <w:rFonts w:ascii="新宋体" w:hAnsi="新宋体" w:eastAsia="新宋体" w:cs="新宋体"/>
          <w:b/>
          <w:bCs/>
          <w:color w:val="auto"/>
          <w:sz w:val="22"/>
          <w:szCs w:val="21"/>
        </w:rPr>
      </w:pPr>
      <w:bookmarkStart w:id="197" w:name="_Toc152042386"/>
      <w:bookmarkStart w:id="198" w:name="_Toc152045608"/>
      <w:bookmarkStart w:id="199" w:name="_Toc179632626"/>
      <w:bookmarkStart w:id="200" w:name="_Toc144974576"/>
      <w:r>
        <w:rPr>
          <w:rFonts w:hint="eastAsia" w:ascii="新宋体" w:hAnsi="新宋体" w:eastAsia="新宋体" w:cs="新宋体"/>
          <w:b/>
          <w:bCs/>
          <w:color w:val="auto"/>
          <w:sz w:val="22"/>
          <w:szCs w:val="21"/>
        </w:rPr>
        <w:t>3.4 评标结果</w:t>
      </w:r>
      <w:bookmarkEnd w:id="197"/>
      <w:bookmarkEnd w:id="198"/>
      <w:bookmarkEnd w:id="199"/>
      <w:bookmarkEnd w:id="200"/>
    </w:p>
    <w:p w14:paraId="5DC74D85">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3.4.1评标委员会按照最终得分由高到低的顺序，推荐定标候选人。</w:t>
      </w:r>
    </w:p>
    <w:p w14:paraId="685F3FD4">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3.4.2 评标委员会完成评标后，应当向招标人提交书面评标报告。</w:t>
      </w:r>
    </w:p>
    <w:p w14:paraId="72D4091E">
      <w:pPr>
        <w:spacing w:line="360" w:lineRule="auto"/>
        <w:ind w:firstLine="420"/>
        <w:rPr>
          <w:rFonts w:ascii="新宋体" w:hAnsi="新宋体" w:eastAsia="新宋体" w:cs="新宋体"/>
          <w:b/>
          <w:bCs/>
          <w:color w:val="auto"/>
          <w:sz w:val="22"/>
          <w:szCs w:val="21"/>
        </w:rPr>
      </w:pPr>
      <w:r>
        <w:rPr>
          <w:rFonts w:hint="eastAsia" w:ascii="新宋体" w:hAnsi="新宋体" w:eastAsia="新宋体" w:cs="新宋体"/>
          <w:b/>
          <w:bCs/>
          <w:color w:val="auto"/>
          <w:sz w:val="22"/>
          <w:szCs w:val="21"/>
        </w:rPr>
        <w:t>3.4.3评标报告应写明推荐定标候选人的优缺点。</w:t>
      </w:r>
    </w:p>
    <w:p w14:paraId="16823C27">
      <w:pPr>
        <w:rPr>
          <w:color w:val="auto"/>
        </w:rPr>
      </w:pPr>
      <w:r>
        <w:rPr>
          <w:color w:val="auto"/>
        </w:rPr>
        <w:br w:type="page"/>
      </w:r>
    </w:p>
    <w:p w14:paraId="1DC4253D">
      <w:pPr>
        <w:numPr>
          <w:ilvl w:val="0"/>
          <w:numId w:val="1"/>
        </w:numPr>
        <w:jc w:val="center"/>
        <w:outlineLvl w:val="0"/>
        <w:rPr>
          <w:b/>
          <w:bCs/>
          <w:color w:val="auto"/>
          <w:sz w:val="36"/>
          <w:szCs w:val="36"/>
        </w:rPr>
      </w:pPr>
      <w:bookmarkStart w:id="201" w:name="_Toc157669078"/>
      <w:bookmarkStart w:id="202" w:name="_Toc20059"/>
      <w:bookmarkStart w:id="203" w:name="_Toc7000"/>
      <w:r>
        <w:rPr>
          <w:rFonts w:hint="eastAsia"/>
          <w:b/>
          <w:bCs/>
          <w:color w:val="auto"/>
          <w:sz w:val="36"/>
          <w:szCs w:val="36"/>
        </w:rPr>
        <w:t>定标方法</w:t>
      </w:r>
      <w:bookmarkEnd w:id="201"/>
      <w:bookmarkEnd w:id="202"/>
      <w:bookmarkEnd w:id="203"/>
    </w:p>
    <w:tbl>
      <w:tblPr>
        <w:tblStyle w:val="88"/>
        <w:tblW w:w="502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83"/>
        <w:gridCol w:w="1852"/>
        <w:gridCol w:w="6271"/>
      </w:tblGrid>
      <w:tr w14:paraId="16B5B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2" w:type="pct"/>
            <w:vAlign w:val="center"/>
          </w:tcPr>
          <w:p w14:paraId="43748B0A">
            <w:pPr>
              <w:rPr>
                <w:color w:val="auto"/>
              </w:rPr>
            </w:pPr>
            <w:r>
              <w:rPr>
                <w:rFonts w:hint="eastAsia"/>
                <w:color w:val="auto"/>
              </w:rPr>
              <w:t>条款号</w:t>
            </w:r>
          </w:p>
        </w:tc>
        <w:tc>
          <w:tcPr>
            <w:tcW w:w="964" w:type="pct"/>
            <w:vAlign w:val="center"/>
          </w:tcPr>
          <w:p w14:paraId="1CB5D45B">
            <w:pPr>
              <w:rPr>
                <w:color w:val="auto"/>
              </w:rPr>
            </w:pPr>
            <w:r>
              <w:rPr>
                <w:rFonts w:hint="eastAsia"/>
                <w:color w:val="auto"/>
              </w:rPr>
              <w:t>评审因素</w:t>
            </w:r>
          </w:p>
        </w:tc>
        <w:tc>
          <w:tcPr>
            <w:tcW w:w="3265" w:type="pct"/>
            <w:vAlign w:val="center"/>
          </w:tcPr>
          <w:p w14:paraId="37F2AC4D">
            <w:pPr>
              <w:rPr>
                <w:color w:val="auto"/>
              </w:rPr>
            </w:pPr>
            <w:r>
              <w:rPr>
                <w:rFonts w:hint="eastAsia"/>
                <w:color w:val="auto"/>
              </w:rPr>
              <w:t>评审标准</w:t>
            </w:r>
          </w:p>
        </w:tc>
      </w:tr>
      <w:tr w14:paraId="7E586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2" w:type="pct"/>
            <w:vAlign w:val="center"/>
          </w:tcPr>
          <w:p w14:paraId="7928941F">
            <w:pPr>
              <w:rPr>
                <w:color w:val="auto"/>
              </w:rPr>
            </w:pPr>
            <w:r>
              <w:rPr>
                <w:rFonts w:hint="eastAsia"/>
                <w:color w:val="auto"/>
              </w:rPr>
              <w:t>1</w:t>
            </w:r>
          </w:p>
        </w:tc>
        <w:tc>
          <w:tcPr>
            <w:tcW w:w="964" w:type="pct"/>
            <w:tcMar>
              <w:left w:w="75" w:type="dxa"/>
            </w:tcMar>
            <w:vAlign w:val="center"/>
          </w:tcPr>
          <w:p w14:paraId="752AD281">
            <w:pPr>
              <w:rPr>
                <w:color w:val="auto"/>
              </w:rPr>
            </w:pPr>
            <w:r>
              <w:rPr>
                <w:rFonts w:hint="eastAsia"/>
                <w:color w:val="auto"/>
              </w:rPr>
              <w:t>定标方法</w:t>
            </w:r>
          </w:p>
        </w:tc>
        <w:tc>
          <w:tcPr>
            <w:tcW w:w="3265" w:type="pct"/>
            <w:tcMar>
              <w:left w:w="75" w:type="dxa"/>
            </w:tcMar>
            <w:vAlign w:val="center"/>
          </w:tcPr>
          <w:p w14:paraId="4932D6CC">
            <w:pPr>
              <w:spacing w:line="360" w:lineRule="auto"/>
              <w:rPr>
                <w:color w:val="auto"/>
              </w:rPr>
            </w:pPr>
            <w:r>
              <w:rPr>
                <w:rFonts w:hint="eastAsia"/>
                <w:color w:val="auto"/>
              </w:rPr>
              <w:sym w:font="Wingdings 2" w:char="00A3"/>
            </w:r>
            <w:r>
              <w:rPr>
                <w:rFonts w:hint="eastAsia"/>
                <w:color w:val="auto"/>
              </w:rPr>
              <w:t>集体议事法</w:t>
            </w:r>
          </w:p>
          <w:p w14:paraId="7ACF3B78">
            <w:pPr>
              <w:spacing w:line="360" w:lineRule="auto"/>
              <w:rPr>
                <w:color w:val="auto"/>
              </w:rPr>
            </w:pPr>
            <w:r>
              <w:rPr>
                <w:rFonts w:hint="eastAsia" w:ascii="宋体" w:hAnsi="宋体" w:cs="宋体"/>
                <w:color w:val="auto"/>
                <w:szCs w:val="21"/>
              </w:rPr>
              <w:t>☑</w:t>
            </w:r>
            <w:r>
              <w:rPr>
                <w:rFonts w:hint="eastAsia"/>
                <w:color w:val="auto"/>
              </w:rPr>
              <w:t>票决定标法</w:t>
            </w:r>
          </w:p>
          <w:p w14:paraId="4F9A6C3E">
            <w:pPr>
              <w:spacing w:line="360" w:lineRule="auto"/>
              <w:rPr>
                <w:color w:val="auto"/>
              </w:rPr>
            </w:pPr>
            <w:r>
              <w:rPr>
                <w:rFonts w:hint="eastAsia"/>
                <w:color w:val="auto"/>
              </w:rPr>
              <w:sym w:font="Wingdings 2" w:char="00A3"/>
            </w:r>
            <w:r>
              <w:rPr>
                <w:rFonts w:hint="eastAsia"/>
                <w:color w:val="auto"/>
              </w:rPr>
              <w:t xml:space="preserve">低中选优定标法 </w:t>
            </w:r>
          </w:p>
          <w:p w14:paraId="2C4FF138">
            <w:pPr>
              <w:spacing w:line="360" w:lineRule="auto"/>
              <w:rPr>
                <w:color w:val="auto"/>
              </w:rPr>
            </w:pPr>
            <w:r>
              <w:rPr>
                <w:rFonts w:hint="eastAsia"/>
                <w:color w:val="auto"/>
              </w:rPr>
              <w:sym w:font="Wingdings 2" w:char="00A3"/>
            </w:r>
            <w:r>
              <w:rPr>
                <w:rFonts w:hint="eastAsia"/>
                <w:color w:val="auto"/>
              </w:rPr>
              <w:t xml:space="preserve">其他：          </w:t>
            </w:r>
          </w:p>
        </w:tc>
      </w:tr>
      <w:tr w14:paraId="4CD1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4" w:hRule="atLeast"/>
        </w:trPr>
        <w:tc>
          <w:tcPr>
            <w:tcW w:w="772" w:type="pct"/>
            <w:vAlign w:val="center"/>
          </w:tcPr>
          <w:p w14:paraId="75CEABC7">
            <w:pPr>
              <w:rPr>
                <w:color w:val="auto"/>
              </w:rPr>
            </w:pPr>
            <w:r>
              <w:rPr>
                <w:rFonts w:hint="eastAsia"/>
                <w:color w:val="auto"/>
              </w:rPr>
              <w:t>2</w:t>
            </w:r>
          </w:p>
        </w:tc>
        <w:tc>
          <w:tcPr>
            <w:tcW w:w="964" w:type="pct"/>
            <w:tcMar>
              <w:left w:w="75" w:type="dxa"/>
            </w:tcMar>
            <w:vAlign w:val="center"/>
          </w:tcPr>
          <w:p w14:paraId="5FA5B771">
            <w:pPr>
              <w:rPr>
                <w:color w:val="auto"/>
              </w:rPr>
            </w:pPr>
            <w:r>
              <w:rPr>
                <w:rFonts w:hint="eastAsia"/>
                <w:color w:val="auto"/>
              </w:rPr>
              <w:t>定标规则</w:t>
            </w:r>
          </w:p>
        </w:tc>
        <w:tc>
          <w:tcPr>
            <w:tcW w:w="3265" w:type="pct"/>
            <w:vAlign w:val="center"/>
          </w:tcPr>
          <w:p w14:paraId="27AD8535">
            <w:pPr>
              <w:spacing w:line="360" w:lineRule="auto"/>
              <w:rPr>
                <w:color w:val="auto"/>
              </w:rPr>
            </w:pPr>
            <w:r>
              <w:rPr>
                <w:rFonts w:hint="eastAsia"/>
                <w:color w:val="auto"/>
              </w:rPr>
              <w:t>□集体议事法：由定标委员会集体商议，定标委员会成员各自发表意见，由定标委员会组长最终确定中标人。</w:t>
            </w:r>
          </w:p>
          <w:p w14:paraId="7936C682">
            <w:pPr>
              <w:spacing w:line="360" w:lineRule="auto"/>
              <w:rPr>
                <w:color w:val="auto"/>
              </w:rPr>
            </w:pPr>
            <w:r>
              <w:rPr>
                <w:rFonts w:hint="eastAsia" w:ascii="宋体" w:hAnsi="宋体" w:cs="宋体"/>
                <w:color w:val="auto"/>
                <w:szCs w:val="21"/>
              </w:rPr>
              <w:t>☑</w:t>
            </w:r>
            <w:r>
              <w:rPr>
                <w:rFonts w:hint="eastAsia"/>
                <w:color w:val="auto"/>
              </w:rPr>
              <w:t>票决定标法（直接票决）：定标委员会成员在定标候选人中选择1家进行投票，推荐的得1票，最终按推荐得票数由高到低排序确定中标人。票决中出现推荐得票数相同以致影响中标人确定的，由定标委员会对推荐得票数最高且相同的定标候选人，按投标报价由低到高进行排序，报价最低者将被确定为中标人（若投标报价也相同的，由定标委员会对投标报价相同的投标人再次进行投票，得票数高的为中标人）。</w:t>
            </w:r>
          </w:p>
          <w:p w14:paraId="76EF4509">
            <w:pPr>
              <w:spacing w:line="360" w:lineRule="auto"/>
              <w:rPr>
                <w:color w:val="auto"/>
              </w:rPr>
            </w:pPr>
            <w:r>
              <w:rPr>
                <w:rFonts w:hint="eastAsia"/>
                <w:color w:val="auto"/>
              </w:rPr>
              <w:t>□票决定标法（逐轮票决）：分为两轮。定标规则具体如下：</w:t>
            </w:r>
          </w:p>
          <w:p w14:paraId="2A190FDB">
            <w:pPr>
              <w:spacing w:line="360" w:lineRule="auto"/>
              <w:ind w:firstLine="210" w:firstLineChars="100"/>
              <w:rPr>
                <w:color w:val="auto"/>
              </w:rPr>
            </w:pPr>
            <w:r>
              <w:rPr>
                <w:rFonts w:hint="eastAsia"/>
                <w:color w:val="auto"/>
              </w:rPr>
              <w:t>第一轮，定标委员会在定标候选人中选择3家进行投票，按累计得票数由高到低顺序进行排序，票数高的3家进入第二轮。定标委员会对进入第二轮的定标候选人选择1家进行投票，推荐的得1票，最终按推荐得票数由高到低排序确定中标人。</w:t>
            </w:r>
          </w:p>
          <w:p w14:paraId="328E3F38">
            <w:pPr>
              <w:spacing w:line="360" w:lineRule="auto"/>
              <w:ind w:firstLine="210" w:firstLineChars="100"/>
              <w:rPr>
                <w:color w:val="auto"/>
              </w:rPr>
            </w:pPr>
            <w:r>
              <w:rPr>
                <w:rFonts w:hint="eastAsia"/>
                <w:color w:val="auto"/>
              </w:rPr>
              <w:t>票决中出现推荐得票数相同且影响第二轮入围的，由定标委员会对推荐得票数相同的定标候选人，按投标报价由低到高进行排序，投标报价较低的依次入围第二轮（若投标报价也相同的，由定标委员会对报价相同的单位再次进行投票，得票数高的入围第二轮），直至入围家数满足3家；票决中出现推荐得票数相同且影响中标人确定的，由定标委员会对推荐得票数最高且相同的定标候选人，按投标报价由低到高进行排序，报价最低者将被确定为中标人（若投标报价也相同的，由定标委员会对报价相同的单位再次进行投票，得票数高的为中标人）。</w:t>
            </w:r>
          </w:p>
          <w:p w14:paraId="0D98979B">
            <w:pPr>
              <w:spacing w:line="360" w:lineRule="auto"/>
              <w:rPr>
                <w:color w:val="auto"/>
              </w:rPr>
            </w:pPr>
            <w:r>
              <w:rPr>
                <w:rFonts w:hint="eastAsia"/>
                <w:color w:val="auto"/>
              </w:rPr>
              <w:sym w:font="Wingdings 2" w:char="00A3"/>
            </w:r>
            <w:r>
              <w:rPr>
                <w:rFonts w:hint="eastAsia"/>
                <w:color w:val="auto"/>
              </w:rPr>
              <w:t>低中选优定标法：是指定标委员会对各定标侯选人复核审查无异议后,按照中标侯选人报价相对平均值较低的价格竞争方法, 综合考虑中标侯选人实力,包括企业规模、资质等级、专业技术人员规模、财务状况、过往业绩 (含业绩影响力和难易程度)、 信用评价情况等方面,合理选择中标人：</w:t>
            </w:r>
          </w:p>
          <w:p w14:paraId="1472D67E">
            <w:pPr>
              <w:spacing w:line="360" w:lineRule="auto"/>
              <w:ind w:firstLine="420" w:firstLineChars="200"/>
              <w:rPr>
                <w:color w:val="auto"/>
              </w:rPr>
            </w:pPr>
            <w:r>
              <w:rPr>
                <w:rFonts w:hint="eastAsia"/>
                <w:color w:val="auto"/>
              </w:rPr>
              <w:t>定标委员会对所有定标候选人进行复核，选择定标候选人中报价低于评标基准价（依据评标阶段确定的基准价）的企业，进入下一阶段评审；</w:t>
            </w:r>
          </w:p>
          <w:p w14:paraId="62D243DC">
            <w:pPr>
              <w:spacing w:line="360" w:lineRule="auto"/>
              <w:ind w:firstLine="420" w:firstLineChars="200"/>
              <w:rPr>
                <w:color w:val="auto"/>
              </w:rPr>
            </w:pPr>
            <w:r>
              <w:rPr>
                <w:rFonts w:hint="eastAsia"/>
                <w:color w:val="auto"/>
              </w:rPr>
              <w:t>对所有进行第二阶段评审的候选人横向比较，按照以下因素进行评审赋分：1）企业规模、2）资质等级、3）专业技术人员规模、4）财务状况、5）过往业绩 与履约情况、 6）信用评价情况；其中最好的得15分（情况基本相同的可并列，得相同分数），以后按每低一个档次少得一分的规则赋分；</w:t>
            </w:r>
          </w:p>
          <w:p w14:paraId="4749A646">
            <w:pPr>
              <w:spacing w:line="360" w:lineRule="auto"/>
              <w:ind w:firstLine="420" w:firstLineChars="200"/>
              <w:rPr>
                <w:color w:val="auto"/>
              </w:rPr>
            </w:pPr>
            <w:r>
              <w:rPr>
                <w:rFonts w:hint="eastAsia"/>
                <w:color w:val="auto"/>
              </w:rPr>
              <w:t>分别汇总每个定标候选人的各项因素得分，总分最高的即可确定为中标人。</w:t>
            </w:r>
          </w:p>
          <w:p w14:paraId="56D93BD6">
            <w:pPr>
              <w:spacing w:line="360" w:lineRule="auto"/>
              <w:ind w:firstLine="210" w:firstLineChars="100"/>
              <w:rPr>
                <w:color w:val="auto"/>
              </w:rPr>
            </w:pPr>
            <w:r>
              <w:rPr>
                <w:rFonts w:hint="eastAsia"/>
                <w:color w:val="auto"/>
              </w:rPr>
              <w:sym w:font="Wingdings 2" w:char="00A3"/>
            </w:r>
            <w:r>
              <w:rPr>
                <w:rFonts w:hint="eastAsia"/>
                <w:color w:val="auto"/>
              </w:rPr>
              <w:t xml:space="preserve">其他：          </w:t>
            </w:r>
          </w:p>
        </w:tc>
      </w:tr>
    </w:tbl>
    <w:p w14:paraId="6F958FD5">
      <w:pPr>
        <w:pStyle w:val="2"/>
        <w:spacing w:line="480" w:lineRule="exact"/>
        <w:rPr>
          <w:rFonts w:ascii="Times New Roman" w:hAnsi="Times New Roman"/>
          <w:color w:val="auto"/>
          <w:sz w:val="28"/>
          <w:szCs w:val="18"/>
        </w:rPr>
      </w:pPr>
      <w:bookmarkStart w:id="204" w:name="_Toc32446"/>
      <w:r>
        <w:rPr>
          <w:rFonts w:ascii="Times New Roman" w:hAnsi="Times New Roman"/>
          <w:color w:val="auto"/>
          <w:sz w:val="28"/>
          <w:szCs w:val="18"/>
        </w:rPr>
        <w:t>1.定标方法</w:t>
      </w:r>
      <w:bookmarkEnd w:id="204"/>
      <w:r>
        <w:rPr>
          <w:rFonts w:ascii="Times New Roman" w:hAnsi="Times New Roman"/>
          <w:color w:val="auto"/>
          <w:sz w:val="28"/>
          <w:szCs w:val="18"/>
        </w:rPr>
        <w:t xml:space="preserve"> </w:t>
      </w:r>
    </w:p>
    <w:p w14:paraId="0EE632D2">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本招标项目采用的定标方法见前附表。</w:t>
      </w:r>
    </w:p>
    <w:p w14:paraId="7AE3AA46">
      <w:pPr>
        <w:pStyle w:val="2"/>
        <w:spacing w:line="480" w:lineRule="exact"/>
        <w:rPr>
          <w:rFonts w:ascii="Times New Roman" w:hAnsi="Times New Roman"/>
          <w:color w:val="auto"/>
          <w:sz w:val="28"/>
          <w:szCs w:val="18"/>
        </w:rPr>
      </w:pPr>
      <w:bookmarkStart w:id="205" w:name="_Toc18488"/>
      <w:r>
        <w:rPr>
          <w:rFonts w:ascii="Times New Roman" w:hAnsi="Times New Roman"/>
          <w:color w:val="auto"/>
          <w:sz w:val="28"/>
          <w:szCs w:val="18"/>
        </w:rPr>
        <w:t>2.定标程序</w:t>
      </w:r>
      <w:bookmarkEnd w:id="205"/>
      <w:r>
        <w:rPr>
          <w:rFonts w:ascii="Times New Roman" w:hAnsi="Times New Roman"/>
          <w:color w:val="auto"/>
          <w:sz w:val="28"/>
          <w:szCs w:val="18"/>
        </w:rPr>
        <w:t xml:space="preserve"> </w:t>
      </w:r>
    </w:p>
    <w:p w14:paraId="5A29AEF8">
      <w:pPr>
        <w:spacing w:line="360" w:lineRule="auto"/>
        <w:ind w:firstLine="420"/>
        <w:rPr>
          <w:rFonts w:hint="eastAsia" w:ascii="新宋体" w:hAnsi="新宋体" w:eastAsia="新宋体" w:cs="新宋体"/>
          <w:color w:val="auto"/>
          <w:sz w:val="22"/>
          <w:szCs w:val="21"/>
          <w:highlight w:val="none"/>
          <w:lang w:val="zh-CN"/>
        </w:rPr>
      </w:pPr>
      <w:r>
        <w:rPr>
          <w:rFonts w:hint="eastAsia" w:ascii="新宋体" w:hAnsi="新宋体" w:eastAsia="新宋体" w:cs="新宋体"/>
          <w:color w:val="auto"/>
          <w:sz w:val="22"/>
          <w:szCs w:val="21"/>
          <w:highlight w:val="none"/>
          <w:lang w:val="en-US" w:eastAsia="zh-CN"/>
        </w:rPr>
        <w:t>参考菏政办字【2023】53号文、（菏政办字【2024】51号）及《菏泽市工程、货物及服务招标投标评定分离项目操作手册》</w:t>
      </w:r>
      <w:r>
        <w:rPr>
          <w:rFonts w:hint="eastAsia" w:ascii="新宋体" w:hAnsi="新宋体" w:eastAsia="新宋体" w:cs="新宋体"/>
          <w:color w:val="auto"/>
          <w:sz w:val="22"/>
          <w:szCs w:val="21"/>
          <w:highlight w:val="none"/>
          <w:lang w:val="zh-CN"/>
        </w:rPr>
        <w:t xml:space="preserve">程序进行定标： </w:t>
      </w:r>
    </w:p>
    <w:p w14:paraId="2801E3A7">
      <w:pPr>
        <w:spacing w:line="360" w:lineRule="auto"/>
        <w:ind w:firstLine="420"/>
        <w:rPr>
          <w:rFonts w:hint="eastAsia" w:ascii="新宋体" w:hAnsi="新宋体" w:eastAsia="新宋体" w:cs="新宋体"/>
          <w:color w:val="auto"/>
          <w:sz w:val="22"/>
          <w:szCs w:val="21"/>
          <w:highlight w:val="none"/>
          <w:lang w:val="zh-CN"/>
        </w:rPr>
      </w:pPr>
      <w:r>
        <w:rPr>
          <w:rFonts w:hint="eastAsia" w:ascii="新宋体" w:hAnsi="新宋体" w:eastAsia="新宋体" w:cs="新宋体"/>
          <w:color w:val="auto"/>
          <w:sz w:val="22"/>
          <w:szCs w:val="21"/>
          <w:highlight w:val="none"/>
          <w:lang w:val="zh-CN"/>
        </w:rPr>
        <w:t>（1）介绍</w:t>
      </w:r>
      <w:r>
        <w:rPr>
          <w:rFonts w:hint="eastAsia" w:ascii="新宋体" w:hAnsi="新宋体" w:eastAsia="新宋体" w:cs="新宋体"/>
          <w:color w:val="auto"/>
          <w:sz w:val="22"/>
          <w:szCs w:val="21"/>
          <w:highlight w:val="none"/>
          <w:lang w:val="en-US" w:eastAsia="zh-CN"/>
        </w:rPr>
        <w:t>参会人员</w:t>
      </w:r>
      <w:r>
        <w:rPr>
          <w:rFonts w:hint="eastAsia" w:ascii="新宋体" w:hAnsi="新宋体" w:eastAsia="新宋体" w:cs="新宋体"/>
          <w:color w:val="auto"/>
          <w:sz w:val="22"/>
          <w:szCs w:val="21"/>
          <w:highlight w:val="none"/>
          <w:lang w:val="zh-CN"/>
        </w:rPr>
        <w:t>；</w:t>
      </w:r>
    </w:p>
    <w:p w14:paraId="5F830DCC">
      <w:pPr>
        <w:spacing w:line="360" w:lineRule="auto"/>
        <w:ind w:firstLine="420"/>
        <w:rPr>
          <w:rFonts w:hint="eastAsia" w:ascii="新宋体" w:hAnsi="新宋体" w:eastAsia="新宋体" w:cs="新宋体"/>
          <w:color w:val="auto"/>
          <w:sz w:val="22"/>
          <w:szCs w:val="21"/>
          <w:highlight w:val="none"/>
          <w:lang w:val="zh-CN"/>
        </w:rPr>
      </w:pPr>
      <w:r>
        <w:rPr>
          <w:rFonts w:hint="eastAsia" w:ascii="新宋体" w:hAnsi="新宋体" w:eastAsia="新宋体" w:cs="新宋体"/>
          <w:color w:val="auto"/>
          <w:sz w:val="22"/>
          <w:szCs w:val="21"/>
          <w:highlight w:val="none"/>
          <w:lang w:val="zh-CN"/>
        </w:rPr>
        <w:t>（2）</w:t>
      </w:r>
      <w:r>
        <w:rPr>
          <w:rFonts w:hint="eastAsia" w:ascii="新宋体" w:hAnsi="新宋体" w:eastAsia="新宋体" w:cs="新宋体"/>
          <w:color w:val="auto"/>
          <w:sz w:val="22"/>
          <w:szCs w:val="21"/>
          <w:highlight w:val="none"/>
          <w:lang w:val="en-US" w:eastAsia="zh-CN"/>
        </w:rPr>
        <w:t>宣布会议纪律</w:t>
      </w:r>
    </w:p>
    <w:p w14:paraId="4023DCE3">
      <w:pPr>
        <w:spacing w:line="360" w:lineRule="auto"/>
        <w:ind w:firstLine="420"/>
        <w:rPr>
          <w:rFonts w:hint="eastAsia" w:ascii="新宋体" w:hAnsi="新宋体" w:eastAsia="新宋体" w:cs="新宋体"/>
          <w:color w:val="auto"/>
          <w:sz w:val="22"/>
          <w:szCs w:val="21"/>
          <w:highlight w:val="none"/>
          <w:lang w:val="zh-CN"/>
        </w:rPr>
      </w:pPr>
      <w:r>
        <w:rPr>
          <w:rFonts w:hint="eastAsia" w:ascii="新宋体" w:hAnsi="新宋体" w:eastAsia="新宋体" w:cs="新宋体"/>
          <w:color w:val="auto"/>
          <w:sz w:val="22"/>
          <w:szCs w:val="21"/>
          <w:highlight w:val="none"/>
          <w:lang w:val="zh-CN"/>
        </w:rPr>
        <w:t>（3）招标人</w:t>
      </w:r>
      <w:r>
        <w:rPr>
          <w:rFonts w:hint="eastAsia" w:ascii="新宋体" w:hAnsi="新宋体" w:eastAsia="新宋体" w:cs="新宋体"/>
          <w:color w:val="auto"/>
          <w:sz w:val="22"/>
          <w:szCs w:val="21"/>
          <w:highlight w:val="none"/>
          <w:lang w:val="en-US" w:eastAsia="zh-CN"/>
        </w:rPr>
        <w:t>或招标代理机构</w:t>
      </w:r>
      <w:r>
        <w:rPr>
          <w:rFonts w:hint="eastAsia" w:ascii="新宋体" w:hAnsi="新宋体" w:eastAsia="新宋体" w:cs="新宋体"/>
          <w:color w:val="auto"/>
          <w:sz w:val="22"/>
          <w:szCs w:val="21"/>
          <w:highlight w:val="none"/>
          <w:lang w:val="zh-CN"/>
        </w:rPr>
        <w:t>介绍项目基本情况、招标情况，定标委员会成员</w:t>
      </w:r>
      <w:r>
        <w:rPr>
          <w:rFonts w:hint="eastAsia" w:ascii="新宋体" w:hAnsi="新宋体" w:eastAsia="新宋体" w:cs="新宋体"/>
          <w:color w:val="auto"/>
          <w:sz w:val="22"/>
          <w:szCs w:val="21"/>
          <w:highlight w:val="none"/>
          <w:lang w:val="en-US" w:eastAsia="zh-CN"/>
        </w:rPr>
        <w:t>可</w:t>
      </w:r>
      <w:r>
        <w:rPr>
          <w:rFonts w:hint="eastAsia" w:ascii="新宋体" w:hAnsi="新宋体" w:eastAsia="新宋体" w:cs="新宋体"/>
          <w:color w:val="auto"/>
          <w:sz w:val="22"/>
          <w:szCs w:val="21"/>
          <w:highlight w:val="none"/>
          <w:lang w:val="zh-CN"/>
        </w:rPr>
        <w:t>提出疑问，相关人员解答；</w:t>
      </w:r>
    </w:p>
    <w:p w14:paraId="4122626B">
      <w:pPr>
        <w:spacing w:line="360" w:lineRule="auto"/>
        <w:ind w:firstLine="420"/>
        <w:rPr>
          <w:rFonts w:hint="eastAsia" w:ascii="新宋体" w:hAnsi="新宋体" w:eastAsia="新宋体" w:cs="新宋体"/>
          <w:color w:val="auto"/>
          <w:sz w:val="22"/>
          <w:szCs w:val="21"/>
          <w:highlight w:val="none"/>
          <w:lang w:val="zh-CN"/>
        </w:rPr>
      </w:pPr>
      <w:r>
        <w:rPr>
          <w:rFonts w:hint="eastAsia" w:ascii="新宋体" w:hAnsi="新宋体" w:eastAsia="新宋体" w:cs="新宋体"/>
          <w:color w:val="auto"/>
          <w:sz w:val="22"/>
          <w:szCs w:val="21"/>
          <w:highlight w:val="none"/>
          <w:lang w:val="zh-CN"/>
        </w:rPr>
        <w:t>（4）评标</w:t>
      </w:r>
      <w:r>
        <w:rPr>
          <w:rFonts w:hint="eastAsia" w:ascii="新宋体" w:hAnsi="新宋体" w:eastAsia="新宋体" w:cs="新宋体"/>
          <w:color w:val="auto"/>
          <w:sz w:val="22"/>
          <w:szCs w:val="21"/>
          <w:highlight w:val="none"/>
          <w:lang w:val="en-US" w:eastAsia="zh-CN"/>
        </w:rPr>
        <w:t>委员会</w:t>
      </w:r>
      <w:r>
        <w:rPr>
          <w:rFonts w:hint="eastAsia" w:ascii="新宋体" w:hAnsi="新宋体" w:eastAsia="新宋体" w:cs="新宋体"/>
          <w:color w:val="auto"/>
          <w:sz w:val="22"/>
          <w:szCs w:val="21"/>
          <w:highlight w:val="none"/>
          <w:lang w:val="zh-CN"/>
        </w:rPr>
        <w:t>代表介绍评标情况、专家评审意见及提醒注意事项等；</w:t>
      </w:r>
    </w:p>
    <w:p w14:paraId="177AEFE6">
      <w:pPr>
        <w:spacing w:line="360" w:lineRule="auto"/>
        <w:ind w:firstLine="420"/>
        <w:rPr>
          <w:rFonts w:hint="eastAsia" w:ascii="新宋体" w:hAnsi="新宋体" w:eastAsia="新宋体" w:cs="新宋体"/>
          <w:color w:val="auto"/>
          <w:sz w:val="22"/>
          <w:szCs w:val="21"/>
          <w:highlight w:val="none"/>
          <w:lang w:val="zh-CN"/>
        </w:rPr>
      </w:pPr>
      <w:r>
        <w:rPr>
          <w:rFonts w:hint="eastAsia" w:ascii="新宋体" w:hAnsi="新宋体" w:eastAsia="新宋体" w:cs="新宋体"/>
          <w:color w:val="auto"/>
          <w:sz w:val="22"/>
          <w:szCs w:val="21"/>
          <w:highlight w:val="none"/>
          <w:lang w:val="zh-CN"/>
        </w:rPr>
        <w:t>（5）招标人代表将项目征询回复函及针对定标候选人承接过过往项目的履约与配合情况的书面材料，提交至定标委员会；</w:t>
      </w:r>
    </w:p>
    <w:p w14:paraId="04917DE2">
      <w:pPr>
        <w:spacing w:line="360" w:lineRule="auto"/>
        <w:ind w:firstLine="420"/>
        <w:rPr>
          <w:rFonts w:hint="eastAsia" w:ascii="新宋体" w:hAnsi="新宋体" w:eastAsia="新宋体" w:cs="新宋体"/>
          <w:color w:val="auto"/>
          <w:sz w:val="22"/>
          <w:szCs w:val="21"/>
          <w:highlight w:val="none"/>
          <w:lang w:val="zh-CN"/>
        </w:rPr>
      </w:pPr>
      <w:r>
        <w:rPr>
          <w:rFonts w:hint="eastAsia" w:ascii="新宋体" w:hAnsi="新宋体" w:eastAsia="新宋体" w:cs="新宋体"/>
          <w:color w:val="auto"/>
          <w:sz w:val="22"/>
          <w:szCs w:val="21"/>
          <w:highlight w:val="none"/>
          <w:lang w:val="zh-CN"/>
        </w:rPr>
        <w:t>（6）非定标</w:t>
      </w:r>
      <w:r>
        <w:rPr>
          <w:rFonts w:hint="eastAsia" w:ascii="新宋体" w:hAnsi="新宋体" w:eastAsia="新宋体" w:cs="新宋体"/>
          <w:color w:val="auto"/>
          <w:sz w:val="22"/>
          <w:szCs w:val="21"/>
          <w:highlight w:val="none"/>
          <w:lang w:val="en-US" w:eastAsia="zh-CN"/>
        </w:rPr>
        <w:t>委员会</w:t>
      </w:r>
      <w:r>
        <w:rPr>
          <w:rFonts w:hint="eastAsia" w:ascii="新宋体" w:hAnsi="新宋体" w:eastAsia="新宋体" w:cs="新宋体"/>
          <w:color w:val="auto"/>
          <w:sz w:val="22"/>
          <w:szCs w:val="21"/>
          <w:highlight w:val="none"/>
          <w:lang w:val="zh-CN"/>
        </w:rPr>
        <w:t>人员离场(不含监督小组等工作人员)；</w:t>
      </w:r>
    </w:p>
    <w:p w14:paraId="13DF9C75">
      <w:pPr>
        <w:spacing w:line="360" w:lineRule="auto"/>
        <w:ind w:firstLine="420"/>
        <w:rPr>
          <w:rFonts w:hint="default" w:ascii="新宋体" w:hAnsi="新宋体" w:eastAsia="新宋体" w:cs="新宋体"/>
          <w:color w:val="auto"/>
          <w:sz w:val="22"/>
          <w:szCs w:val="21"/>
          <w:highlight w:val="none"/>
          <w:lang w:val="en-US" w:eastAsia="zh-CN"/>
        </w:rPr>
      </w:pPr>
      <w:r>
        <w:rPr>
          <w:rFonts w:hint="eastAsia" w:ascii="新宋体" w:hAnsi="新宋体" w:eastAsia="新宋体" w:cs="新宋体"/>
          <w:color w:val="auto"/>
          <w:sz w:val="22"/>
          <w:szCs w:val="21"/>
          <w:highlight w:val="none"/>
          <w:lang w:val="zh-CN"/>
        </w:rPr>
        <w:t>（7）宣读定标办法，</w:t>
      </w:r>
      <w:r>
        <w:rPr>
          <w:rFonts w:hint="eastAsia" w:ascii="新宋体" w:hAnsi="新宋体" w:eastAsia="新宋体" w:cs="新宋体"/>
          <w:color w:val="auto"/>
          <w:sz w:val="22"/>
          <w:szCs w:val="21"/>
          <w:highlight w:val="none"/>
          <w:lang w:val="en-US" w:eastAsia="zh-CN"/>
        </w:rPr>
        <w:t>定标委员会定标；</w:t>
      </w:r>
    </w:p>
    <w:p w14:paraId="6CBEAA5A">
      <w:pPr>
        <w:spacing w:line="360" w:lineRule="auto"/>
        <w:ind w:firstLine="420"/>
        <w:rPr>
          <w:rFonts w:hint="eastAsia" w:ascii="新宋体" w:hAnsi="新宋体" w:eastAsia="新宋体" w:cs="新宋体"/>
          <w:color w:val="auto"/>
          <w:sz w:val="22"/>
          <w:szCs w:val="21"/>
          <w:highlight w:val="none"/>
          <w:lang w:val="zh-CN"/>
        </w:rPr>
      </w:pPr>
      <w:r>
        <w:rPr>
          <w:rFonts w:hint="eastAsia" w:ascii="新宋体" w:hAnsi="新宋体" w:eastAsia="新宋体" w:cs="新宋体"/>
          <w:color w:val="auto"/>
          <w:sz w:val="22"/>
          <w:szCs w:val="21"/>
          <w:highlight w:val="none"/>
          <w:lang w:val="zh-CN"/>
        </w:rPr>
        <w:t>（8）</w:t>
      </w:r>
      <w:r>
        <w:rPr>
          <w:rFonts w:hint="eastAsia" w:ascii="新宋体" w:hAnsi="新宋体" w:eastAsia="新宋体" w:cs="新宋体"/>
          <w:color w:val="auto"/>
          <w:sz w:val="22"/>
          <w:szCs w:val="21"/>
          <w:highlight w:val="none"/>
          <w:lang w:val="zh-CN" w:eastAsia="zh-CN"/>
        </w:rPr>
        <w:t>计</w:t>
      </w:r>
      <w:r>
        <w:rPr>
          <w:rFonts w:hint="eastAsia" w:ascii="新宋体" w:hAnsi="新宋体" w:eastAsia="新宋体" w:cs="新宋体"/>
          <w:color w:val="auto"/>
          <w:sz w:val="22"/>
          <w:szCs w:val="21"/>
          <w:highlight w:val="none"/>
          <w:lang w:val="zh-CN"/>
        </w:rPr>
        <w:t>票；</w:t>
      </w:r>
    </w:p>
    <w:p w14:paraId="20572A8F">
      <w:pPr>
        <w:spacing w:line="360" w:lineRule="auto"/>
        <w:ind w:firstLine="420"/>
        <w:rPr>
          <w:rFonts w:hint="eastAsia" w:ascii="新宋体" w:hAnsi="新宋体" w:eastAsia="新宋体" w:cs="新宋体"/>
          <w:color w:val="auto"/>
          <w:sz w:val="22"/>
          <w:szCs w:val="21"/>
          <w:highlight w:val="none"/>
          <w:lang w:val="zh-CN" w:eastAsia="zh-CN"/>
        </w:rPr>
      </w:pPr>
      <w:r>
        <w:rPr>
          <w:rFonts w:hint="eastAsia" w:ascii="新宋体" w:hAnsi="新宋体" w:eastAsia="新宋体" w:cs="新宋体"/>
          <w:color w:val="auto"/>
          <w:sz w:val="22"/>
          <w:szCs w:val="21"/>
          <w:highlight w:val="none"/>
          <w:lang w:val="zh-CN"/>
        </w:rPr>
        <w:t>（9）</w:t>
      </w:r>
      <w:r>
        <w:rPr>
          <w:rFonts w:hint="eastAsia" w:ascii="新宋体" w:hAnsi="新宋体" w:eastAsia="新宋体" w:cs="新宋体"/>
          <w:color w:val="auto"/>
          <w:sz w:val="22"/>
          <w:szCs w:val="21"/>
          <w:highlight w:val="none"/>
          <w:lang w:val="zh-CN" w:eastAsia="zh-CN"/>
        </w:rPr>
        <w:t>监督委员会讨论监督情况、签署《监督情况报告》，并向定标委员会组长提交；</w:t>
      </w:r>
    </w:p>
    <w:p w14:paraId="7E3958B8">
      <w:pPr>
        <w:spacing w:line="360" w:lineRule="auto"/>
        <w:ind w:firstLine="420"/>
        <w:rPr>
          <w:rFonts w:hint="eastAsia" w:ascii="新宋体" w:hAnsi="新宋体" w:eastAsia="新宋体" w:cs="新宋体"/>
          <w:color w:val="auto"/>
          <w:sz w:val="22"/>
          <w:szCs w:val="21"/>
          <w:highlight w:val="none"/>
          <w:lang w:val="zh-CN" w:eastAsia="zh-CN"/>
        </w:rPr>
      </w:pPr>
      <w:r>
        <w:rPr>
          <w:rFonts w:hint="eastAsia" w:ascii="新宋体" w:hAnsi="新宋体" w:eastAsia="新宋体" w:cs="新宋体"/>
          <w:color w:val="auto"/>
          <w:sz w:val="22"/>
          <w:szCs w:val="21"/>
          <w:highlight w:val="none"/>
          <w:lang w:val="zh-CN" w:eastAsia="zh-CN"/>
        </w:rPr>
        <w:t>（</w:t>
      </w:r>
      <w:r>
        <w:rPr>
          <w:rFonts w:hint="eastAsia" w:ascii="新宋体" w:hAnsi="新宋体" w:eastAsia="新宋体" w:cs="新宋体"/>
          <w:color w:val="auto"/>
          <w:sz w:val="22"/>
          <w:szCs w:val="21"/>
          <w:highlight w:val="none"/>
          <w:lang w:val="en-US" w:eastAsia="zh-CN"/>
        </w:rPr>
        <w:t>10</w:t>
      </w:r>
      <w:r>
        <w:rPr>
          <w:rFonts w:hint="eastAsia" w:ascii="新宋体" w:hAnsi="新宋体" w:eastAsia="新宋体" w:cs="新宋体"/>
          <w:color w:val="auto"/>
          <w:sz w:val="22"/>
          <w:szCs w:val="21"/>
          <w:highlight w:val="none"/>
          <w:lang w:val="zh-CN" w:eastAsia="zh-CN"/>
        </w:rPr>
        <w:t>）宣布定标结果；定标委员会出具并签署定标报告。</w:t>
      </w:r>
    </w:p>
    <w:p w14:paraId="67AC559E">
      <w:pPr>
        <w:pStyle w:val="2"/>
        <w:spacing w:line="480" w:lineRule="exact"/>
        <w:rPr>
          <w:rFonts w:ascii="Times New Roman" w:hAnsi="Times New Roman"/>
          <w:color w:val="auto"/>
          <w:sz w:val="28"/>
          <w:szCs w:val="18"/>
        </w:rPr>
      </w:pPr>
      <w:bookmarkStart w:id="206" w:name="_Toc12512"/>
      <w:r>
        <w:rPr>
          <w:rFonts w:ascii="Times New Roman" w:hAnsi="Times New Roman"/>
          <w:color w:val="auto"/>
          <w:sz w:val="28"/>
          <w:szCs w:val="18"/>
        </w:rPr>
        <w:t>3.定标因素</w:t>
      </w:r>
      <w:bookmarkEnd w:id="206"/>
      <w:r>
        <w:rPr>
          <w:rFonts w:ascii="Times New Roman" w:hAnsi="Times New Roman"/>
          <w:color w:val="auto"/>
          <w:sz w:val="28"/>
          <w:szCs w:val="18"/>
        </w:rPr>
        <w:t xml:space="preserve"> </w:t>
      </w:r>
    </w:p>
    <w:p w14:paraId="6DC441FF">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包括但不限于以下因素：</w:t>
      </w:r>
    </w:p>
    <w:p w14:paraId="3ABE9363">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（1）企业实力、信誉（包含资质等级、获奖情况、业绩及履约情况、信用评价评级（如有））、投标报价；</w:t>
      </w:r>
    </w:p>
    <w:p w14:paraId="511097C4">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（2）履约可靠度、服务便利度；</w:t>
      </w:r>
    </w:p>
    <w:p w14:paraId="6B5B3FB5">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（3）合同稳定性、质量安全保障性、劳资纠纷可控度；</w:t>
      </w:r>
    </w:p>
    <w:p w14:paraId="03196E08">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（4）承接招标人过往项目的履约及配合情况；</w:t>
      </w:r>
    </w:p>
    <w:p w14:paraId="171332B9">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 xml:space="preserve">（5）拟派项目经理及技术负责人的技术能力与履约水平； </w:t>
      </w:r>
    </w:p>
    <w:p w14:paraId="21E986FA">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 xml:space="preserve">（6）施工组织措施的针对性、可行性。 </w:t>
      </w:r>
    </w:p>
    <w:p w14:paraId="5774BA31">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（7）定标办法前附表规定的其他定标因素。</w:t>
      </w:r>
    </w:p>
    <w:p w14:paraId="755F0027">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定标委员会根据上述因素等对定标候选人进行综合评价，然后由定标委员会以招标文件规定的定标方法确定中标人。</w:t>
      </w:r>
    </w:p>
    <w:p w14:paraId="3EC52E6B">
      <w:pPr>
        <w:pStyle w:val="2"/>
        <w:spacing w:line="480" w:lineRule="exact"/>
        <w:rPr>
          <w:rFonts w:ascii="Times New Roman" w:hAnsi="Times New Roman"/>
          <w:color w:val="auto"/>
          <w:sz w:val="28"/>
          <w:szCs w:val="18"/>
        </w:rPr>
      </w:pPr>
      <w:bookmarkStart w:id="207" w:name="_Toc29333"/>
      <w:r>
        <w:rPr>
          <w:rFonts w:hint="eastAsia" w:ascii="Times New Roman" w:hAnsi="Times New Roman"/>
          <w:color w:val="auto"/>
          <w:sz w:val="28"/>
          <w:szCs w:val="18"/>
        </w:rPr>
        <w:t>4.定标规则</w:t>
      </w:r>
      <w:bookmarkEnd w:id="207"/>
    </w:p>
    <w:p w14:paraId="2CD62E1B">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本招标项目定标规则详见定标办法前附表。</w:t>
      </w:r>
    </w:p>
    <w:p w14:paraId="221E7673">
      <w:pPr>
        <w:pStyle w:val="2"/>
        <w:spacing w:line="480" w:lineRule="exact"/>
        <w:rPr>
          <w:rFonts w:ascii="Times New Roman" w:hAnsi="Times New Roman"/>
          <w:color w:val="auto"/>
          <w:sz w:val="28"/>
          <w:szCs w:val="18"/>
        </w:rPr>
      </w:pPr>
      <w:bookmarkStart w:id="208" w:name="_Toc6554"/>
      <w:r>
        <w:rPr>
          <w:rFonts w:hint="eastAsia" w:ascii="Times New Roman" w:hAnsi="Times New Roman"/>
          <w:color w:val="auto"/>
          <w:sz w:val="28"/>
          <w:szCs w:val="18"/>
        </w:rPr>
        <w:t>5</w:t>
      </w:r>
      <w:r>
        <w:rPr>
          <w:rFonts w:ascii="Times New Roman" w:hAnsi="Times New Roman"/>
          <w:color w:val="auto"/>
          <w:sz w:val="28"/>
          <w:szCs w:val="18"/>
        </w:rPr>
        <w:t>.定标报告</w:t>
      </w:r>
      <w:bookmarkEnd w:id="208"/>
      <w:r>
        <w:rPr>
          <w:rFonts w:ascii="Times New Roman" w:hAnsi="Times New Roman"/>
          <w:color w:val="auto"/>
          <w:sz w:val="28"/>
          <w:szCs w:val="18"/>
        </w:rPr>
        <w:t xml:space="preserve"> </w:t>
      </w:r>
    </w:p>
    <w:p w14:paraId="7441901B">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定标报告由定标委员会全体成员签字。对定标结果有不同意见的定标委员会成员应当在定标报告说明其不同意见和理由。定标委员会成员拒绝在定标报告上签字又不说明其不同意见和理由的，视为同意定标结果。</w:t>
      </w:r>
    </w:p>
    <w:p w14:paraId="43B9E3CA">
      <w:pPr>
        <w:spacing w:line="360" w:lineRule="auto"/>
        <w:ind w:firstLine="420"/>
        <w:rPr>
          <w:color w:val="auto"/>
          <w:lang w:val="zh-CN"/>
        </w:rPr>
      </w:pPr>
      <w:r>
        <w:rPr>
          <w:rFonts w:hint="eastAsia" w:ascii="新宋体" w:hAnsi="新宋体" w:eastAsia="新宋体" w:cs="新宋体"/>
          <w:color w:val="auto"/>
          <w:sz w:val="22"/>
          <w:szCs w:val="21"/>
        </w:rPr>
        <w:t>定标报告应包括以下内容：</w:t>
      </w:r>
      <w:r>
        <w:rPr>
          <w:rFonts w:hint="eastAsia"/>
          <w:color w:val="auto"/>
          <w:lang w:val="zh-CN"/>
        </w:rPr>
        <w:t xml:space="preserve"> </w:t>
      </w:r>
    </w:p>
    <w:p w14:paraId="7FE111D7">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 xml:space="preserve">一、定标前期准备工作（如涉及） </w:t>
      </w:r>
    </w:p>
    <w:p w14:paraId="6C521F72">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 xml:space="preserve">二、定标委员会组建情况 </w:t>
      </w:r>
    </w:p>
    <w:p w14:paraId="2B339BB5">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 xml:space="preserve">三、定标情况 </w:t>
      </w:r>
    </w:p>
    <w:p w14:paraId="717BD9F8">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 xml:space="preserve">四、定标结果 </w:t>
      </w:r>
    </w:p>
    <w:p w14:paraId="5E248696">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 xml:space="preserve">五、澄清事项纪要（如涉及） </w:t>
      </w:r>
    </w:p>
    <w:p w14:paraId="5122B7BF">
      <w:pPr>
        <w:spacing w:line="360" w:lineRule="auto"/>
        <w:ind w:firstLine="420"/>
        <w:rPr>
          <w:rFonts w:ascii="新宋体" w:hAnsi="新宋体" w:eastAsia="新宋体" w:cs="新宋体"/>
          <w:color w:val="auto"/>
          <w:sz w:val="22"/>
          <w:szCs w:val="21"/>
        </w:rPr>
      </w:pPr>
      <w:r>
        <w:rPr>
          <w:rFonts w:hint="eastAsia" w:ascii="新宋体" w:hAnsi="新宋体" w:eastAsia="新宋体" w:cs="新宋体"/>
          <w:color w:val="auto"/>
          <w:sz w:val="22"/>
          <w:szCs w:val="21"/>
        </w:rPr>
        <w:t xml:space="preserve">六、定标过程中澄清、说明、补正事项纪要（如涉及） </w:t>
      </w:r>
    </w:p>
    <w:p w14:paraId="4E3CC020">
      <w:pPr>
        <w:ind w:firstLine="440" w:firstLineChars="200"/>
        <w:rPr>
          <w:color w:val="auto"/>
        </w:rPr>
      </w:pPr>
      <w:r>
        <w:rPr>
          <w:rFonts w:hint="eastAsia" w:ascii="新宋体" w:hAnsi="新宋体" w:eastAsia="新宋体" w:cs="新宋体"/>
          <w:color w:val="auto"/>
          <w:sz w:val="22"/>
          <w:szCs w:val="21"/>
        </w:rPr>
        <w:t>七、定标监督情况（如涉及）</w:t>
      </w:r>
    </w:p>
    <w:p w14:paraId="52183BB5">
      <w:pPr>
        <w:pStyle w:val="87"/>
        <w:rPr>
          <w:color w:val="auto"/>
        </w:rPr>
      </w:pPr>
    </w:p>
    <w:p w14:paraId="2E0A71D5">
      <w:pPr>
        <w:rPr>
          <w:color w:val="auto"/>
        </w:rPr>
      </w:pPr>
      <w:r>
        <w:rPr>
          <w:color w:val="auto"/>
        </w:rPr>
        <w:br w:type="page"/>
      </w:r>
    </w:p>
    <w:p w14:paraId="62315DA2">
      <w:pPr>
        <w:pStyle w:val="86"/>
        <w:ind w:firstLine="210"/>
        <w:rPr>
          <w:color w:val="auto"/>
        </w:rPr>
      </w:pPr>
    </w:p>
    <w:p w14:paraId="420F570C">
      <w:pPr>
        <w:rPr>
          <w:color w:val="auto"/>
        </w:rPr>
      </w:pPr>
    </w:p>
    <w:bookmarkEnd w:id="184"/>
    <w:p w14:paraId="48FEBB82">
      <w:pPr>
        <w:numPr>
          <w:ilvl w:val="0"/>
          <w:numId w:val="1"/>
        </w:numPr>
        <w:jc w:val="center"/>
        <w:outlineLvl w:val="0"/>
        <w:rPr>
          <w:b/>
          <w:bCs/>
          <w:color w:val="auto"/>
          <w:sz w:val="36"/>
          <w:szCs w:val="36"/>
        </w:rPr>
      </w:pPr>
      <w:bookmarkStart w:id="209" w:name="_Toc21191"/>
      <w:bookmarkStart w:id="210" w:name="_Toc7821"/>
      <w:bookmarkStart w:id="211" w:name="_Toc179632787"/>
      <w:bookmarkStart w:id="212" w:name="_Toc246997081"/>
      <w:bookmarkStart w:id="213" w:name="_Toc246996338"/>
      <w:bookmarkStart w:id="214" w:name="_Toc247085853"/>
      <w:bookmarkStart w:id="215" w:name="_Toc152042388"/>
      <w:bookmarkStart w:id="216" w:name="_Toc152045610"/>
      <w:bookmarkStart w:id="217" w:name="_Toc144974829"/>
      <w:bookmarkStart w:id="218" w:name="_Toc144974578"/>
      <w:bookmarkStart w:id="219" w:name="_Toc300835199"/>
      <w:bookmarkStart w:id="220" w:name="_Toc184635122"/>
      <w:bookmarkStart w:id="221" w:name="_Toc247514197"/>
      <w:bookmarkStart w:id="222" w:name="_Toc152042549"/>
      <w:bookmarkStart w:id="223" w:name="_Toc247527798"/>
      <w:r>
        <w:rPr>
          <w:rFonts w:hint="eastAsia"/>
          <w:b/>
          <w:bCs/>
          <w:color w:val="auto"/>
          <w:sz w:val="36"/>
          <w:szCs w:val="36"/>
        </w:rPr>
        <w:t>合同条款及格式（仅供参考）</w:t>
      </w:r>
      <w:bookmarkEnd w:id="209"/>
      <w:bookmarkEnd w:id="210"/>
    </w:p>
    <w:p w14:paraId="5660E7CF">
      <w:pPr>
        <w:rPr>
          <w:color w:val="auto"/>
        </w:rPr>
      </w:pPr>
    </w:p>
    <w:p w14:paraId="7B91968F">
      <w:pPr>
        <w:rPr>
          <w:color w:val="auto"/>
        </w:rPr>
      </w:pPr>
    </w:p>
    <w:p w14:paraId="5C5F156B">
      <w:pPr>
        <w:spacing w:line="340" w:lineRule="exact"/>
        <w:jc w:val="center"/>
        <w:rPr>
          <w:rFonts w:ascii="宋体" w:hAnsi="宋体"/>
          <w:bCs/>
          <w:color w:val="auto"/>
          <w:sz w:val="28"/>
          <w:szCs w:val="32"/>
        </w:rPr>
      </w:pPr>
      <w:r>
        <w:rPr>
          <w:rFonts w:ascii="宋体" w:hAnsi="宋体"/>
          <w:bCs/>
          <w:color w:val="auto"/>
          <w:sz w:val="28"/>
          <w:szCs w:val="32"/>
        </w:rPr>
        <w:t>（GF—201</w:t>
      </w:r>
      <w:r>
        <w:rPr>
          <w:rFonts w:hint="eastAsia" w:ascii="宋体" w:hAnsi="宋体"/>
          <w:bCs/>
          <w:color w:val="auto"/>
          <w:sz w:val="28"/>
          <w:szCs w:val="32"/>
        </w:rPr>
        <w:t>7</w:t>
      </w:r>
      <w:r>
        <w:rPr>
          <w:rFonts w:ascii="宋体" w:hAnsi="宋体"/>
          <w:bCs/>
          <w:color w:val="auto"/>
          <w:sz w:val="28"/>
          <w:szCs w:val="32"/>
        </w:rPr>
        <w:t>—</w:t>
      </w:r>
      <w:r>
        <w:rPr>
          <w:rFonts w:hint="eastAsia" w:ascii="宋体" w:hAnsi="宋体"/>
          <w:bCs/>
          <w:color w:val="auto"/>
          <w:sz w:val="28"/>
          <w:szCs w:val="32"/>
        </w:rPr>
        <w:t>0201）</w:t>
      </w:r>
    </w:p>
    <w:p w14:paraId="32BF96EA">
      <w:pPr>
        <w:spacing w:before="100" w:beforeAutospacing="1" w:after="100" w:afterAutospacing="1" w:line="340" w:lineRule="exact"/>
        <w:jc w:val="center"/>
        <w:rPr>
          <w:rFonts w:ascii="宋体" w:hAnsi="宋体" w:cs="宋体"/>
          <w:b/>
          <w:bCs/>
          <w:color w:val="auto"/>
          <w:kern w:val="0"/>
          <w:sz w:val="24"/>
          <w:szCs w:val="28"/>
          <w:u w:val="single"/>
        </w:rPr>
      </w:pPr>
      <w:r>
        <w:rPr>
          <w:rFonts w:hint="eastAsia" w:ascii="宋体" w:hAnsi="宋体" w:cs="宋体"/>
          <w:b/>
          <w:bCs/>
          <w:color w:val="auto"/>
          <w:kern w:val="0"/>
          <w:sz w:val="28"/>
          <w:szCs w:val="28"/>
        </w:rPr>
        <w:t>合同编号：____________</w:t>
      </w:r>
    </w:p>
    <w:p w14:paraId="784B1ECB">
      <w:pPr>
        <w:jc w:val="center"/>
        <w:rPr>
          <w:rFonts w:ascii="宋体" w:hAnsi="宋体"/>
          <w:b/>
          <w:color w:val="auto"/>
          <w:sz w:val="40"/>
          <w:szCs w:val="52"/>
        </w:rPr>
      </w:pPr>
    </w:p>
    <w:p w14:paraId="31AF9D24">
      <w:pPr>
        <w:jc w:val="center"/>
        <w:rPr>
          <w:rFonts w:ascii="宋体" w:hAnsi="宋体"/>
          <w:b/>
          <w:color w:val="auto"/>
          <w:sz w:val="52"/>
          <w:szCs w:val="52"/>
        </w:rPr>
      </w:pPr>
      <w:r>
        <w:rPr>
          <w:rFonts w:ascii="宋体" w:hAnsi="宋体"/>
          <w:b/>
          <w:color w:val="auto"/>
          <w:sz w:val="52"/>
          <w:szCs w:val="52"/>
        </w:rPr>
        <w:t>建设工程施工合同</w:t>
      </w:r>
    </w:p>
    <w:p w14:paraId="7A24C093">
      <w:pPr>
        <w:rPr>
          <w:color w:val="auto"/>
        </w:rPr>
      </w:pPr>
    </w:p>
    <w:p w14:paraId="1AE97092">
      <w:pPr>
        <w:jc w:val="center"/>
        <w:rPr>
          <w:rFonts w:ascii="宋体" w:hAnsi="宋体"/>
          <w:b/>
          <w:color w:val="auto"/>
          <w:sz w:val="40"/>
          <w:szCs w:val="52"/>
        </w:rPr>
      </w:pPr>
    </w:p>
    <w:p w14:paraId="41199007">
      <w:pPr>
        <w:spacing w:before="100" w:beforeAutospacing="1" w:after="100" w:afterAutospacing="1" w:line="300" w:lineRule="exact"/>
        <w:ind w:firstLine="1960" w:firstLineChars="700"/>
        <w:rPr>
          <w:rFonts w:ascii="宋体" w:hAnsi="宋体" w:cs="宋体"/>
          <w:color w:val="auto"/>
          <w:kern w:val="0"/>
          <w:sz w:val="28"/>
          <w:szCs w:val="28"/>
        </w:rPr>
      </w:pPr>
      <w:r>
        <w:rPr>
          <w:rFonts w:hint="eastAsia" w:ascii="宋体" w:hAnsi="宋体" w:cs="宋体"/>
          <w:color w:val="auto"/>
          <w:kern w:val="0"/>
          <w:sz w:val="28"/>
          <w:szCs w:val="28"/>
        </w:rPr>
        <w:t>工程名称：</w:t>
      </w:r>
      <w:r>
        <w:rPr>
          <w:rFonts w:hint="eastAsia" w:ascii="宋体" w:hAnsi="宋体" w:cs="宋体"/>
          <w:color w:val="auto"/>
          <w:kern w:val="0"/>
          <w:sz w:val="28"/>
          <w:szCs w:val="28"/>
          <w:u w:val="single"/>
        </w:rPr>
        <w:t xml:space="preserve"> </w:t>
      </w:r>
      <w:r>
        <w:rPr>
          <w:rFonts w:hint="eastAsia" w:ascii="宋体" w:hAnsi="宋体"/>
          <w:b/>
          <w:color w:val="auto"/>
          <w:sz w:val="28"/>
          <w:szCs w:val="28"/>
          <w:u w:val="single"/>
        </w:rPr>
        <w:t xml:space="preserve">                       </w:t>
      </w:r>
      <w:r>
        <w:rPr>
          <w:rFonts w:ascii="宋体" w:hAnsi="宋体"/>
          <w:b/>
          <w:color w:val="auto"/>
          <w:sz w:val="28"/>
          <w:szCs w:val="28"/>
          <w:u w:val="single"/>
        </w:rPr>
        <w:t></w:t>
      </w:r>
      <w:r>
        <w:rPr>
          <w:rFonts w:hint="eastAsia" w:ascii="宋体" w:hAnsi="宋体" w:cs="宋体"/>
          <w:color w:val="auto"/>
          <w:kern w:val="0"/>
          <w:sz w:val="28"/>
          <w:szCs w:val="28"/>
        </w:rPr>
        <w:t xml:space="preserve">   </w:t>
      </w:r>
    </w:p>
    <w:p w14:paraId="5AFEC28A">
      <w:pPr>
        <w:adjustRightInd w:val="0"/>
        <w:snapToGrid w:val="0"/>
        <w:ind w:firstLine="1960" w:firstLineChars="700"/>
        <w:rPr>
          <w:rFonts w:ascii="宋体" w:hAnsi="宋体" w:cs="宋体"/>
          <w:color w:val="auto"/>
          <w:kern w:val="0"/>
          <w:sz w:val="28"/>
          <w:szCs w:val="28"/>
          <w:u w:val="single"/>
        </w:rPr>
      </w:pPr>
      <w:r>
        <w:rPr>
          <w:rFonts w:hint="eastAsia" w:ascii="宋体" w:hAnsi="宋体" w:cs="宋体"/>
          <w:color w:val="auto"/>
          <w:kern w:val="0"/>
          <w:sz w:val="28"/>
          <w:szCs w:val="28"/>
        </w:rPr>
        <w:t>工程地点：</w:t>
      </w:r>
      <w:r>
        <w:rPr>
          <w:rFonts w:hint="eastAsia" w:ascii="宋体" w:hAnsi="宋体"/>
          <w:b/>
          <w:color w:val="auto"/>
          <w:sz w:val="28"/>
          <w:szCs w:val="28"/>
          <w:u w:val="single"/>
        </w:rPr>
        <w:t xml:space="preserve">                       </w:t>
      </w:r>
      <w:r>
        <w:rPr>
          <w:rFonts w:ascii="宋体" w:hAnsi="宋体"/>
          <w:b/>
          <w:color w:val="auto"/>
          <w:sz w:val="28"/>
          <w:szCs w:val="28"/>
          <w:u w:val="single"/>
        </w:rPr>
        <w:t></w:t>
      </w:r>
      <w:r>
        <w:rPr>
          <w:rFonts w:hint="eastAsia" w:ascii="宋体" w:hAnsi="宋体" w:cs="宋体"/>
          <w:color w:val="auto"/>
          <w:kern w:val="0"/>
          <w:sz w:val="28"/>
          <w:szCs w:val="28"/>
          <w:u w:val="single"/>
        </w:rPr>
        <w:t xml:space="preserve"> </w:t>
      </w:r>
    </w:p>
    <w:p w14:paraId="23DE2323">
      <w:pPr>
        <w:wordWrap w:val="0"/>
        <w:spacing w:before="100" w:beforeAutospacing="1" w:after="100" w:afterAutospacing="1" w:line="300" w:lineRule="exact"/>
        <w:ind w:firstLine="1960" w:firstLineChars="700"/>
        <w:rPr>
          <w:rFonts w:ascii="宋体" w:hAnsi="宋体"/>
          <w:color w:val="auto"/>
          <w:sz w:val="28"/>
          <w:szCs w:val="28"/>
          <w:u w:val="single"/>
        </w:rPr>
      </w:pPr>
      <w:r>
        <w:rPr>
          <w:rFonts w:hint="eastAsia" w:ascii="宋体" w:hAnsi="宋体" w:cs="宋体"/>
          <w:color w:val="auto"/>
          <w:kern w:val="0"/>
          <w:sz w:val="28"/>
          <w:szCs w:val="28"/>
        </w:rPr>
        <w:t>发 包 方：</w:t>
      </w:r>
      <w:r>
        <w:rPr>
          <w:rFonts w:hint="eastAsia" w:ascii="宋体" w:hAnsi="宋体"/>
          <w:b/>
          <w:color w:val="auto"/>
          <w:sz w:val="28"/>
          <w:szCs w:val="28"/>
          <w:u w:val="single"/>
        </w:rPr>
        <w:t xml:space="preserve">                       </w:t>
      </w:r>
      <w:r>
        <w:rPr>
          <w:rFonts w:ascii="宋体" w:hAnsi="宋体"/>
          <w:b/>
          <w:color w:val="auto"/>
          <w:sz w:val="28"/>
          <w:szCs w:val="28"/>
          <w:u w:val="single"/>
        </w:rPr>
        <w:t></w:t>
      </w:r>
      <w:r>
        <w:rPr>
          <w:rFonts w:hint="eastAsia" w:ascii="宋体" w:hAnsi="宋体"/>
          <w:color w:val="auto"/>
          <w:sz w:val="28"/>
          <w:szCs w:val="28"/>
          <w:u w:val="single"/>
        </w:rPr>
        <w:t xml:space="preserve"> </w:t>
      </w:r>
    </w:p>
    <w:p w14:paraId="5E27154D">
      <w:pPr>
        <w:wordWrap w:val="0"/>
        <w:spacing w:before="100" w:beforeAutospacing="1" w:after="100" w:afterAutospacing="1" w:line="300" w:lineRule="exact"/>
        <w:ind w:firstLine="1960" w:firstLineChars="700"/>
        <w:rPr>
          <w:rFonts w:ascii="宋体" w:hAnsi="宋体" w:cs="宋体"/>
          <w:color w:val="auto"/>
          <w:kern w:val="0"/>
          <w:sz w:val="28"/>
          <w:szCs w:val="28"/>
        </w:rPr>
      </w:pPr>
      <w:r>
        <w:rPr>
          <w:rFonts w:hint="eastAsia" w:ascii="宋体" w:hAnsi="宋体" w:cs="宋体"/>
          <w:color w:val="auto"/>
          <w:kern w:val="0"/>
          <w:sz w:val="28"/>
          <w:szCs w:val="28"/>
        </w:rPr>
        <w:t>承 包 方：</w:t>
      </w:r>
      <w:r>
        <w:rPr>
          <w:rFonts w:hint="eastAsia" w:ascii="宋体" w:hAnsi="宋体"/>
          <w:b/>
          <w:color w:val="auto"/>
          <w:sz w:val="28"/>
          <w:szCs w:val="28"/>
          <w:u w:val="single"/>
        </w:rPr>
        <w:t xml:space="preserve">                       </w:t>
      </w:r>
      <w:r>
        <w:rPr>
          <w:rFonts w:ascii="宋体" w:hAnsi="宋体"/>
          <w:b/>
          <w:color w:val="auto"/>
          <w:sz w:val="28"/>
          <w:szCs w:val="28"/>
          <w:u w:val="single"/>
        </w:rPr>
        <w:t></w:t>
      </w:r>
    </w:p>
    <w:p w14:paraId="24327090">
      <w:pPr>
        <w:wordWrap w:val="0"/>
        <w:spacing w:before="100" w:beforeAutospacing="1" w:after="100" w:afterAutospacing="1" w:line="300" w:lineRule="exact"/>
        <w:ind w:firstLine="1400" w:firstLineChars="500"/>
        <w:rPr>
          <w:rFonts w:ascii="宋体" w:hAnsi="宋体" w:cs="宋体"/>
          <w:color w:val="auto"/>
          <w:kern w:val="0"/>
          <w:sz w:val="28"/>
          <w:szCs w:val="28"/>
          <w:u w:val="single"/>
        </w:rPr>
      </w:pPr>
      <w:r>
        <w:rPr>
          <w:rFonts w:hint="eastAsia" w:ascii="宋体" w:hAnsi="宋体" w:cs="宋体"/>
          <w:color w:val="auto"/>
          <w:kern w:val="0"/>
          <w:sz w:val="28"/>
          <w:szCs w:val="28"/>
        </w:rPr>
        <w:t xml:space="preserve">    签订日期：</w:t>
      </w:r>
      <w:r>
        <w:rPr>
          <w:rFonts w:hint="eastAsia" w:ascii="宋体" w:hAnsi="宋体" w:cs="宋体"/>
          <w:color w:val="auto"/>
          <w:kern w:val="0"/>
          <w:sz w:val="28"/>
          <w:szCs w:val="28"/>
          <w:u w:val="single"/>
        </w:rPr>
        <w:t xml:space="preserve">  </w:t>
      </w:r>
      <w:r>
        <w:rPr>
          <w:rFonts w:hint="eastAsia" w:ascii="宋体" w:hAnsi="宋体"/>
          <w:b/>
          <w:color w:val="auto"/>
          <w:sz w:val="28"/>
          <w:szCs w:val="28"/>
          <w:u w:val="single"/>
        </w:rPr>
        <w:t xml:space="preserve">                       </w:t>
      </w:r>
    </w:p>
    <w:p w14:paraId="6047F240">
      <w:pPr>
        <w:wordWrap w:val="0"/>
        <w:spacing w:before="100" w:beforeAutospacing="1" w:after="100" w:afterAutospacing="1"/>
        <w:rPr>
          <w:rFonts w:ascii="宋体" w:hAnsi="宋体"/>
          <w:color w:val="auto"/>
          <w:sz w:val="24"/>
        </w:rPr>
      </w:pPr>
      <w:r>
        <w:rPr>
          <w:rFonts w:hint="eastAsia" w:ascii="宋体" w:hAnsi="宋体" w:cs="宋体"/>
          <w:color w:val="auto"/>
          <w:kern w:val="0"/>
          <w:sz w:val="24"/>
        </w:rPr>
        <w:t xml:space="preserve">                       </w:t>
      </w:r>
      <w:r>
        <w:rPr>
          <w:rFonts w:hint="eastAsia" w:ascii="宋体" w:hAnsi="宋体"/>
          <w:color w:val="auto"/>
          <w:sz w:val="24"/>
        </w:rPr>
        <w:t xml:space="preserve"> </w:t>
      </w:r>
    </w:p>
    <w:p w14:paraId="68542B37">
      <w:pPr>
        <w:pStyle w:val="43"/>
        <w:ind w:left="1260"/>
        <w:rPr>
          <w:rFonts w:ascii="宋体" w:hAnsi="宋体"/>
          <w:color w:val="auto"/>
          <w:sz w:val="24"/>
        </w:rPr>
      </w:pPr>
    </w:p>
    <w:p w14:paraId="44E423C4">
      <w:pPr>
        <w:rPr>
          <w:rFonts w:ascii="宋体" w:hAnsi="宋体"/>
          <w:color w:val="auto"/>
          <w:sz w:val="24"/>
        </w:rPr>
      </w:pPr>
    </w:p>
    <w:p w14:paraId="32BAF822">
      <w:pPr>
        <w:pStyle w:val="43"/>
        <w:ind w:left="1260"/>
        <w:rPr>
          <w:color w:val="auto"/>
        </w:rPr>
      </w:pPr>
    </w:p>
    <w:p w14:paraId="4A825572">
      <w:pPr>
        <w:wordWrap w:val="0"/>
        <w:spacing w:line="360" w:lineRule="auto"/>
        <w:ind w:right="2719" w:rightChars="1295"/>
        <w:jc w:val="center"/>
        <w:rPr>
          <w:rFonts w:ascii="宋体" w:hAnsi="宋体"/>
          <w:b/>
          <w:color w:val="auto"/>
          <w:sz w:val="24"/>
        </w:rPr>
      </w:pPr>
      <w:r>
        <w:rPr>
          <w:rFonts w:ascii="宋体" w:hAnsi="宋体"/>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3805555</wp:posOffset>
                </wp:positionH>
                <wp:positionV relativeFrom="paragraph">
                  <wp:posOffset>137795</wp:posOffset>
                </wp:positionV>
                <wp:extent cx="723900" cy="4572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a:effectLst/>
                      </wps:spPr>
                      <wps:txbx>
                        <w:txbxContent>
                          <w:p w14:paraId="7BD31009">
                            <w:pPr>
                              <w:rPr>
                                <w:b/>
                                <w:bCs/>
                                <w:sz w:val="24"/>
                              </w:rPr>
                            </w:pPr>
                            <w:r>
                              <w:rPr>
                                <w:rFonts w:hint="eastAsia"/>
                                <w:b/>
                                <w:bCs/>
                                <w:sz w:val="24"/>
                              </w:rPr>
                              <w:t>制定</w:t>
                            </w:r>
                          </w:p>
                        </w:txbxContent>
                      </wps:txbx>
                      <wps:bodyPr upright="1"/>
                    </wps:wsp>
                  </a:graphicData>
                </a:graphic>
              </wp:anchor>
            </w:drawing>
          </mc:Choice>
          <mc:Fallback>
            <w:pict>
              <v:shape id="_x0000_s1026" o:spid="_x0000_s1026" o:spt="202" type="#_x0000_t202" style="position:absolute;left:0pt;margin-left:299.65pt;margin-top:10.85pt;height:36pt;width:57pt;z-index:251659264;mso-width-relative:page;mso-height-relative:page;" filled="f" stroked="t" coordsize="21600,21600" o:gfxdata="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HIa4tkAAAAJAQAADwAAAAAAAAABACAAAAAi&#10;AAAAZHJzL2Rvd25yZXYueG1sUEsBAhQAFAAAAAgAh07iQNzvTFgJAgAAGgQAAA4AAAAAAAAAAQAg&#10;AAAAKAEAAGRycy9lMm9Eb2MueG1sUEsFBgAAAAAGAAYAWQEAAKMFAAAAAA==&#10;">
                <v:fill on="f" focussize="0,0"/>
                <v:stroke color="#FFFFFF" joinstyle="miter"/>
                <v:imagedata o:title=""/>
                <o:lock v:ext="edit" aspectratio="f"/>
                <v:textbox>
                  <w:txbxContent>
                    <w:p w14:paraId="7BD31009">
                      <w:pPr>
                        <w:rPr>
                          <w:b/>
                          <w:bCs/>
                          <w:sz w:val="24"/>
                        </w:rPr>
                      </w:pPr>
                      <w:r>
                        <w:rPr>
                          <w:rFonts w:hint="eastAsia"/>
                          <w:b/>
                          <w:bCs/>
                          <w:sz w:val="24"/>
                        </w:rPr>
                        <w:t>制定</w:t>
                      </w:r>
                    </w:p>
                  </w:txbxContent>
                </v:textbox>
              </v:shape>
            </w:pict>
          </mc:Fallback>
        </mc:AlternateContent>
      </w:r>
      <w:r>
        <w:rPr>
          <w:rFonts w:hint="eastAsia" w:ascii="宋体" w:hAnsi="宋体"/>
          <w:b/>
          <w:color w:val="auto"/>
          <w:sz w:val="28"/>
          <w:szCs w:val="28"/>
        </w:rPr>
        <w:t xml:space="preserve">                </w:t>
      </w:r>
      <w:r>
        <w:rPr>
          <w:rFonts w:ascii="宋体" w:hAnsi="宋体"/>
          <w:b/>
          <w:color w:val="auto"/>
          <w:sz w:val="24"/>
        </w:rPr>
        <w:t>住房城乡建设部</w:t>
      </w:r>
    </w:p>
    <w:p w14:paraId="550CB9C7">
      <w:pPr>
        <w:jc w:val="center"/>
        <w:rPr>
          <w:rFonts w:ascii="宋体" w:hAnsi="宋体" w:cs="宋体"/>
          <w:color w:val="auto"/>
          <w:sz w:val="32"/>
          <w:szCs w:val="32"/>
        </w:rPr>
      </w:pPr>
      <w:r>
        <w:rPr>
          <w:rFonts w:ascii="宋体" w:hAnsi="宋体"/>
          <w:b/>
          <w:color w:val="auto"/>
          <w:sz w:val="24"/>
        </w:rPr>
        <w:t>国家工商行政管理总局</w:t>
      </w:r>
      <w:r>
        <w:rPr>
          <w:rFonts w:hint="eastAsia" w:ascii="宋体" w:hAnsi="宋体" w:cs="宋体"/>
          <w:color w:val="auto"/>
        </w:rPr>
        <w:br w:type="page"/>
      </w:r>
    </w:p>
    <w:p w14:paraId="77A35335">
      <w:pPr>
        <w:spacing w:line="312" w:lineRule="auto"/>
        <w:jc w:val="center"/>
        <w:rPr>
          <w:rFonts w:ascii="宋体" w:hAnsi="宋体" w:cs="宋体"/>
          <w:b/>
          <w:bCs/>
          <w:color w:val="auto"/>
          <w:sz w:val="24"/>
          <w:szCs w:val="24"/>
        </w:rPr>
      </w:pPr>
      <w:bookmarkStart w:id="224" w:name="_Toc3038"/>
      <w:r>
        <w:rPr>
          <w:rFonts w:hint="eastAsia" w:ascii="宋体" w:hAnsi="宋体" w:cs="宋体"/>
          <w:b/>
          <w:bCs/>
          <w:color w:val="auto"/>
          <w:sz w:val="24"/>
          <w:szCs w:val="24"/>
        </w:rPr>
        <w:t>第一部分   合同协议书</w:t>
      </w:r>
    </w:p>
    <w:p w14:paraId="34A09542">
      <w:pPr>
        <w:spacing w:line="312" w:lineRule="auto"/>
        <w:rPr>
          <w:rFonts w:ascii="宋体" w:hAnsi="宋体" w:cs="宋体"/>
          <w:bCs/>
          <w:color w:val="auto"/>
          <w:szCs w:val="21"/>
          <w:u w:val="single"/>
        </w:rPr>
      </w:pPr>
      <w:r>
        <w:rPr>
          <w:rFonts w:hint="eastAsia" w:ascii="宋体" w:hAnsi="宋体" w:cs="宋体"/>
          <w:bCs/>
          <w:color w:val="auto"/>
          <w:sz w:val="24"/>
          <w:szCs w:val="24"/>
        </w:rPr>
        <w:t xml:space="preserve">   </w:t>
      </w:r>
      <w:r>
        <w:rPr>
          <w:rFonts w:hint="eastAsia" w:ascii="宋体" w:hAnsi="宋体" w:cs="宋体"/>
          <w:bCs/>
          <w:color w:val="auto"/>
          <w:szCs w:val="21"/>
        </w:rPr>
        <w:t xml:space="preserve"> 发包人（全称）：</w:t>
      </w:r>
      <w:r>
        <w:rPr>
          <w:rFonts w:hint="eastAsia" w:ascii="宋体" w:hAnsi="宋体" w:cs="宋体"/>
          <w:bCs/>
          <w:color w:val="auto"/>
          <w:szCs w:val="21"/>
          <w:u w:val="single"/>
        </w:rPr>
        <w:t xml:space="preserve">                                       </w:t>
      </w:r>
    </w:p>
    <w:p w14:paraId="1EAF3BD9">
      <w:pPr>
        <w:spacing w:line="312" w:lineRule="auto"/>
        <w:rPr>
          <w:rFonts w:ascii="宋体" w:hAnsi="宋体" w:cs="宋体"/>
          <w:bCs/>
          <w:color w:val="auto"/>
          <w:szCs w:val="21"/>
          <w:u w:val="single"/>
        </w:rPr>
      </w:pPr>
      <w:r>
        <w:rPr>
          <w:rFonts w:hint="eastAsia" w:ascii="宋体" w:hAnsi="宋体" w:cs="宋体"/>
          <w:bCs/>
          <w:color w:val="auto"/>
          <w:szCs w:val="21"/>
        </w:rPr>
        <w:t xml:space="preserve">    承包人（全称）：</w:t>
      </w:r>
      <w:r>
        <w:rPr>
          <w:rFonts w:hint="eastAsia" w:ascii="宋体" w:hAnsi="宋体" w:cs="宋体"/>
          <w:bCs/>
          <w:color w:val="auto"/>
          <w:szCs w:val="21"/>
          <w:u w:val="single"/>
        </w:rPr>
        <w:t xml:space="preserve">                                       </w:t>
      </w:r>
    </w:p>
    <w:p w14:paraId="7C6D06D7">
      <w:pPr>
        <w:spacing w:line="312" w:lineRule="auto"/>
        <w:ind w:firstLine="420" w:firstLineChars="200"/>
        <w:rPr>
          <w:rFonts w:ascii="宋体" w:hAnsi="宋体" w:cs="宋体"/>
          <w:color w:val="auto"/>
          <w:szCs w:val="21"/>
        </w:rPr>
      </w:pPr>
      <w:r>
        <w:rPr>
          <w:rFonts w:hint="eastAsia" w:ascii="宋体" w:hAnsi="宋体" w:cs="宋体"/>
          <w:color w:val="auto"/>
          <w:szCs w:val="21"/>
        </w:rPr>
        <w:t>根据《中华人民共和国民法典》、《中华人民共和国招标投标法》及有关法律规定，遵循平等、自愿、公平和诚实信誉的原则，双方就</w:t>
      </w:r>
      <w:r>
        <w:rPr>
          <w:rFonts w:hint="eastAsia" w:ascii="宋体" w:hAnsi="宋体" w:cs="宋体"/>
          <w:color w:val="auto"/>
          <w:szCs w:val="21"/>
          <w:u w:val="single"/>
        </w:rPr>
        <w:t xml:space="preserve">                   </w:t>
      </w:r>
      <w:r>
        <w:rPr>
          <w:rFonts w:hint="eastAsia" w:ascii="宋体" w:hAnsi="宋体" w:cs="宋体"/>
          <w:color w:val="auto"/>
          <w:szCs w:val="21"/>
        </w:rPr>
        <w:t>工程施工及有关事项协商一致，共同达成如下协议：</w:t>
      </w:r>
    </w:p>
    <w:p w14:paraId="4B8BF4D0">
      <w:pPr>
        <w:pStyle w:val="6"/>
        <w:spacing w:before="120" w:after="120" w:line="312"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25" w:name="_Toc28145"/>
      <w:r>
        <w:rPr>
          <w:rFonts w:hint="eastAsia" w:ascii="宋体" w:hAnsi="宋体" w:eastAsia="宋体" w:cs="宋体"/>
          <w:b w:val="0"/>
          <w:color w:val="auto"/>
          <w:sz w:val="21"/>
          <w:szCs w:val="21"/>
        </w:rPr>
        <w:t>一、工程概况</w:t>
      </w:r>
      <w:bookmarkEnd w:id="225"/>
    </w:p>
    <w:p w14:paraId="714F1A7A">
      <w:pPr>
        <w:spacing w:line="312" w:lineRule="auto"/>
        <w:ind w:firstLine="411" w:firstLineChars="196"/>
        <w:rPr>
          <w:rFonts w:ascii="宋体" w:hAnsi="宋体" w:cs="宋体"/>
          <w:color w:val="auto"/>
          <w:szCs w:val="21"/>
          <w:u w:val="single"/>
        </w:rPr>
      </w:pPr>
      <w:r>
        <w:rPr>
          <w:rFonts w:hint="eastAsia" w:ascii="宋体" w:hAnsi="宋体" w:cs="宋体"/>
          <w:bCs/>
          <w:color w:val="auto"/>
          <w:szCs w:val="21"/>
        </w:rPr>
        <w:t>1.工程名称</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w:t>
      </w:r>
    </w:p>
    <w:p w14:paraId="49FAB7B7">
      <w:pPr>
        <w:spacing w:line="312" w:lineRule="auto"/>
        <w:ind w:firstLine="411" w:firstLineChars="196"/>
        <w:rPr>
          <w:rFonts w:ascii="宋体" w:hAnsi="宋体" w:cs="宋体"/>
          <w:bCs/>
          <w:color w:val="auto"/>
          <w:szCs w:val="21"/>
        </w:rPr>
      </w:pPr>
      <w:r>
        <w:rPr>
          <w:rFonts w:hint="eastAsia" w:ascii="宋体" w:hAnsi="宋体" w:cs="宋体"/>
          <w:bCs/>
          <w:color w:val="auto"/>
          <w:szCs w:val="21"/>
        </w:rPr>
        <w:t>2.工程地点：</w:t>
      </w:r>
      <w:r>
        <w:rPr>
          <w:rFonts w:hint="eastAsia" w:ascii="宋体" w:hAnsi="宋体" w:cs="宋体"/>
          <w:color w:val="auto"/>
          <w:szCs w:val="21"/>
          <w:u w:val="single"/>
        </w:rPr>
        <w:t xml:space="preserve">                                     </w:t>
      </w:r>
      <w:r>
        <w:rPr>
          <w:rFonts w:hint="eastAsia" w:ascii="宋体" w:hAnsi="宋体" w:cs="宋体"/>
          <w:color w:val="auto"/>
          <w:szCs w:val="21"/>
        </w:rPr>
        <w:t>。</w:t>
      </w:r>
    </w:p>
    <w:p w14:paraId="545C15C6">
      <w:pPr>
        <w:spacing w:line="312" w:lineRule="auto"/>
        <w:ind w:firstLine="411" w:firstLineChars="196"/>
        <w:rPr>
          <w:rFonts w:ascii="宋体" w:hAnsi="宋体" w:cs="宋体"/>
          <w:bCs/>
          <w:color w:val="auto"/>
          <w:szCs w:val="21"/>
        </w:rPr>
      </w:pPr>
      <w:r>
        <w:rPr>
          <w:rFonts w:hint="eastAsia" w:ascii="宋体" w:hAnsi="宋体" w:cs="宋体"/>
          <w:bCs/>
          <w:color w:val="auto"/>
          <w:szCs w:val="21"/>
        </w:rPr>
        <w:t>3.工程立项批准文号：</w:t>
      </w:r>
      <w:r>
        <w:rPr>
          <w:rFonts w:hint="eastAsia" w:ascii="宋体" w:hAnsi="宋体" w:cs="宋体"/>
          <w:color w:val="auto"/>
          <w:szCs w:val="21"/>
          <w:u w:val="single"/>
        </w:rPr>
        <w:t xml:space="preserve">                             </w:t>
      </w:r>
      <w:r>
        <w:rPr>
          <w:rFonts w:hint="eastAsia" w:ascii="宋体" w:hAnsi="宋体" w:cs="宋体"/>
          <w:bCs/>
          <w:color w:val="auto"/>
          <w:szCs w:val="21"/>
        </w:rPr>
        <w:t>。</w:t>
      </w:r>
    </w:p>
    <w:p w14:paraId="4F9B60AA">
      <w:pPr>
        <w:spacing w:line="312" w:lineRule="auto"/>
        <w:ind w:firstLine="411" w:firstLineChars="196"/>
        <w:rPr>
          <w:rFonts w:ascii="宋体" w:hAnsi="宋体" w:cs="宋体"/>
          <w:bCs/>
          <w:color w:val="auto"/>
          <w:szCs w:val="21"/>
        </w:rPr>
      </w:pPr>
      <w:r>
        <w:rPr>
          <w:rFonts w:hint="eastAsia" w:ascii="宋体" w:hAnsi="宋体" w:cs="宋体"/>
          <w:bCs/>
          <w:color w:val="auto"/>
          <w:szCs w:val="21"/>
        </w:rPr>
        <w:t>4.资金来源：</w:t>
      </w:r>
      <w:r>
        <w:rPr>
          <w:rFonts w:hint="eastAsia" w:ascii="宋体" w:hAnsi="宋体" w:cs="宋体"/>
          <w:color w:val="auto"/>
          <w:szCs w:val="21"/>
          <w:u w:val="single"/>
        </w:rPr>
        <w:t xml:space="preserve">                                     </w:t>
      </w:r>
      <w:r>
        <w:rPr>
          <w:rFonts w:hint="eastAsia" w:ascii="宋体" w:hAnsi="宋体" w:cs="宋体"/>
          <w:bCs/>
          <w:color w:val="auto"/>
          <w:szCs w:val="21"/>
        </w:rPr>
        <w:t>。</w:t>
      </w:r>
    </w:p>
    <w:p w14:paraId="083A431A">
      <w:pPr>
        <w:spacing w:line="312" w:lineRule="auto"/>
        <w:ind w:firstLine="411" w:firstLineChars="196"/>
        <w:rPr>
          <w:rFonts w:ascii="宋体" w:hAnsi="宋体" w:cs="宋体"/>
          <w:bCs/>
          <w:color w:val="auto"/>
          <w:szCs w:val="21"/>
        </w:rPr>
      </w:pPr>
      <w:r>
        <w:rPr>
          <w:rFonts w:hint="eastAsia" w:ascii="宋体" w:hAnsi="宋体" w:cs="宋体"/>
          <w:bCs/>
          <w:color w:val="auto"/>
          <w:szCs w:val="21"/>
        </w:rPr>
        <w:t>5.工程内容：</w:t>
      </w:r>
      <w:r>
        <w:rPr>
          <w:rFonts w:hint="eastAsia" w:ascii="宋体" w:hAnsi="宋体" w:cs="宋体"/>
          <w:color w:val="auto"/>
          <w:szCs w:val="21"/>
          <w:u w:val="single"/>
        </w:rPr>
        <w:t xml:space="preserve">                                    </w:t>
      </w:r>
      <w:r>
        <w:rPr>
          <w:rFonts w:hint="eastAsia" w:ascii="宋体" w:hAnsi="宋体" w:cs="宋体"/>
          <w:bCs/>
          <w:color w:val="auto"/>
          <w:szCs w:val="21"/>
        </w:rPr>
        <w:t>。</w:t>
      </w:r>
    </w:p>
    <w:p w14:paraId="262C161E">
      <w:pPr>
        <w:spacing w:line="312" w:lineRule="auto"/>
        <w:ind w:firstLine="411" w:firstLineChars="196"/>
        <w:rPr>
          <w:rFonts w:ascii="宋体" w:hAnsi="宋体" w:cs="宋体"/>
          <w:bCs/>
          <w:color w:val="auto"/>
          <w:szCs w:val="21"/>
        </w:rPr>
      </w:pPr>
      <w:r>
        <w:rPr>
          <w:rFonts w:hint="eastAsia" w:ascii="宋体" w:hAnsi="宋体" w:cs="宋体"/>
          <w:color w:val="auto"/>
          <w:szCs w:val="21"/>
        </w:rPr>
        <w:t>群体工程应附《承包人承揽工程项目一览表》（附件1）。</w:t>
      </w:r>
    </w:p>
    <w:p w14:paraId="7D396EC7">
      <w:pPr>
        <w:spacing w:line="312" w:lineRule="auto"/>
        <w:ind w:firstLine="420" w:firstLineChars="200"/>
        <w:rPr>
          <w:rFonts w:ascii="宋体" w:hAnsi="宋体" w:cs="宋体"/>
          <w:bCs/>
          <w:color w:val="auto"/>
          <w:szCs w:val="21"/>
          <w:u w:val="single"/>
        </w:rPr>
      </w:pPr>
      <w:r>
        <w:rPr>
          <w:rFonts w:hint="eastAsia" w:ascii="宋体" w:hAnsi="宋体" w:cs="宋体"/>
          <w:bCs/>
          <w:color w:val="auto"/>
          <w:szCs w:val="21"/>
        </w:rPr>
        <w:t>6.工程承包范围：</w:t>
      </w:r>
      <w:r>
        <w:rPr>
          <w:rFonts w:hint="eastAsia" w:ascii="宋体" w:hAnsi="宋体" w:cs="宋体"/>
          <w:bCs/>
          <w:color w:val="auto"/>
          <w:szCs w:val="21"/>
          <w:u w:val="single"/>
        </w:rPr>
        <w:t xml:space="preserve">                                         </w:t>
      </w:r>
    </w:p>
    <w:p w14:paraId="76A8419D">
      <w:pPr>
        <w:pStyle w:val="6"/>
        <w:spacing w:before="120" w:after="120" w:line="312" w:lineRule="auto"/>
        <w:rPr>
          <w:rFonts w:ascii="宋体" w:hAnsi="宋体" w:eastAsia="宋体" w:cs="宋体"/>
          <w:b w:val="0"/>
          <w:color w:val="auto"/>
          <w:sz w:val="21"/>
          <w:szCs w:val="21"/>
        </w:rPr>
      </w:pPr>
      <w:r>
        <w:rPr>
          <w:rFonts w:hint="eastAsia" w:ascii="宋体" w:hAnsi="宋体" w:eastAsia="宋体" w:cs="宋体"/>
          <w:b w:val="0"/>
          <w:color w:val="auto"/>
          <w:sz w:val="21"/>
          <w:szCs w:val="21"/>
        </w:rPr>
        <w:t xml:space="preserve">   </w:t>
      </w:r>
      <w:bookmarkStart w:id="226" w:name="_Toc27494"/>
      <w:r>
        <w:rPr>
          <w:rFonts w:hint="eastAsia" w:ascii="宋体" w:hAnsi="宋体" w:eastAsia="宋体" w:cs="宋体"/>
          <w:b w:val="0"/>
          <w:color w:val="auto"/>
          <w:sz w:val="21"/>
          <w:szCs w:val="21"/>
        </w:rPr>
        <w:t>二、合同工期</w:t>
      </w:r>
      <w:bookmarkEnd w:id="226"/>
    </w:p>
    <w:p w14:paraId="39A5F995">
      <w:pPr>
        <w:spacing w:line="312" w:lineRule="auto"/>
        <w:ind w:firstLine="459"/>
        <w:rPr>
          <w:rFonts w:ascii="宋体" w:hAnsi="宋体" w:cs="宋体"/>
          <w:color w:val="auto"/>
          <w:szCs w:val="21"/>
        </w:rPr>
      </w:pPr>
      <w:r>
        <w:rPr>
          <w:rFonts w:hint="eastAsia" w:ascii="宋体" w:hAnsi="宋体" w:cs="宋体"/>
          <w:color w:val="auto"/>
          <w:szCs w:val="21"/>
        </w:rPr>
        <w:t>计划开工日期：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4923FE1">
      <w:pPr>
        <w:spacing w:line="312" w:lineRule="auto"/>
        <w:ind w:firstLine="459"/>
        <w:rPr>
          <w:rFonts w:ascii="宋体" w:hAnsi="宋体" w:cs="宋体"/>
          <w:color w:val="auto"/>
          <w:szCs w:val="21"/>
        </w:rPr>
      </w:pPr>
      <w:r>
        <w:rPr>
          <w:rFonts w:hint="eastAsia" w:ascii="宋体" w:hAnsi="宋体" w:cs="宋体"/>
          <w:color w:val="auto"/>
          <w:szCs w:val="21"/>
        </w:rPr>
        <w:t>计划竣工日期：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0E443034">
      <w:pPr>
        <w:spacing w:line="312" w:lineRule="auto"/>
        <w:ind w:firstLine="459"/>
        <w:rPr>
          <w:rFonts w:ascii="宋体" w:hAnsi="宋体" w:cs="宋体"/>
          <w:color w:val="auto"/>
          <w:szCs w:val="21"/>
        </w:rPr>
      </w:pPr>
      <w:r>
        <w:rPr>
          <w:rFonts w:hint="eastAsia" w:ascii="宋体" w:hAnsi="宋体" w:cs="宋体"/>
          <w:color w:val="auto"/>
          <w:szCs w:val="21"/>
        </w:rPr>
        <w:t>工期总日历天数：</w:t>
      </w:r>
      <w:r>
        <w:rPr>
          <w:rFonts w:hint="eastAsia" w:ascii="宋体" w:hAnsi="宋体" w:cs="宋体"/>
          <w:color w:val="auto"/>
          <w:szCs w:val="21"/>
          <w:u w:val="single"/>
        </w:rPr>
        <w:t xml:space="preserve">     </w:t>
      </w:r>
      <w:r>
        <w:rPr>
          <w:rFonts w:hint="eastAsia" w:ascii="宋体" w:hAnsi="宋体" w:cs="宋体"/>
          <w:color w:val="auto"/>
          <w:szCs w:val="21"/>
        </w:rPr>
        <w:t>天。工期总日历天数与根据前述计划开竣</w:t>
      </w:r>
    </w:p>
    <w:p w14:paraId="0482D25C">
      <w:pPr>
        <w:spacing w:line="312" w:lineRule="auto"/>
        <w:ind w:firstLine="459"/>
        <w:rPr>
          <w:rFonts w:ascii="宋体" w:hAnsi="宋体" w:cs="宋体"/>
          <w:color w:val="auto"/>
          <w:szCs w:val="21"/>
        </w:rPr>
      </w:pPr>
      <w:r>
        <w:rPr>
          <w:rFonts w:hint="eastAsia" w:ascii="宋体" w:hAnsi="宋体" w:cs="宋体"/>
          <w:color w:val="auto"/>
          <w:szCs w:val="21"/>
        </w:rPr>
        <w:t xml:space="preserve"> 工日期计算的工期天数不一致的，以工期总日历天数为准。</w:t>
      </w:r>
    </w:p>
    <w:p w14:paraId="76D92D64">
      <w:pPr>
        <w:pStyle w:val="6"/>
        <w:spacing w:before="120" w:after="120" w:line="312"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27" w:name="_Toc29453"/>
      <w:r>
        <w:rPr>
          <w:rFonts w:hint="eastAsia" w:ascii="宋体" w:hAnsi="宋体" w:eastAsia="宋体" w:cs="宋体"/>
          <w:b w:val="0"/>
          <w:color w:val="auto"/>
          <w:sz w:val="21"/>
          <w:szCs w:val="21"/>
        </w:rPr>
        <w:t>三、质量标准</w:t>
      </w:r>
      <w:bookmarkEnd w:id="227"/>
    </w:p>
    <w:p w14:paraId="6358E28F">
      <w:pPr>
        <w:spacing w:line="312" w:lineRule="auto"/>
        <w:ind w:firstLine="459"/>
        <w:rPr>
          <w:rFonts w:ascii="宋体" w:hAnsi="宋体" w:cs="宋体"/>
          <w:color w:val="auto"/>
          <w:szCs w:val="21"/>
        </w:rPr>
      </w:pPr>
      <w:r>
        <w:rPr>
          <w:rFonts w:hint="eastAsia" w:ascii="宋体" w:hAnsi="宋体" w:cs="宋体"/>
          <w:color w:val="auto"/>
          <w:szCs w:val="21"/>
        </w:rPr>
        <w:t xml:space="preserve"> 工程质量符合</w:t>
      </w:r>
      <w:r>
        <w:rPr>
          <w:rFonts w:hint="eastAsia" w:ascii="宋体" w:hAnsi="宋体" w:cs="宋体"/>
          <w:color w:val="auto"/>
          <w:szCs w:val="21"/>
          <w:u w:val="single"/>
        </w:rPr>
        <w:t xml:space="preserve">                   </w:t>
      </w:r>
      <w:r>
        <w:rPr>
          <w:rFonts w:hint="eastAsia" w:ascii="宋体" w:hAnsi="宋体" w:cs="宋体"/>
          <w:color w:val="auto"/>
          <w:szCs w:val="21"/>
        </w:rPr>
        <w:t>标准。</w:t>
      </w:r>
    </w:p>
    <w:p w14:paraId="440A8288">
      <w:pPr>
        <w:pStyle w:val="6"/>
        <w:spacing w:before="120" w:after="120" w:line="312"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28" w:name="_Toc28344"/>
      <w:r>
        <w:rPr>
          <w:rFonts w:hint="eastAsia" w:ascii="宋体" w:hAnsi="宋体" w:eastAsia="宋体" w:cs="宋体"/>
          <w:b w:val="0"/>
          <w:color w:val="auto"/>
          <w:sz w:val="21"/>
          <w:szCs w:val="21"/>
        </w:rPr>
        <w:t>四、签约合同价、合同价格形式</w:t>
      </w:r>
      <w:bookmarkEnd w:id="228"/>
      <w:r>
        <w:rPr>
          <w:rFonts w:hint="eastAsia" w:ascii="宋体" w:hAnsi="宋体" w:eastAsia="宋体" w:cs="宋体"/>
          <w:b w:val="0"/>
          <w:color w:val="auto"/>
          <w:sz w:val="21"/>
          <w:szCs w:val="21"/>
        </w:rPr>
        <w:tab/>
      </w:r>
    </w:p>
    <w:p w14:paraId="5BE9FE21">
      <w:pPr>
        <w:spacing w:line="312" w:lineRule="auto"/>
        <w:ind w:firstLine="420" w:firstLineChars="200"/>
        <w:rPr>
          <w:rFonts w:ascii="宋体" w:hAnsi="宋体" w:cs="宋体"/>
          <w:color w:val="auto"/>
          <w:szCs w:val="21"/>
        </w:rPr>
      </w:pPr>
      <w:r>
        <w:rPr>
          <w:rFonts w:hint="eastAsia" w:ascii="宋体" w:hAnsi="宋体" w:cs="宋体"/>
          <w:color w:val="auto"/>
          <w:szCs w:val="21"/>
        </w:rPr>
        <w:t xml:space="preserve"> 1.签约合同价为：</w:t>
      </w:r>
    </w:p>
    <w:p w14:paraId="37AD46C0">
      <w:pPr>
        <w:spacing w:line="312" w:lineRule="auto"/>
        <w:ind w:firstLine="525" w:firstLineChars="2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rPr>
        <w:t>元)；</w:t>
      </w:r>
    </w:p>
    <w:p w14:paraId="72826FDA">
      <w:pPr>
        <w:spacing w:line="312" w:lineRule="auto"/>
        <w:ind w:firstLine="420" w:firstLineChars="200"/>
        <w:rPr>
          <w:rFonts w:ascii="宋体" w:hAnsi="宋体" w:cs="宋体"/>
          <w:color w:val="auto"/>
          <w:szCs w:val="21"/>
        </w:rPr>
      </w:pPr>
      <w:r>
        <w:rPr>
          <w:rFonts w:hint="eastAsia" w:ascii="宋体" w:hAnsi="宋体" w:cs="宋体"/>
          <w:color w:val="auto"/>
          <w:szCs w:val="21"/>
        </w:rPr>
        <w:t>其中：</w:t>
      </w:r>
    </w:p>
    <w:p w14:paraId="64EBA934">
      <w:pPr>
        <w:spacing w:line="312" w:lineRule="auto"/>
        <w:ind w:firstLine="420" w:firstLineChars="200"/>
        <w:rPr>
          <w:rFonts w:ascii="宋体" w:hAnsi="宋体" w:cs="宋体"/>
          <w:color w:val="auto"/>
          <w:szCs w:val="21"/>
        </w:rPr>
      </w:pPr>
      <w:r>
        <w:rPr>
          <w:rFonts w:hint="eastAsia" w:ascii="宋体" w:hAnsi="宋体" w:cs="宋体"/>
          <w:color w:val="auto"/>
          <w:szCs w:val="21"/>
        </w:rPr>
        <w:t>（1）安全文明施工费：</w:t>
      </w:r>
    </w:p>
    <w:p w14:paraId="07064783">
      <w:pPr>
        <w:spacing w:line="312" w:lineRule="auto"/>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7827E643">
      <w:pPr>
        <w:spacing w:line="312" w:lineRule="auto"/>
        <w:ind w:firstLine="420" w:firstLineChars="200"/>
        <w:rPr>
          <w:rFonts w:ascii="宋体" w:hAnsi="宋体" w:cs="宋体"/>
          <w:color w:val="auto"/>
          <w:szCs w:val="21"/>
        </w:rPr>
      </w:pPr>
      <w:r>
        <w:rPr>
          <w:rFonts w:hint="eastAsia" w:ascii="宋体" w:hAnsi="宋体" w:cs="宋体"/>
          <w:color w:val="auto"/>
          <w:szCs w:val="21"/>
        </w:rPr>
        <w:t>（2）材料和工程设备暂估价金额：</w:t>
      </w:r>
    </w:p>
    <w:p w14:paraId="5524A244">
      <w:pPr>
        <w:spacing w:line="312" w:lineRule="auto"/>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51587F5B">
      <w:pPr>
        <w:spacing w:line="312" w:lineRule="auto"/>
        <w:ind w:firstLine="420" w:firstLineChars="200"/>
        <w:rPr>
          <w:rFonts w:ascii="宋体" w:hAnsi="宋体" w:cs="宋体"/>
          <w:color w:val="auto"/>
          <w:szCs w:val="21"/>
        </w:rPr>
      </w:pPr>
      <w:r>
        <w:rPr>
          <w:rFonts w:hint="eastAsia" w:ascii="宋体" w:hAnsi="宋体" w:cs="宋体"/>
          <w:color w:val="auto"/>
          <w:szCs w:val="21"/>
        </w:rPr>
        <w:t>（3）专业工程暂估价金额：</w:t>
      </w:r>
    </w:p>
    <w:p w14:paraId="14BA6F2E">
      <w:pPr>
        <w:spacing w:line="312" w:lineRule="auto"/>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0CFF74D3">
      <w:pPr>
        <w:spacing w:line="312" w:lineRule="auto"/>
        <w:ind w:firstLine="420" w:firstLineChars="200"/>
        <w:rPr>
          <w:rFonts w:ascii="宋体" w:hAnsi="宋体" w:cs="宋体"/>
          <w:color w:val="auto"/>
          <w:szCs w:val="21"/>
        </w:rPr>
      </w:pPr>
      <w:r>
        <w:rPr>
          <w:rFonts w:hint="eastAsia" w:ascii="宋体" w:hAnsi="宋体" w:cs="宋体"/>
          <w:color w:val="auto"/>
          <w:szCs w:val="21"/>
        </w:rPr>
        <w:t>（4）暂列金额：</w:t>
      </w:r>
    </w:p>
    <w:p w14:paraId="5A44D404">
      <w:pPr>
        <w:spacing w:line="312" w:lineRule="auto"/>
        <w:ind w:firstLine="945" w:firstLineChars="450"/>
        <w:rPr>
          <w:rFonts w:ascii="宋体" w:hAnsi="宋体" w:cs="宋体"/>
          <w:color w:val="auto"/>
          <w:szCs w:val="21"/>
        </w:rPr>
      </w:pP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元)。</w:t>
      </w:r>
    </w:p>
    <w:p w14:paraId="594AD4C9">
      <w:pPr>
        <w:spacing w:line="312" w:lineRule="auto"/>
        <w:ind w:firstLine="420" w:firstLineChars="200"/>
        <w:rPr>
          <w:rFonts w:ascii="宋体" w:hAnsi="宋体" w:cs="宋体"/>
          <w:color w:val="auto"/>
          <w:szCs w:val="21"/>
        </w:rPr>
      </w:pPr>
      <w:r>
        <w:rPr>
          <w:rFonts w:hint="eastAsia" w:ascii="宋体" w:hAnsi="宋体" w:cs="宋体"/>
          <w:color w:val="auto"/>
          <w:szCs w:val="21"/>
        </w:rPr>
        <w:t>2.合同价格形式：</w:t>
      </w:r>
      <w:r>
        <w:rPr>
          <w:rFonts w:hint="eastAsia" w:ascii="宋体" w:hAnsi="宋体" w:cs="宋体"/>
          <w:color w:val="auto"/>
          <w:szCs w:val="21"/>
          <w:u w:val="single"/>
        </w:rPr>
        <w:t xml:space="preserve">                                </w:t>
      </w:r>
      <w:r>
        <w:rPr>
          <w:rFonts w:hint="eastAsia" w:ascii="宋体" w:hAnsi="宋体" w:cs="宋体"/>
          <w:color w:val="auto"/>
          <w:szCs w:val="21"/>
        </w:rPr>
        <w:t>。</w:t>
      </w:r>
    </w:p>
    <w:p w14:paraId="10A07D54">
      <w:pPr>
        <w:pStyle w:val="6"/>
        <w:spacing w:before="120" w:after="120" w:line="312" w:lineRule="auto"/>
        <w:rPr>
          <w:rFonts w:ascii="宋体" w:hAnsi="宋体" w:eastAsia="宋体" w:cs="宋体"/>
          <w:b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29" w:name="_Toc19395"/>
      <w:r>
        <w:rPr>
          <w:rFonts w:hint="eastAsia" w:ascii="宋体" w:hAnsi="宋体" w:eastAsia="宋体" w:cs="宋体"/>
          <w:b w:val="0"/>
          <w:color w:val="auto"/>
          <w:sz w:val="21"/>
          <w:szCs w:val="21"/>
        </w:rPr>
        <w:t>五、项目经理</w:t>
      </w:r>
      <w:bookmarkEnd w:id="229"/>
    </w:p>
    <w:p w14:paraId="153796DB">
      <w:pPr>
        <w:spacing w:line="312" w:lineRule="auto"/>
        <w:ind w:firstLine="420" w:firstLineChars="200"/>
        <w:rPr>
          <w:rFonts w:ascii="宋体" w:hAnsi="宋体" w:cs="宋体"/>
          <w:color w:val="auto"/>
          <w:szCs w:val="21"/>
        </w:rPr>
      </w:pPr>
      <w:r>
        <w:rPr>
          <w:rFonts w:hint="eastAsia" w:ascii="宋体" w:hAnsi="宋体" w:cs="宋体"/>
          <w:color w:val="auto"/>
          <w:szCs w:val="21"/>
        </w:rPr>
        <w:t>承包人项目经理：</w:t>
      </w:r>
      <w:r>
        <w:rPr>
          <w:rFonts w:hint="eastAsia" w:ascii="宋体" w:hAnsi="宋体" w:cs="宋体"/>
          <w:color w:val="auto"/>
          <w:szCs w:val="21"/>
          <w:u w:val="single"/>
        </w:rPr>
        <w:t xml:space="preserve">                              </w:t>
      </w:r>
      <w:r>
        <w:rPr>
          <w:rFonts w:hint="eastAsia" w:ascii="宋体" w:hAnsi="宋体" w:cs="宋体"/>
          <w:color w:val="auto"/>
          <w:szCs w:val="21"/>
        </w:rPr>
        <w:t>。</w:t>
      </w:r>
    </w:p>
    <w:p w14:paraId="19D04AF1">
      <w:pPr>
        <w:pStyle w:val="6"/>
        <w:spacing w:before="120" w:after="120" w:line="312"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30" w:name="_Toc27821"/>
      <w:r>
        <w:rPr>
          <w:rFonts w:hint="eastAsia" w:ascii="宋体" w:hAnsi="宋体" w:eastAsia="宋体" w:cs="宋体"/>
          <w:b w:val="0"/>
          <w:color w:val="auto"/>
          <w:sz w:val="21"/>
          <w:szCs w:val="21"/>
        </w:rPr>
        <w:t>六、合同文件构成</w:t>
      </w:r>
      <w:bookmarkEnd w:id="230"/>
    </w:p>
    <w:p w14:paraId="0AF430D5">
      <w:pPr>
        <w:spacing w:line="312" w:lineRule="auto"/>
        <w:ind w:firstLine="420" w:firstLineChars="200"/>
        <w:rPr>
          <w:rFonts w:ascii="宋体" w:hAnsi="宋体" w:cs="宋体"/>
          <w:bCs/>
          <w:color w:val="auto"/>
          <w:szCs w:val="21"/>
        </w:rPr>
      </w:pPr>
      <w:r>
        <w:rPr>
          <w:rFonts w:hint="eastAsia" w:ascii="宋体" w:hAnsi="宋体" w:cs="宋体"/>
          <w:bCs/>
          <w:color w:val="auto"/>
          <w:szCs w:val="21"/>
        </w:rPr>
        <w:t>本协议书与下列文件一起构成合同文件：</w:t>
      </w:r>
    </w:p>
    <w:p w14:paraId="45126E1E">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（1）中标通知书（如果有）；</w:t>
      </w:r>
    </w:p>
    <w:p w14:paraId="12E731AB">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 xml:space="preserve">（2）投标函及其附录（如果有）； </w:t>
      </w:r>
    </w:p>
    <w:p w14:paraId="0791A80F">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（3）专用合同条款及其附件；</w:t>
      </w:r>
    </w:p>
    <w:p w14:paraId="6361C0F8">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（4）通用合同条款；</w:t>
      </w:r>
    </w:p>
    <w:p w14:paraId="1971A617">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（5）技术标准和要求；</w:t>
      </w:r>
    </w:p>
    <w:p w14:paraId="52D7E81A">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（6）图纸；</w:t>
      </w:r>
    </w:p>
    <w:p w14:paraId="6C496144">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（7）已标价工程量清单或预算书；</w:t>
      </w:r>
    </w:p>
    <w:p w14:paraId="16D9A885">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（8）其他合同文件。</w:t>
      </w:r>
    </w:p>
    <w:p w14:paraId="5A3FB2FE">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在合同订立及履行过程中形成的与合同有关的文件均构成合同文件组成部分。</w:t>
      </w:r>
    </w:p>
    <w:p w14:paraId="3015F72F">
      <w:pPr>
        <w:autoSpaceDE w:val="0"/>
        <w:autoSpaceDN w:val="0"/>
        <w:adjustRightInd w:val="0"/>
        <w:spacing w:line="312" w:lineRule="auto"/>
        <w:ind w:firstLine="420" w:firstLineChars="200"/>
        <w:jc w:val="left"/>
        <w:rPr>
          <w:rFonts w:ascii="宋体" w:hAnsi="宋体" w:cs="宋体"/>
          <w:color w:val="auto"/>
          <w:szCs w:val="21"/>
        </w:rPr>
      </w:pPr>
      <w:r>
        <w:rPr>
          <w:rFonts w:hint="eastAsia" w:ascii="宋体" w:hAnsi="宋体" w:cs="宋体"/>
          <w:color w:val="auto"/>
          <w:szCs w:val="21"/>
        </w:rPr>
        <w:t>上述各项合同文件包括合同当事人就该项合同文件所作出的补充和修改，属于同一类内容的文件，应以最新签署的为准。专用合同条款及其附件须经合同当事人签字或盖章。</w:t>
      </w:r>
    </w:p>
    <w:p w14:paraId="275242E5">
      <w:pPr>
        <w:pStyle w:val="6"/>
        <w:spacing w:before="120" w:after="120" w:line="312" w:lineRule="auto"/>
        <w:rPr>
          <w:rFonts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r>
        <w:rPr>
          <w:rFonts w:hint="eastAsia" w:ascii="宋体" w:hAnsi="宋体" w:eastAsia="宋体" w:cs="宋体"/>
          <w:b w:val="0"/>
          <w:color w:val="auto"/>
          <w:sz w:val="21"/>
          <w:szCs w:val="21"/>
        </w:rPr>
        <w:t xml:space="preserve"> </w:t>
      </w:r>
      <w:bookmarkStart w:id="231" w:name="_Toc10557"/>
      <w:r>
        <w:rPr>
          <w:rFonts w:hint="eastAsia" w:ascii="宋体" w:hAnsi="宋体" w:eastAsia="宋体" w:cs="宋体"/>
          <w:b w:val="0"/>
          <w:color w:val="auto"/>
          <w:sz w:val="21"/>
          <w:szCs w:val="21"/>
        </w:rPr>
        <w:t>七、承诺</w:t>
      </w:r>
      <w:bookmarkEnd w:id="231"/>
    </w:p>
    <w:p w14:paraId="54336E0C">
      <w:pPr>
        <w:spacing w:line="312" w:lineRule="auto"/>
        <w:ind w:firstLine="420" w:firstLineChars="200"/>
        <w:rPr>
          <w:rFonts w:ascii="宋体" w:hAnsi="宋体" w:cs="宋体"/>
          <w:bCs/>
          <w:color w:val="auto"/>
          <w:szCs w:val="21"/>
        </w:rPr>
      </w:pPr>
      <w:r>
        <w:rPr>
          <w:rFonts w:hint="eastAsia" w:ascii="宋体" w:hAnsi="宋体" w:cs="宋体"/>
          <w:bCs/>
          <w:color w:val="auto"/>
          <w:szCs w:val="21"/>
        </w:rPr>
        <w:t>1.发包人承诺按照法律规定履行项目审批手续、筹集工程建设资金并按照合同约定的期限和方式支付合同价款。</w:t>
      </w:r>
    </w:p>
    <w:p w14:paraId="7662C7ED">
      <w:pPr>
        <w:spacing w:line="312" w:lineRule="auto"/>
        <w:ind w:firstLine="420" w:firstLineChars="200"/>
        <w:rPr>
          <w:rFonts w:ascii="宋体" w:hAnsi="宋体" w:cs="宋体"/>
          <w:bCs/>
          <w:color w:val="auto"/>
          <w:szCs w:val="21"/>
        </w:rPr>
      </w:pPr>
      <w:r>
        <w:rPr>
          <w:rFonts w:hint="eastAsia" w:ascii="宋体" w:hAnsi="宋体" w:cs="宋体"/>
          <w:bCs/>
          <w:color w:val="auto"/>
          <w:szCs w:val="21"/>
        </w:rPr>
        <w:t>2.承包人承诺按照法律规定及合同约定组织完成工程施工，确保工程质量和安全，不进行转包及违法分包，并在缺陷责任期及保修期内承担相应的工程维修责任。</w:t>
      </w:r>
    </w:p>
    <w:p w14:paraId="72DCA8E5">
      <w:pPr>
        <w:spacing w:line="312" w:lineRule="auto"/>
        <w:ind w:firstLine="420" w:firstLineChars="200"/>
        <w:rPr>
          <w:rFonts w:ascii="宋体" w:hAnsi="宋体" w:cs="宋体"/>
          <w:bCs/>
          <w:color w:val="auto"/>
          <w:szCs w:val="21"/>
        </w:rPr>
      </w:pPr>
      <w:r>
        <w:rPr>
          <w:rFonts w:hint="eastAsia" w:ascii="宋体" w:hAnsi="宋体" w:cs="宋体"/>
          <w:bCs/>
          <w:color w:val="auto"/>
          <w:szCs w:val="21"/>
        </w:rPr>
        <w:t>3.发包人和承包人通过招投标形式签订合同的，双方理解并承诺不再就同一工程另行签订与合同实质性内容相背离的协议。</w:t>
      </w:r>
    </w:p>
    <w:p w14:paraId="6C5A7BE0">
      <w:pPr>
        <w:spacing w:line="312" w:lineRule="auto"/>
        <w:rPr>
          <w:rFonts w:ascii="宋体" w:hAnsi="宋体" w:cs="宋体"/>
          <w:bCs/>
          <w:color w:val="auto"/>
          <w:szCs w:val="21"/>
        </w:rPr>
      </w:pPr>
      <w:r>
        <w:rPr>
          <w:rFonts w:hint="eastAsia" w:ascii="宋体" w:hAnsi="宋体" w:cs="宋体"/>
          <w:bCs/>
          <w:color w:val="auto"/>
          <w:szCs w:val="21"/>
        </w:rPr>
        <w:t xml:space="preserve">    八、词语含义</w:t>
      </w:r>
    </w:p>
    <w:p w14:paraId="5304E2D5">
      <w:pPr>
        <w:spacing w:line="312" w:lineRule="auto"/>
        <w:ind w:firstLine="420" w:firstLineChars="200"/>
        <w:rPr>
          <w:rFonts w:ascii="宋体" w:hAnsi="宋体" w:cs="宋体"/>
          <w:bCs/>
          <w:color w:val="auto"/>
          <w:szCs w:val="21"/>
        </w:rPr>
      </w:pPr>
      <w:r>
        <w:rPr>
          <w:rFonts w:hint="eastAsia" w:ascii="宋体" w:hAnsi="宋体" w:cs="宋体"/>
          <w:bCs/>
          <w:color w:val="auto"/>
          <w:szCs w:val="21"/>
        </w:rPr>
        <w:t>本协议书中词语含义与第二部分通用合同条款中赋予的含义相同。</w:t>
      </w:r>
    </w:p>
    <w:p w14:paraId="6A7F7739">
      <w:pPr>
        <w:pStyle w:val="6"/>
        <w:spacing w:before="120" w:after="120" w:line="312"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w:t>
      </w:r>
      <w:bookmarkStart w:id="232" w:name="_Toc32594"/>
      <w:r>
        <w:rPr>
          <w:rFonts w:hint="eastAsia" w:ascii="宋体" w:hAnsi="宋体" w:eastAsia="宋体" w:cs="宋体"/>
          <w:b w:val="0"/>
          <w:color w:val="auto"/>
          <w:sz w:val="21"/>
          <w:szCs w:val="21"/>
        </w:rPr>
        <w:t>九、签订时间</w:t>
      </w:r>
      <w:bookmarkEnd w:id="232"/>
    </w:p>
    <w:p w14:paraId="42B710D5">
      <w:pPr>
        <w:spacing w:line="312" w:lineRule="auto"/>
        <w:ind w:firstLine="420" w:firstLineChars="200"/>
        <w:rPr>
          <w:rFonts w:ascii="宋体" w:hAnsi="宋体" w:cs="宋体"/>
          <w:bCs/>
          <w:color w:val="auto"/>
          <w:szCs w:val="21"/>
        </w:rPr>
      </w:pPr>
      <w:r>
        <w:rPr>
          <w:rFonts w:hint="eastAsia" w:ascii="宋体" w:hAnsi="宋体" w:cs="宋体"/>
          <w:bCs/>
          <w:color w:val="auto"/>
          <w:szCs w:val="21"/>
        </w:rPr>
        <w:t>本合同于</w:t>
      </w:r>
      <w:r>
        <w:rPr>
          <w:rFonts w:hint="eastAsia" w:ascii="宋体" w:hAnsi="宋体" w:cs="宋体"/>
          <w:bCs/>
          <w:color w:val="auto"/>
          <w:szCs w:val="21"/>
          <w:u w:val="single"/>
        </w:rPr>
        <w:t xml:space="preserve">      </w:t>
      </w:r>
      <w:r>
        <w:rPr>
          <w:rFonts w:hint="eastAsia" w:ascii="宋体" w:hAnsi="宋体" w:cs="宋体"/>
          <w:bCs/>
          <w:color w:val="auto"/>
          <w:szCs w:val="21"/>
        </w:rPr>
        <w:t>年</w:t>
      </w:r>
      <w:r>
        <w:rPr>
          <w:rFonts w:hint="eastAsia" w:ascii="宋体" w:hAnsi="宋体" w:cs="宋体"/>
          <w:bCs/>
          <w:color w:val="auto"/>
          <w:szCs w:val="21"/>
          <w:u w:val="single"/>
        </w:rPr>
        <w:t xml:space="preserve">      </w:t>
      </w:r>
      <w:r>
        <w:rPr>
          <w:rFonts w:hint="eastAsia" w:ascii="宋体" w:hAnsi="宋体" w:cs="宋体"/>
          <w:bCs/>
          <w:color w:val="auto"/>
          <w:szCs w:val="21"/>
        </w:rPr>
        <w:t>月</w:t>
      </w:r>
      <w:r>
        <w:rPr>
          <w:rFonts w:hint="eastAsia" w:ascii="宋体" w:hAnsi="宋体" w:cs="宋体"/>
          <w:bCs/>
          <w:color w:val="auto"/>
          <w:szCs w:val="21"/>
          <w:u w:val="single"/>
        </w:rPr>
        <w:t xml:space="preserve">      </w:t>
      </w:r>
      <w:r>
        <w:rPr>
          <w:rFonts w:hint="eastAsia" w:ascii="宋体" w:hAnsi="宋体" w:cs="宋体"/>
          <w:bCs/>
          <w:color w:val="auto"/>
          <w:szCs w:val="21"/>
        </w:rPr>
        <w:t>日签订。</w:t>
      </w:r>
    </w:p>
    <w:p w14:paraId="05062E68">
      <w:pPr>
        <w:pStyle w:val="6"/>
        <w:spacing w:before="120" w:after="120" w:line="312"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33" w:name="_Toc23736"/>
      <w:r>
        <w:rPr>
          <w:rFonts w:hint="eastAsia" w:ascii="宋体" w:hAnsi="宋体" w:eastAsia="宋体" w:cs="宋体"/>
          <w:b w:val="0"/>
          <w:color w:val="auto"/>
          <w:sz w:val="21"/>
          <w:szCs w:val="21"/>
        </w:rPr>
        <w:t>十、签订地点</w:t>
      </w:r>
      <w:bookmarkEnd w:id="233"/>
    </w:p>
    <w:p w14:paraId="6867DEC4">
      <w:pPr>
        <w:spacing w:line="312" w:lineRule="auto"/>
        <w:ind w:firstLine="420" w:firstLineChars="200"/>
        <w:rPr>
          <w:rFonts w:ascii="宋体" w:hAnsi="宋体" w:cs="宋体"/>
          <w:bCs/>
          <w:color w:val="auto"/>
          <w:szCs w:val="21"/>
        </w:rPr>
      </w:pPr>
      <w:r>
        <w:rPr>
          <w:rFonts w:hint="eastAsia" w:ascii="宋体" w:hAnsi="宋体" w:cs="宋体"/>
          <w:bCs/>
          <w:color w:val="auto"/>
          <w:szCs w:val="21"/>
        </w:rPr>
        <w:t>本合同在</w:t>
      </w:r>
      <w:r>
        <w:rPr>
          <w:rFonts w:hint="eastAsia" w:ascii="宋体" w:hAnsi="宋体" w:cs="宋体"/>
          <w:bCs/>
          <w:color w:val="auto"/>
          <w:szCs w:val="21"/>
          <w:u w:val="single"/>
        </w:rPr>
        <w:t xml:space="preserve">                                    </w:t>
      </w:r>
      <w:r>
        <w:rPr>
          <w:rFonts w:hint="eastAsia" w:ascii="宋体" w:hAnsi="宋体" w:cs="宋体"/>
          <w:bCs/>
          <w:color w:val="auto"/>
          <w:szCs w:val="21"/>
        </w:rPr>
        <w:t>签订。</w:t>
      </w:r>
    </w:p>
    <w:p w14:paraId="2AB7C6EA">
      <w:pPr>
        <w:pStyle w:val="6"/>
        <w:spacing w:before="120" w:after="120" w:line="312"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34" w:name="_Toc23753"/>
      <w:r>
        <w:rPr>
          <w:rFonts w:hint="eastAsia" w:ascii="宋体" w:hAnsi="宋体" w:eastAsia="宋体" w:cs="宋体"/>
          <w:b w:val="0"/>
          <w:color w:val="auto"/>
          <w:sz w:val="21"/>
          <w:szCs w:val="21"/>
        </w:rPr>
        <w:t>十一、补充协议</w:t>
      </w:r>
      <w:bookmarkEnd w:id="234"/>
    </w:p>
    <w:p w14:paraId="2C582192">
      <w:pPr>
        <w:spacing w:line="312" w:lineRule="auto"/>
        <w:ind w:firstLine="420" w:firstLineChars="200"/>
        <w:rPr>
          <w:rFonts w:ascii="宋体" w:hAnsi="宋体" w:cs="宋体"/>
          <w:b/>
          <w:bCs/>
          <w:color w:val="auto"/>
          <w:szCs w:val="21"/>
        </w:rPr>
      </w:pPr>
      <w:r>
        <w:rPr>
          <w:rFonts w:hint="eastAsia" w:ascii="宋体" w:hAnsi="宋体" w:cs="宋体"/>
          <w:bCs/>
          <w:color w:val="auto"/>
          <w:szCs w:val="21"/>
        </w:rPr>
        <w:t>合同未尽事宜，合同当事人另行签订补充协议，补充协议是合同的组成部分。</w:t>
      </w:r>
    </w:p>
    <w:p w14:paraId="263B8509">
      <w:pPr>
        <w:pStyle w:val="6"/>
        <w:spacing w:before="120" w:after="120" w:line="312"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35" w:name="_Toc11833"/>
      <w:r>
        <w:rPr>
          <w:rFonts w:hint="eastAsia" w:ascii="宋体" w:hAnsi="宋体" w:eastAsia="宋体" w:cs="宋体"/>
          <w:b w:val="0"/>
          <w:color w:val="auto"/>
          <w:sz w:val="21"/>
          <w:szCs w:val="21"/>
        </w:rPr>
        <w:t>十二、合同生效</w:t>
      </w:r>
      <w:bookmarkEnd w:id="235"/>
    </w:p>
    <w:p w14:paraId="06C9B0DF">
      <w:pPr>
        <w:spacing w:line="312" w:lineRule="auto"/>
        <w:ind w:firstLine="420" w:firstLineChars="200"/>
        <w:rPr>
          <w:rFonts w:ascii="宋体" w:hAnsi="宋体" w:cs="宋体"/>
          <w:bCs/>
          <w:color w:val="auto"/>
          <w:szCs w:val="21"/>
        </w:rPr>
      </w:pPr>
      <w:r>
        <w:rPr>
          <w:rFonts w:hint="eastAsia" w:ascii="宋体" w:hAnsi="宋体" w:cs="宋体"/>
          <w:bCs/>
          <w:color w:val="auto"/>
          <w:szCs w:val="21"/>
        </w:rPr>
        <w:t>本合同自</w:t>
      </w:r>
      <w:r>
        <w:rPr>
          <w:rFonts w:hint="eastAsia" w:ascii="宋体" w:hAnsi="宋体" w:cs="宋体"/>
          <w:bCs/>
          <w:color w:val="auto"/>
          <w:szCs w:val="21"/>
          <w:u w:val="single"/>
        </w:rPr>
        <w:t xml:space="preserve">   双方签字盖章后  </w:t>
      </w:r>
      <w:r>
        <w:rPr>
          <w:rFonts w:hint="eastAsia" w:ascii="宋体" w:hAnsi="宋体" w:cs="宋体"/>
          <w:bCs/>
          <w:color w:val="auto"/>
          <w:szCs w:val="21"/>
        </w:rPr>
        <w:t>生效。</w:t>
      </w:r>
    </w:p>
    <w:p w14:paraId="3CBD20A7">
      <w:pPr>
        <w:pStyle w:val="6"/>
        <w:spacing w:before="120" w:after="120" w:line="312" w:lineRule="auto"/>
        <w:rPr>
          <w:rFonts w:ascii="宋体" w:hAnsi="宋体" w:eastAsia="宋体" w:cs="宋体"/>
          <w:bCs w:val="0"/>
          <w:color w:val="auto"/>
          <w:sz w:val="21"/>
          <w:szCs w:val="21"/>
        </w:rPr>
      </w:pPr>
      <w:r>
        <w:rPr>
          <w:rFonts w:hint="eastAsia" w:ascii="宋体" w:hAnsi="宋体" w:eastAsia="宋体" w:cs="宋体"/>
          <w:bCs w:val="0"/>
          <w:color w:val="auto"/>
          <w:sz w:val="21"/>
          <w:szCs w:val="21"/>
        </w:rPr>
        <w:t xml:space="preserve">    </w:t>
      </w:r>
      <w:bookmarkStart w:id="236" w:name="_Toc13740"/>
      <w:r>
        <w:rPr>
          <w:rFonts w:hint="eastAsia" w:ascii="宋体" w:hAnsi="宋体" w:eastAsia="宋体" w:cs="宋体"/>
          <w:b w:val="0"/>
          <w:color w:val="auto"/>
          <w:sz w:val="21"/>
          <w:szCs w:val="21"/>
        </w:rPr>
        <w:t>十三、合同份数</w:t>
      </w:r>
      <w:bookmarkEnd w:id="236"/>
    </w:p>
    <w:p w14:paraId="407E1795">
      <w:pPr>
        <w:spacing w:line="312" w:lineRule="auto"/>
        <w:ind w:firstLine="420" w:firstLineChars="200"/>
        <w:rPr>
          <w:rFonts w:ascii="宋体" w:hAnsi="宋体" w:cs="宋体"/>
          <w:bCs/>
          <w:color w:val="auto"/>
          <w:szCs w:val="21"/>
        </w:rPr>
      </w:pPr>
      <w:r>
        <w:rPr>
          <w:rFonts w:hint="eastAsia" w:ascii="宋体" w:hAnsi="宋体" w:cs="宋体"/>
          <w:bCs/>
          <w:color w:val="auto"/>
          <w:szCs w:val="21"/>
        </w:rPr>
        <w:t>本合同一式</w:t>
      </w:r>
      <w:r>
        <w:rPr>
          <w:rFonts w:hint="eastAsia" w:ascii="宋体" w:hAnsi="宋体" w:cs="宋体"/>
          <w:bCs/>
          <w:color w:val="auto"/>
          <w:szCs w:val="21"/>
          <w:u w:val="single"/>
        </w:rPr>
        <w:t xml:space="preserve">    </w:t>
      </w:r>
      <w:r>
        <w:rPr>
          <w:rFonts w:hint="eastAsia" w:ascii="宋体" w:hAnsi="宋体" w:cs="宋体"/>
          <w:bCs/>
          <w:color w:val="auto"/>
          <w:szCs w:val="21"/>
        </w:rPr>
        <w:t>份，均具有同等法律效力，发包人执</w:t>
      </w:r>
      <w:r>
        <w:rPr>
          <w:rFonts w:hint="eastAsia" w:ascii="宋体" w:hAnsi="宋体" w:cs="宋体"/>
          <w:bCs/>
          <w:color w:val="auto"/>
          <w:szCs w:val="21"/>
          <w:u w:val="single"/>
        </w:rPr>
        <w:t xml:space="preserve">    </w:t>
      </w:r>
      <w:r>
        <w:rPr>
          <w:rFonts w:hint="eastAsia" w:ascii="宋体" w:hAnsi="宋体" w:cs="宋体"/>
          <w:bCs/>
          <w:color w:val="auto"/>
          <w:szCs w:val="21"/>
        </w:rPr>
        <w:t>份，承包人执</w:t>
      </w:r>
      <w:r>
        <w:rPr>
          <w:rFonts w:hint="eastAsia" w:ascii="宋体" w:hAnsi="宋体" w:cs="宋体"/>
          <w:bCs/>
          <w:color w:val="auto"/>
          <w:szCs w:val="21"/>
          <w:u w:val="single"/>
        </w:rPr>
        <w:t xml:space="preserve">    </w:t>
      </w:r>
      <w:r>
        <w:rPr>
          <w:rFonts w:hint="eastAsia" w:ascii="宋体" w:hAnsi="宋体" w:cs="宋体"/>
          <w:bCs/>
          <w:color w:val="auto"/>
          <w:szCs w:val="21"/>
        </w:rPr>
        <w:t>份。</w:t>
      </w:r>
    </w:p>
    <w:p w14:paraId="2F691258">
      <w:pPr>
        <w:spacing w:line="312" w:lineRule="auto"/>
        <w:rPr>
          <w:rFonts w:ascii="宋体" w:hAnsi="宋体" w:cs="宋体"/>
          <w:color w:val="auto"/>
          <w:szCs w:val="21"/>
        </w:rPr>
      </w:pPr>
      <w:r>
        <w:rPr>
          <w:rFonts w:hint="eastAsia" w:ascii="宋体" w:hAnsi="宋体" w:cs="宋体"/>
          <w:color w:val="auto"/>
          <w:szCs w:val="21"/>
        </w:rPr>
        <w:t xml:space="preserve">  发包人：  (公章)                          承包人：  (公章)</w:t>
      </w:r>
    </w:p>
    <w:p w14:paraId="5198214A">
      <w:pPr>
        <w:spacing w:line="312" w:lineRule="auto"/>
        <w:rPr>
          <w:rFonts w:ascii="宋体" w:hAnsi="宋体" w:cs="宋体"/>
          <w:color w:val="auto"/>
          <w:szCs w:val="21"/>
          <w:u w:val="single"/>
        </w:rPr>
      </w:pPr>
      <w:r>
        <w:rPr>
          <w:rFonts w:hint="eastAsia" w:ascii="宋体" w:hAnsi="宋体" w:cs="宋体"/>
          <w:color w:val="auto"/>
          <w:szCs w:val="21"/>
        </w:rPr>
        <w:t xml:space="preserve">                        </w:t>
      </w:r>
    </w:p>
    <w:p w14:paraId="0EC3A133">
      <w:pPr>
        <w:spacing w:line="312" w:lineRule="auto"/>
        <w:rPr>
          <w:rFonts w:ascii="宋体" w:hAnsi="宋体" w:cs="宋体"/>
          <w:color w:val="auto"/>
          <w:szCs w:val="21"/>
          <w:u w:val="single"/>
        </w:rPr>
      </w:pPr>
      <w:r>
        <w:rPr>
          <w:rFonts w:hint="eastAsia" w:ascii="宋体" w:hAnsi="宋体" w:cs="宋体"/>
          <w:color w:val="auto"/>
          <w:szCs w:val="21"/>
        </w:rPr>
        <w:t xml:space="preserve">  法定代表人或其委托代理人：（签字）     法定代表人或其委托代理人：（签字）                          </w:t>
      </w:r>
    </w:p>
    <w:p w14:paraId="013871FE">
      <w:pPr>
        <w:spacing w:line="312" w:lineRule="auto"/>
        <w:rPr>
          <w:rFonts w:ascii="宋体" w:hAnsi="宋体" w:cs="宋体"/>
          <w:color w:val="auto"/>
          <w:szCs w:val="21"/>
        </w:rPr>
      </w:pPr>
      <w:r>
        <w:rPr>
          <w:rFonts w:hint="eastAsia" w:ascii="宋体" w:hAnsi="宋体" w:cs="宋体"/>
          <w:color w:val="auto"/>
          <w:szCs w:val="21"/>
        </w:rPr>
        <w:t xml:space="preserve">  地  址：</w:t>
      </w:r>
      <w:r>
        <w:rPr>
          <w:rFonts w:hint="eastAsia" w:ascii="宋体" w:hAnsi="宋体" w:cs="宋体"/>
          <w:color w:val="auto"/>
          <w:szCs w:val="21"/>
          <w:u w:val="single"/>
        </w:rPr>
        <w:t xml:space="preserve">                  </w:t>
      </w:r>
      <w:r>
        <w:rPr>
          <w:rFonts w:hint="eastAsia" w:ascii="宋体" w:hAnsi="宋体" w:cs="宋体"/>
          <w:color w:val="auto"/>
          <w:szCs w:val="21"/>
        </w:rPr>
        <w:t xml:space="preserve">            地  址：</w:t>
      </w:r>
      <w:r>
        <w:rPr>
          <w:rFonts w:hint="eastAsia" w:ascii="宋体" w:hAnsi="宋体" w:cs="宋体"/>
          <w:color w:val="auto"/>
          <w:szCs w:val="21"/>
          <w:u w:val="single"/>
        </w:rPr>
        <w:t xml:space="preserve">                          </w:t>
      </w:r>
    </w:p>
    <w:p w14:paraId="11262C0D">
      <w:pPr>
        <w:spacing w:line="312" w:lineRule="auto"/>
        <w:rPr>
          <w:rFonts w:ascii="宋体" w:hAnsi="宋体" w:cs="宋体"/>
          <w:color w:val="auto"/>
          <w:szCs w:val="21"/>
        </w:rPr>
      </w:pP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p>
    <w:p w14:paraId="52499817">
      <w:pPr>
        <w:spacing w:line="312" w:lineRule="auto"/>
        <w:rPr>
          <w:rFonts w:ascii="宋体" w:hAnsi="宋体" w:cs="宋体"/>
          <w:color w:val="auto"/>
          <w:szCs w:val="21"/>
        </w:rPr>
      </w:pP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14:paraId="58F59AAB">
      <w:pPr>
        <w:spacing w:line="312" w:lineRule="auto"/>
        <w:rPr>
          <w:rFonts w:ascii="宋体" w:hAnsi="宋体" w:cs="宋体"/>
          <w:color w:val="auto"/>
          <w:szCs w:val="21"/>
        </w:rPr>
      </w:pPr>
      <w:r>
        <w:rPr>
          <w:rFonts w:hint="eastAsia" w:ascii="宋体" w:hAnsi="宋体" w:cs="宋体"/>
          <w:color w:val="auto"/>
          <w:szCs w:val="21"/>
        </w:rPr>
        <w:t xml:space="preserve">  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w:t>
      </w:r>
      <w:r>
        <w:rPr>
          <w:rFonts w:hint="eastAsia" w:ascii="宋体" w:hAnsi="宋体" w:cs="宋体"/>
          <w:color w:val="auto"/>
          <w:szCs w:val="21"/>
          <w:u w:val="single"/>
        </w:rPr>
        <w:t xml:space="preserve">                           </w:t>
      </w:r>
    </w:p>
    <w:p w14:paraId="4D46249C">
      <w:pPr>
        <w:spacing w:line="312" w:lineRule="auto"/>
        <w:rPr>
          <w:rFonts w:ascii="宋体" w:hAnsi="宋体" w:cs="宋体"/>
          <w:color w:val="auto"/>
          <w:szCs w:val="21"/>
        </w:rPr>
      </w:pP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p>
    <w:p w14:paraId="2E8C610A">
      <w:pPr>
        <w:spacing w:line="312" w:lineRule="auto"/>
        <w:rPr>
          <w:rFonts w:ascii="宋体" w:hAnsi="宋体" w:cs="宋体"/>
          <w:color w:val="auto"/>
          <w:szCs w:val="21"/>
        </w:rPr>
      </w:pPr>
      <w:r>
        <w:rPr>
          <w:rFonts w:hint="eastAsia" w:ascii="宋体" w:hAnsi="宋体" w:cs="宋体"/>
          <w:color w:val="auto"/>
          <w:szCs w:val="21"/>
        </w:rPr>
        <w:t xml:space="preserve">  账  号：</w:t>
      </w:r>
      <w:r>
        <w:rPr>
          <w:rFonts w:hint="eastAsia" w:ascii="宋体" w:hAnsi="宋体" w:cs="宋体"/>
          <w:color w:val="auto"/>
          <w:szCs w:val="21"/>
          <w:u w:val="single"/>
        </w:rPr>
        <w:t xml:space="preserve">                  </w:t>
      </w:r>
      <w:r>
        <w:rPr>
          <w:rFonts w:hint="eastAsia" w:ascii="宋体" w:hAnsi="宋体" w:cs="宋体"/>
          <w:color w:val="auto"/>
          <w:szCs w:val="21"/>
        </w:rPr>
        <w:t xml:space="preserve">           账  号：</w:t>
      </w:r>
      <w:r>
        <w:rPr>
          <w:rFonts w:hint="eastAsia" w:ascii="宋体" w:hAnsi="宋体" w:cs="宋体"/>
          <w:color w:val="auto"/>
          <w:szCs w:val="21"/>
          <w:u w:val="single"/>
        </w:rPr>
        <w:t xml:space="preserve">                         </w:t>
      </w:r>
    </w:p>
    <w:p w14:paraId="14F438AB">
      <w:pPr>
        <w:keepNext/>
        <w:keepLines/>
        <w:spacing w:line="360" w:lineRule="auto"/>
        <w:jc w:val="center"/>
        <w:outlineLvl w:val="2"/>
        <w:rPr>
          <w:rFonts w:ascii="宋体" w:hAnsi="宋体"/>
          <w:b/>
          <w:bCs/>
          <w:color w:val="auto"/>
          <w:sz w:val="40"/>
          <w:szCs w:val="44"/>
        </w:rPr>
      </w:pPr>
      <w:r>
        <w:rPr>
          <w:rFonts w:asciiTheme="minorEastAsia" w:hAnsiTheme="minorEastAsia" w:eastAsiaTheme="minorEastAsia"/>
          <w:b/>
          <w:bCs/>
          <w:color w:val="auto"/>
          <w:sz w:val="24"/>
          <w:szCs w:val="24"/>
        </w:rPr>
        <w:br w:type="page"/>
      </w:r>
      <w:bookmarkStart w:id="237" w:name="_Toc10094"/>
      <w:bookmarkStart w:id="238" w:name="_Toc4732"/>
      <w:r>
        <w:rPr>
          <w:rFonts w:ascii="宋体" w:hAnsi="宋体"/>
          <w:b/>
          <w:bCs/>
          <w:color w:val="auto"/>
          <w:sz w:val="40"/>
          <w:szCs w:val="44"/>
        </w:rPr>
        <w:t>第二部分 通用合同条款</w:t>
      </w:r>
      <w:bookmarkEnd w:id="237"/>
      <w:bookmarkEnd w:id="238"/>
    </w:p>
    <w:p w14:paraId="129FE389">
      <w:pPr>
        <w:jc w:val="center"/>
        <w:rPr>
          <w:rFonts w:ascii="宋体" w:hAnsi="宋体"/>
          <w:color w:val="auto"/>
          <w:szCs w:val="21"/>
        </w:rPr>
      </w:pPr>
      <w:r>
        <w:rPr>
          <w:rFonts w:hint="eastAsia"/>
          <w:b/>
          <w:bCs/>
          <w:color w:val="auto"/>
          <w:szCs w:val="21"/>
        </w:rPr>
        <w:t>（引用《建设工程施工合同（GF-2017-0201）》通用条款）</w:t>
      </w:r>
    </w:p>
    <w:p w14:paraId="6D13127B">
      <w:pPr>
        <w:rPr>
          <w:rFonts w:ascii="宋体" w:hAnsi="宋体"/>
          <w:color w:val="auto"/>
          <w:sz w:val="20"/>
        </w:rPr>
      </w:pPr>
      <w:r>
        <w:rPr>
          <w:rFonts w:hint="eastAsia" w:ascii="宋体" w:hAnsi="宋体"/>
          <w:color w:val="auto"/>
          <w:sz w:val="20"/>
        </w:rPr>
        <w:br w:type="page"/>
      </w:r>
    </w:p>
    <w:p w14:paraId="532FD477">
      <w:pPr>
        <w:spacing w:line="360" w:lineRule="auto"/>
        <w:jc w:val="center"/>
        <w:rPr>
          <w:rFonts w:ascii="宋体" w:hAnsi="宋体" w:cs="宋体"/>
          <w:color w:val="auto"/>
          <w:sz w:val="32"/>
          <w:szCs w:val="32"/>
        </w:rPr>
      </w:pPr>
      <w:r>
        <w:rPr>
          <w:rFonts w:hint="eastAsia" w:ascii="宋体" w:hAnsi="宋体" w:cs="宋体"/>
          <w:color w:val="auto"/>
          <w:sz w:val="32"/>
          <w:szCs w:val="32"/>
        </w:rPr>
        <w:t>第三部分 专用合同条款</w:t>
      </w:r>
    </w:p>
    <w:p w14:paraId="063D6E99">
      <w:pPr>
        <w:spacing w:line="360" w:lineRule="auto"/>
        <w:rPr>
          <w:rFonts w:ascii="宋体" w:hAnsi="宋体" w:cs="宋体"/>
          <w:color w:val="auto"/>
          <w:szCs w:val="21"/>
          <w:shd w:val="pct10" w:color="auto" w:fill="FFFFFF"/>
        </w:rPr>
      </w:pPr>
      <w:bookmarkStart w:id="239" w:name="_Toc351203633"/>
      <w:r>
        <w:rPr>
          <w:rFonts w:hint="eastAsia" w:ascii="宋体" w:hAnsi="宋体" w:cs="宋体"/>
          <w:color w:val="auto"/>
          <w:szCs w:val="21"/>
          <w:shd w:val="pct10" w:color="auto" w:fill="FFFFFF"/>
        </w:rPr>
        <w:t>1</w:t>
      </w:r>
      <w:bookmarkStart w:id="240" w:name="_Toc292559866"/>
      <w:bookmarkStart w:id="241" w:name="_Toc296890984"/>
      <w:bookmarkStart w:id="242" w:name="_Toc296347155"/>
      <w:bookmarkStart w:id="243" w:name="_Toc296944495"/>
      <w:bookmarkStart w:id="244" w:name="_Toc296346657"/>
      <w:bookmarkStart w:id="245" w:name="_Toc297048342"/>
      <w:bookmarkStart w:id="246" w:name="_Toc296503156"/>
      <w:bookmarkStart w:id="247" w:name="_Toc292559361"/>
      <w:bookmarkStart w:id="248" w:name="_Toc296891196"/>
      <w:bookmarkStart w:id="249" w:name="_Toc297120456"/>
      <w:r>
        <w:rPr>
          <w:rFonts w:hint="eastAsia" w:ascii="宋体" w:hAnsi="宋体" w:cs="宋体"/>
          <w:color w:val="auto"/>
          <w:szCs w:val="21"/>
          <w:shd w:val="pct10" w:color="auto" w:fill="FFFFFF"/>
        </w:rPr>
        <w:t>. 一般约定</w:t>
      </w:r>
      <w:bookmarkEnd w:id="239"/>
    </w:p>
    <w:bookmarkEnd w:id="240"/>
    <w:bookmarkEnd w:id="241"/>
    <w:bookmarkEnd w:id="242"/>
    <w:bookmarkEnd w:id="243"/>
    <w:bookmarkEnd w:id="244"/>
    <w:bookmarkEnd w:id="245"/>
    <w:bookmarkEnd w:id="246"/>
    <w:bookmarkEnd w:id="247"/>
    <w:bookmarkEnd w:id="248"/>
    <w:bookmarkEnd w:id="249"/>
    <w:p w14:paraId="529DBD6D">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1.1 词语定义</w:t>
      </w:r>
    </w:p>
    <w:p w14:paraId="3C231601">
      <w:pPr>
        <w:spacing w:line="360" w:lineRule="auto"/>
        <w:rPr>
          <w:rFonts w:ascii="宋体" w:hAnsi="宋体" w:cs="宋体"/>
          <w:color w:val="auto"/>
          <w:szCs w:val="21"/>
        </w:rPr>
      </w:pPr>
      <w:r>
        <w:rPr>
          <w:rFonts w:hint="eastAsia" w:ascii="宋体" w:hAnsi="宋体" w:cs="宋体"/>
          <w:color w:val="auto"/>
          <w:szCs w:val="21"/>
        </w:rPr>
        <w:t>1.1.1合同</w:t>
      </w:r>
    </w:p>
    <w:p w14:paraId="1A65C4A7">
      <w:pPr>
        <w:spacing w:line="360" w:lineRule="auto"/>
        <w:ind w:left="141" w:leftChars="67" w:firstLine="140" w:firstLineChars="67"/>
        <w:rPr>
          <w:rFonts w:ascii="宋体" w:hAnsi="宋体" w:cs="宋体"/>
          <w:color w:val="auto"/>
          <w:szCs w:val="21"/>
        </w:rPr>
      </w:pPr>
      <w:r>
        <w:rPr>
          <w:rFonts w:hint="eastAsia" w:ascii="宋体" w:hAnsi="宋体" w:cs="宋体"/>
          <w:color w:val="auto"/>
          <w:szCs w:val="21"/>
        </w:rPr>
        <w:t>1.1.1.10其他合同文件包括：</w:t>
      </w:r>
      <w:r>
        <w:rPr>
          <w:rFonts w:hint="eastAsia" w:ascii="宋体" w:hAnsi="宋体" w:cs="宋体"/>
          <w:color w:val="auto"/>
          <w:szCs w:val="21"/>
          <w:u w:val="thick"/>
        </w:rPr>
        <w:t>双方签署的有关本工程的补充协议、补充条款、施工现场统一管理协议、和解调解协议、有关工程洽商、变更、工程会议纪要及备忘录、招标文件及附件、投标文件中的项目管理机构人员配备表等</w:t>
      </w:r>
      <w:r>
        <w:rPr>
          <w:rFonts w:hint="eastAsia" w:ascii="宋体" w:hAnsi="宋体" w:cs="宋体"/>
          <w:color w:val="auto"/>
          <w:szCs w:val="21"/>
        </w:rPr>
        <w:t>。</w:t>
      </w:r>
    </w:p>
    <w:p w14:paraId="7E67EADA">
      <w:pPr>
        <w:spacing w:line="360" w:lineRule="auto"/>
        <w:rPr>
          <w:rFonts w:ascii="宋体" w:hAnsi="宋体" w:cs="宋体"/>
          <w:color w:val="auto"/>
          <w:szCs w:val="21"/>
        </w:rPr>
      </w:pPr>
      <w:r>
        <w:rPr>
          <w:rFonts w:hint="eastAsia" w:ascii="宋体" w:hAnsi="宋体" w:cs="宋体"/>
          <w:color w:val="auto"/>
          <w:szCs w:val="21"/>
        </w:rPr>
        <w:t>1.1.2 合同当事人及其他相关方。</w:t>
      </w:r>
    </w:p>
    <w:p w14:paraId="43D01149">
      <w:pPr>
        <w:spacing w:line="360" w:lineRule="auto"/>
        <w:rPr>
          <w:rFonts w:ascii="宋体" w:hAnsi="宋体" w:cs="宋体"/>
          <w:color w:val="auto"/>
          <w:szCs w:val="21"/>
        </w:rPr>
      </w:pPr>
      <w:r>
        <w:rPr>
          <w:rFonts w:hint="eastAsia" w:ascii="宋体" w:hAnsi="宋体" w:cs="宋体"/>
          <w:color w:val="auto"/>
          <w:szCs w:val="21"/>
        </w:rPr>
        <w:t>1.1.2.4监理人：</w:t>
      </w:r>
    </w:p>
    <w:p w14:paraId="46728C63">
      <w:pPr>
        <w:spacing w:line="360" w:lineRule="auto"/>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thick"/>
        </w:rPr>
        <w:t xml:space="preserve">                                            </w:t>
      </w:r>
      <w:r>
        <w:rPr>
          <w:rFonts w:hint="eastAsia" w:ascii="宋体" w:hAnsi="宋体" w:cs="宋体"/>
          <w:color w:val="auto"/>
          <w:szCs w:val="21"/>
        </w:rPr>
        <w:t>；</w:t>
      </w:r>
    </w:p>
    <w:p w14:paraId="35A2B993">
      <w:pPr>
        <w:spacing w:line="360" w:lineRule="auto"/>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thick"/>
        </w:rPr>
        <w:t xml:space="preserve">                                      </w:t>
      </w:r>
      <w:r>
        <w:rPr>
          <w:rFonts w:hint="eastAsia" w:ascii="宋体" w:hAnsi="宋体" w:cs="宋体"/>
          <w:color w:val="auto"/>
          <w:szCs w:val="21"/>
        </w:rPr>
        <w:t>；</w:t>
      </w:r>
    </w:p>
    <w:p w14:paraId="724845B0">
      <w:pPr>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thick"/>
        </w:rPr>
        <w:t xml:space="preserve">                                            </w:t>
      </w:r>
      <w:r>
        <w:rPr>
          <w:rFonts w:hint="eastAsia" w:ascii="宋体" w:hAnsi="宋体" w:cs="宋体"/>
          <w:color w:val="auto"/>
          <w:szCs w:val="21"/>
        </w:rPr>
        <w:t>；</w:t>
      </w:r>
    </w:p>
    <w:p w14:paraId="39C4F416">
      <w:pPr>
        <w:spacing w:line="360" w:lineRule="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thick"/>
        </w:rPr>
        <w:t xml:space="preserve">                                            </w:t>
      </w:r>
      <w:r>
        <w:rPr>
          <w:rFonts w:hint="eastAsia" w:ascii="宋体" w:hAnsi="宋体" w:cs="宋体"/>
          <w:color w:val="auto"/>
          <w:szCs w:val="21"/>
        </w:rPr>
        <w:t>；</w:t>
      </w:r>
    </w:p>
    <w:p w14:paraId="70852B0F">
      <w:pPr>
        <w:spacing w:line="360" w:lineRule="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thick"/>
        </w:rPr>
        <w:t xml:space="preserve">                                            </w:t>
      </w:r>
      <w:r>
        <w:rPr>
          <w:rFonts w:hint="eastAsia" w:ascii="宋体" w:hAnsi="宋体" w:cs="宋体"/>
          <w:color w:val="auto"/>
          <w:szCs w:val="21"/>
        </w:rPr>
        <w:t>。</w:t>
      </w:r>
    </w:p>
    <w:p w14:paraId="1B903C2A">
      <w:pPr>
        <w:spacing w:line="360" w:lineRule="auto"/>
        <w:rPr>
          <w:rFonts w:ascii="宋体" w:hAnsi="宋体" w:cs="宋体"/>
          <w:color w:val="auto"/>
          <w:szCs w:val="21"/>
        </w:rPr>
      </w:pPr>
      <w:r>
        <w:rPr>
          <w:rFonts w:hint="eastAsia" w:ascii="宋体" w:hAnsi="宋体" w:cs="宋体"/>
          <w:color w:val="auto"/>
          <w:szCs w:val="21"/>
        </w:rPr>
        <w:t>1.1.2.5 设计人：</w:t>
      </w:r>
    </w:p>
    <w:p w14:paraId="7AEF57A4">
      <w:pPr>
        <w:spacing w:line="360" w:lineRule="auto"/>
        <w:rPr>
          <w:rFonts w:ascii="宋体" w:hAnsi="宋体" w:cs="宋体"/>
          <w:color w:val="auto"/>
          <w:szCs w:val="21"/>
        </w:rPr>
      </w:pPr>
      <w:r>
        <w:rPr>
          <w:rFonts w:hint="eastAsia" w:ascii="宋体" w:hAnsi="宋体" w:cs="宋体"/>
          <w:color w:val="auto"/>
          <w:szCs w:val="21"/>
        </w:rPr>
        <w:t>名    称：</w:t>
      </w:r>
      <w:r>
        <w:rPr>
          <w:rFonts w:hint="eastAsia" w:ascii="宋体" w:hAnsi="宋体" w:cs="宋体"/>
          <w:color w:val="auto"/>
          <w:szCs w:val="21"/>
          <w:u w:val="thick"/>
        </w:rPr>
        <w:t xml:space="preserve">                                             </w:t>
      </w:r>
      <w:r>
        <w:rPr>
          <w:rFonts w:hint="eastAsia" w:ascii="宋体" w:hAnsi="宋体" w:cs="宋体"/>
          <w:color w:val="auto"/>
          <w:szCs w:val="21"/>
        </w:rPr>
        <w:t>；</w:t>
      </w:r>
    </w:p>
    <w:p w14:paraId="72A4BA7E">
      <w:pPr>
        <w:spacing w:line="360" w:lineRule="auto"/>
        <w:rPr>
          <w:rFonts w:ascii="宋体" w:hAnsi="宋体" w:cs="宋体"/>
          <w:color w:val="auto"/>
          <w:szCs w:val="21"/>
        </w:rPr>
      </w:pPr>
      <w:r>
        <w:rPr>
          <w:rFonts w:hint="eastAsia" w:ascii="宋体" w:hAnsi="宋体" w:cs="宋体"/>
          <w:color w:val="auto"/>
          <w:szCs w:val="21"/>
        </w:rPr>
        <w:t>资质类别和等级：</w:t>
      </w:r>
      <w:r>
        <w:rPr>
          <w:rFonts w:hint="eastAsia" w:ascii="宋体" w:hAnsi="宋体" w:cs="宋体"/>
          <w:color w:val="auto"/>
          <w:szCs w:val="21"/>
          <w:u w:val="thick"/>
        </w:rPr>
        <w:t xml:space="preserve">                                       </w:t>
      </w:r>
      <w:r>
        <w:rPr>
          <w:rFonts w:hint="eastAsia" w:ascii="宋体" w:hAnsi="宋体" w:cs="宋体"/>
          <w:color w:val="auto"/>
          <w:szCs w:val="21"/>
        </w:rPr>
        <w:t>；</w:t>
      </w:r>
    </w:p>
    <w:p w14:paraId="42F4591E">
      <w:pPr>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thick"/>
        </w:rPr>
        <w:t xml:space="preserve">                                             </w:t>
      </w:r>
      <w:r>
        <w:rPr>
          <w:rFonts w:hint="eastAsia" w:ascii="宋体" w:hAnsi="宋体" w:cs="宋体"/>
          <w:color w:val="auto"/>
          <w:szCs w:val="21"/>
        </w:rPr>
        <w:t>；</w:t>
      </w:r>
    </w:p>
    <w:p w14:paraId="0E3184AB">
      <w:pPr>
        <w:spacing w:line="360" w:lineRule="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thick"/>
        </w:rPr>
        <w:t xml:space="preserve">                                             </w:t>
      </w:r>
      <w:r>
        <w:rPr>
          <w:rFonts w:hint="eastAsia" w:ascii="宋体" w:hAnsi="宋体" w:cs="宋体"/>
          <w:color w:val="auto"/>
          <w:szCs w:val="21"/>
        </w:rPr>
        <w:t>；</w:t>
      </w:r>
    </w:p>
    <w:p w14:paraId="1BE84C23">
      <w:pPr>
        <w:spacing w:line="360" w:lineRule="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thick"/>
        </w:rPr>
        <w:t xml:space="preserve">                                             </w:t>
      </w:r>
      <w:r>
        <w:rPr>
          <w:rFonts w:hint="eastAsia" w:ascii="宋体" w:hAnsi="宋体" w:cs="宋体"/>
          <w:color w:val="auto"/>
          <w:szCs w:val="21"/>
        </w:rPr>
        <w:t>。</w:t>
      </w:r>
    </w:p>
    <w:p w14:paraId="0931C5B0">
      <w:pPr>
        <w:spacing w:line="360" w:lineRule="auto"/>
        <w:rPr>
          <w:rFonts w:ascii="宋体" w:hAnsi="宋体" w:cs="宋体"/>
          <w:color w:val="auto"/>
          <w:szCs w:val="21"/>
        </w:rPr>
      </w:pPr>
      <w:r>
        <w:rPr>
          <w:rFonts w:hint="eastAsia" w:ascii="宋体" w:hAnsi="宋体" w:cs="宋体"/>
          <w:color w:val="auto"/>
          <w:szCs w:val="21"/>
        </w:rPr>
        <w:t>1.1.3 工程和设备</w:t>
      </w:r>
    </w:p>
    <w:p w14:paraId="27099C09">
      <w:pPr>
        <w:spacing w:line="360" w:lineRule="auto"/>
        <w:rPr>
          <w:rFonts w:ascii="宋体" w:hAnsi="宋体" w:cs="宋体"/>
          <w:color w:val="auto"/>
          <w:szCs w:val="21"/>
        </w:rPr>
      </w:pPr>
      <w:r>
        <w:rPr>
          <w:rFonts w:hint="eastAsia" w:ascii="宋体" w:hAnsi="宋体" w:cs="宋体"/>
          <w:color w:val="auto"/>
          <w:szCs w:val="21"/>
        </w:rPr>
        <w:t>1.1.3.7 作为施工现场组成部分的其他场所包括：</w:t>
      </w:r>
      <w:r>
        <w:rPr>
          <w:rFonts w:hint="eastAsia" w:ascii="宋体" w:hAnsi="宋体" w:cs="宋体"/>
          <w:color w:val="auto"/>
          <w:szCs w:val="21"/>
          <w:u w:val="thick"/>
        </w:rPr>
        <w:t>临时租用的土地、修建现场围墙占用的公共人行道、占路、占用公共场地等</w:t>
      </w:r>
      <w:r>
        <w:rPr>
          <w:rFonts w:hint="eastAsia" w:ascii="宋体" w:hAnsi="宋体" w:cs="宋体"/>
          <w:color w:val="auto"/>
          <w:szCs w:val="21"/>
        </w:rPr>
        <w:t>。</w:t>
      </w:r>
    </w:p>
    <w:p w14:paraId="41E981FC">
      <w:pPr>
        <w:spacing w:line="360" w:lineRule="auto"/>
        <w:rPr>
          <w:rFonts w:ascii="宋体" w:hAnsi="宋体" w:cs="宋体"/>
          <w:color w:val="auto"/>
          <w:szCs w:val="21"/>
        </w:rPr>
      </w:pPr>
      <w:r>
        <w:rPr>
          <w:rFonts w:hint="eastAsia" w:ascii="宋体" w:hAnsi="宋体" w:cs="宋体"/>
          <w:color w:val="auto"/>
          <w:szCs w:val="21"/>
        </w:rPr>
        <w:t>1.1.3.9 永久占地包括：</w:t>
      </w:r>
      <w:r>
        <w:rPr>
          <w:rFonts w:hint="eastAsia" w:ascii="宋体" w:hAnsi="宋体" w:cs="宋体"/>
          <w:color w:val="auto"/>
          <w:szCs w:val="21"/>
          <w:u w:val="thick"/>
        </w:rPr>
        <w:t>依据图纸确定建设永久工程的用地及永久工程的附属设施用地</w:t>
      </w:r>
      <w:r>
        <w:rPr>
          <w:rFonts w:hint="eastAsia" w:ascii="宋体" w:hAnsi="宋体" w:cs="宋体"/>
          <w:color w:val="auto"/>
          <w:szCs w:val="21"/>
        </w:rPr>
        <w:t>。</w:t>
      </w:r>
    </w:p>
    <w:p w14:paraId="36EC2C02">
      <w:pPr>
        <w:spacing w:line="360" w:lineRule="auto"/>
        <w:rPr>
          <w:rFonts w:ascii="宋体" w:hAnsi="宋体" w:cs="宋体"/>
          <w:color w:val="auto"/>
          <w:szCs w:val="21"/>
        </w:rPr>
      </w:pPr>
      <w:r>
        <w:rPr>
          <w:rFonts w:hint="eastAsia" w:ascii="宋体" w:hAnsi="宋体" w:cs="宋体"/>
          <w:color w:val="auto"/>
          <w:szCs w:val="21"/>
        </w:rPr>
        <w:t xml:space="preserve">1.1.3.10 临时占地包括： </w:t>
      </w:r>
      <w:r>
        <w:rPr>
          <w:rFonts w:hint="eastAsia" w:ascii="宋体" w:hAnsi="宋体" w:cs="宋体"/>
          <w:color w:val="auto"/>
          <w:szCs w:val="21"/>
          <w:u w:val="thick"/>
        </w:rPr>
        <w:t>双方在合同履行中建设临时工程的用地或用于施工所需场地，如：临建用地、仓储、组装用地、居住生活用地，临时占路、占人行道、占公共用地等</w:t>
      </w:r>
      <w:r>
        <w:rPr>
          <w:rFonts w:hint="eastAsia" w:ascii="宋体" w:hAnsi="宋体" w:cs="宋体"/>
          <w:color w:val="auto"/>
          <w:szCs w:val="21"/>
        </w:rPr>
        <w:t>。</w:t>
      </w:r>
    </w:p>
    <w:p w14:paraId="6076542E">
      <w:pPr>
        <w:spacing w:line="360" w:lineRule="auto"/>
        <w:rPr>
          <w:rFonts w:ascii="宋体" w:hAnsi="宋体" w:cs="宋体"/>
          <w:color w:val="auto"/>
          <w:szCs w:val="21"/>
        </w:rPr>
      </w:pPr>
      <w:r>
        <w:rPr>
          <w:rFonts w:hint="eastAsia" w:ascii="宋体" w:hAnsi="宋体" w:cs="宋体"/>
          <w:color w:val="auto"/>
          <w:szCs w:val="21"/>
          <w:shd w:val="pct10" w:color="auto" w:fill="FFFFFF"/>
        </w:rPr>
        <w:t>1.3法律</w:t>
      </w:r>
      <w:r>
        <w:rPr>
          <w:rFonts w:hint="eastAsia" w:ascii="宋体" w:hAnsi="宋体" w:cs="宋体"/>
          <w:color w:val="auto"/>
          <w:szCs w:val="21"/>
        </w:rPr>
        <w:t xml:space="preserve"> </w:t>
      </w:r>
    </w:p>
    <w:p w14:paraId="02C8A53C">
      <w:pPr>
        <w:spacing w:line="360" w:lineRule="auto"/>
        <w:rPr>
          <w:rFonts w:ascii="宋体" w:hAnsi="宋体" w:cs="宋体"/>
          <w:color w:val="auto"/>
          <w:szCs w:val="21"/>
        </w:rPr>
      </w:pPr>
      <w:r>
        <w:rPr>
          <w:rFonts w:hint="eastAsia" w:ascii="宋体" w:hAnsi="宋体" w:cs="宋体"/>
          <w:color w:val="auto"/>
          <w:szCs w:val="21"/>
        </w:rPr>
        <w:t>适用于合同的其他规范性文件：</w:t>
      </w:r>
      <w:r>
        <w:rPr>
          <w:rFonts w:hint="eastAsia" w:ascii="宋体" w:hAnsi="宋体" w:cs="宋体"/>
          <w:color w:val="auto"/>
          <w:szCs w:val="21"/>
          <w:u w:val="thick"/>
        </w:rPr>
        <w:t>《中华人民共和国建筑法》、《中华人民共和国招标投标法》、《中华人民共和国民法典》、《建设工程质量管理条例》、《建设工程安全生产管理条例》以及工程所在地政府及建设行政主管部门颁发的有关对工程施工、质量、验收等的规定及其它相关规定</w:t>
      </w:r>
      <w:r>
        <w:rPr>
          <w:rFonts w:hint="eastAsia" w:ascii="宋体" w:hAnsi="宋体" w:cs="宋体"/>
          <w:color w:val="auto"/>
          <w:szCs w:val="21"/>
        </w:rPr>
        <w:t>。</w:t>
      </w:r>
    </w:p>
    <w:p w14:paraId="664F650F">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1.4 标准和规范</w:t>
      </w:r>
    </w:p>
    <w:p w14:paraId="4E787CD9">
      <w:pPr>
        <w:spacing w:line="360" w:lineRule="auto"/>
        <w:rPr>
          <w:rFonts w:ascii="宋体" w:hAnsi="宋体" w:cs="宋体"/>
          <w:color w:val="auto"/>
          <w:szCs w:val="21"/>
        </w:rPr>
      </w:pPr>
      <w:r>
        <w:rPr>
          <w:rFonts w:hint="eastAsia" w:ascii="宋体" w:hAnsi="宋体" w:cs="宋体"/>
          <w:color w:val="auto"/>
          <w:szCs w:val="21"/>
        </w:rPr>
        <w:t>1.4.1适用于工程的标准规范包括：</w:t>
      </w:r>
      <w:r>
        <w:rPr>
          <w:rFonts w:hint="eastAsia" w:ascii="宋体" w:hAnsi="宋体" w:cs="宋体"/>
          <w:color w:val="auto"/>
          <w:szCs w:val="21"/>
          <w:u w:val="thick"/>
        </w:rPr>
        <w:t>国家现行施工及验收规范以及招标文件中技术规范中各有关部分及所列标准、规范</w:t>
      </w:r>
      <w:r>
        <w:rPr>
          <w:rFonts w:hint="eastAsia" w:ascii="宋体" w:hAnsi="宋体" w:cs="宋体"/>
          <w:color w:val="auto"/>
          <w:szCs w:val="21"/>
        </w:rPr>
        <w:t>。</w:t>
      </w:r>
    </w:p>
    <w:p w14:paraId="733E9D9B">
      <w:pPr>
        <w:spacing w:line="360" w:lineRule="auto"/>
        <w:rPr>
          <w:rFonts w:ascii="宋体" w:hAnsi="宋体" w:cs="宋体"/>
          <w:color w:val="auto"/>
          <w:szCs w:val="21"/>
        </w:rPr>
      </w:pPr>
      <w:r>
        <w:rPr>
          <w:rFonts w:hint="eastAsia" w:ascii="宋体" w:hAnsi="宋体" w:cs="宋体"/>
          <w:color w:val="auto"/>
          <w:szCs w:val="21"/>
        </w:rPr>
        <w:t>1.4.2 发包人提供国外标准、规范的名称：</w:t>
      </w:r>
      <w:r>
        <w:rPr>
          <w:rFonts w:hint="eastAsia" w:ascii="宋体" w:hAnsi="宋体" w:cs="宋体"/>
          <w:color w:val="auto"/>
          <w:szCs w:val="21"/>
          <w:u w:val="thick"/>
        </w:rPr>
        <w:t xml:space="preserve">  如需要，协商解决  </w:t>
      </w:r>
      <w:r>
        <w:rPr>
          <w:rFonts w:hint="eastAsia" w:ascii="宋体" w:hAnsi="宋体" w:cs="宋体"/>
          <w:color w:val="auto"/>
          <w:szCs w:val="21"/>
        </w:rPr>
        <w:t>；</w:t>
      </w:r>
    </w:p>
    <w:p w14:paraId="7C81B454">
      <w:pPr>
        <w:spacing w:line="360" w:lineRule="auto"/>
        <w:rPr>
          <w:rFonts w:ascii="宋体" w:hAnsi="宋体" w:cs="宋体"/>
          <w:color w:val="auto"/>
          <w:szCs w:val="21"/>
        </w:rPr>
      </w:pPr>
      <w:r>
        <w:rPr>
          <w:rFonts w:hint="eastAsia" w:ascii="宋体" w:hAnsi="宋体" w:cs="宋体"/>
          <w:color w:val="auto"/>
          <w:szCs w:val="21"/>
        </w:rPr>
        <w:t>发包人提供国外标准、规范的份数：</w:t>
      </w:r>
      <w:r>
        <w:rPr>
          <w:rFonts w:hint="eastAsia" w:ascii="宋体" w:hAnsi="宋体" w:cs="宋体"/>
          <w:color w:val="auto"/>
          <w:szCs w:val="21"/>
          <w:u w:val="thick"/>
        </w:rPr>
        <w:t xml:space="preserve">  如需要，协商解决  </w:t>
      </w:r>
      <w:r>
        <w:rPr>
          <w:rFonts w:hint="eastAsia" w:ascii="宋体" w:hAnsi="宋体" w:cs="宋体"/>
          <w:color w:val="auto"/>
          <w:szCs w:val="21"/>
        </w:rPr>
        <w:t>；</w:t>
      </w:r>
    </w:p>
    <w:p w14:paraId="02817C17">
      <w:pPr>
        <w:spacing w:line="360" w:lineRule="auto"/>
        <w:rPr>
          <w:rFonts w:ascii="宋体" w:hAnsi="宋体" w:cs="宋体"/>
          <w:color w:val="auto"/>
          <w:szCs w:val="21"/>
        </w:rPr>
      </w:pPr>
      <w:r>
        <w:rPr>
          <w:rFonts w:hint="eastAsia" w:ascii="宋体" w:hAnsi="宋体" w:cs="宋体"/>
          <w:color w:val="auto"/>
          <w:szCs w:val="21"/>
        </w:rPr>
        <w:t>发包人提供国外标准、规范的名称：</w:t>
      </w:r>
      <w:r>
        <w:rPr>
          <w:rFonts w:hint="eastAsia" w:ascii="宋体" w:hAnsi="宋体" w:cs="宋体"/>
          <w:color w:val="auto"/>
          <w:szCs w:val="21"/>
          <w:u w:val="thick"/>
        </w:rPr>
        <w:t xml:space="preserve">  如需要，协商解决  </w:t>
      </w:r>
      <w:r>
        <w:rPr>
          <w:rFonts w:hint="eastAsia" w:ascii="宋体" w:hAnsi="宋体" w:cs="宋体"/>
          <w:color w:val="auto"/>
          <w:szCs w:val="21"/>
        </w:rPr>
        <w:t>。</w:t>
      </w:r>
    </w:p>
    <w:p w14:paraId="140004F9">
      <w:pPr>
        <w:spacing w:line="360" w:lineRule="auto"/>
        <w:rPr>
          <w:rFonts w:ascii="宋体" w:hAnsi="宋体" w:cs="宋体"/>
          <w:color w:val="auto"/>
          <w:szCs w:val="21"/>
        </w:rPr>
      </w:pPr>
      <w:r>
        <w:rPr>
          <w:rFonts w:hint="eastAsia" w:ascii="宋体" w:hAnsi="宋体" w:cs="宋体"/>
          <w:color w:val="auto"/>
          <w:szCs w:val="21"/>
        </w:rPr>
        <w:t>1.4.3发包人对工程的技术标准和功能要求的特殊要求：</w:t>
      </w:r>
    </w:p>
    <w:p w14:paraId="1E1809C0">
      <w:pPr>
        <w:spacing w:line="360" w:lineRule="auto"/>
        <w:rPr>
          <w:rFonts w:ascii="宋体" w:hAnsi="宋体" w:cs="宋体"/>
          <w:color w:val="auto"/>
          <w:szCs w:val="21"/>
          <w:u w:val="thick"/>
        </w:rPr>
      </w:pPr>
      <w:r>
        <w:rPr>
          <w:rFonts w:hint="eastAsia" w:ascii="宋体" w:hAnsi="宋体" w:cs="宋体"/>
          <w:color w:val="auto"/>
          <w:szCs w:val="21"/>
          <w:u w:val="thick"/>
        </w:rPr>
        <w:t>(1)签订合同后7日内，发包人向承包人免费提供3份施工设计图纸，承包人可自费复制更多的份数</w:t>
      </w:r>
      <w:r>
        <w:rPr>
          <w:rFonts w:hint="eastAsia" w:ascii="宋体" w:hAnsi="宋体" w:cs="宋体"/>
          <w:color w:val="auto"/>
          <w:szCs w:val="21"/>
        </w:rPr>
        <w:t>。</w:t>
      </w:r>
    </w:p>
    <w:p w14:paraId="35AFFA74">
      <w:pPr>
        <w:spacing w:line="360" w:lineRule="auto"/>
        <w:rPr>
          <w:rFonts w:ascii="宋体" w:hAnsi="宋体" w:cs="宋体"/>
          <w:color w:val="auto"/>
          <w:szCs w:val="21"/>
          <w:u w:val="thick"/>
        </w:rPr>
      </w:pPr>
      <w:r>
        <w:rPr>
          <w:rFonts w:hint="eastAsia" w:ascii="宋体" w:hAnsi="宋体" w:cs="宋体"/>
          <w:color w:val="auto"/>
          <w:szCs w:val="21"/>
          <w:u w:val="thick"/>
        </w:rPr>
        <w:t>(2)由发包人提供的图纸、规范和其它文件，未经发包人代表许可，承包人不得以任何形式用于或转给第三方。工程质量保修期满后，除承包人存档需要的图纸外，应将全部图纸退还给发包人</w:t>
      </w:r>
      <w:r>
        <w:rPr>
          <w:rFonts w:hint="eastAsia" w:ascii="宋体" w:hAnsi="宋体" w:cs="宋体"/>
          <w:color w:val="auto"/>
          <w:szCs w:val="21"/>
        </w:rPr>
        <w:t>。</w:t>
      </w:r>
    </w:p>
    <w:p w14:paraId="54699D6D">
      <w:pPr>
        <w:spacing w:line="360" w:lineRule="auto"/>
        <w:rPr>
          <w:rFonts w:ascii="宋体" w:hAnsi="宋体" w:cs="宋体"/>
          <w:color w:val="auto"/>
          <w:szCs w:val="21"/>
          <w:u w:val="thick"/>
        </w:rPr>
      </w:pPr>
      <w:r>
        <w:rPr>
          <w:rFonts w:hint="eastAsia" w:ascii="宋体" w:hAnsi="宋体" w:cs="宋体"/>
          <w:color w:val="auto"/>
          <w:szCs w:val="21"/>
          <w:u w:val="thick"/>
        </w:rPr>
        <w:t>(3)向承包人提供的或由承包人提交的上述图纸副本，应由承包人保留在现场，并且这些图纸在所有合理的时间内皆可供发包人或由发包人书面授权的其他人进行检查和使用</w:t>
      </w:r>
      <w:r>
        <w:rPr>
          <w:rFonts w:hint="eastAsia" w:ascii="宋体" w:hAnsi="宋体" w:cs="宋体"/>
          <w:color w:val="auto"/>
          <w:szCs w:val="21"/>
        </w:rPr>
        <w:t>。</w:t>
      </w:r>
    </w:p>
    <w:p w14:paraId="695AA296">
      <w:pPr>
        <w:spacing w:line="360" w:lineRule="auto"/>
        <w:rPr>
          <w:rFonts w:ascii="宋体" w:hAnsi="宋体" w:cs="宋体"/>
          <w:color w:val="auto"/>
          <w:szCs w:val="21"/>
          <w:u w:val="thick"/>
        </w:rPr>
      </w:pPr>
      <w:r>
        <w:rPr>
          <w:rFonts w:hint="eastAsia" w:ascii="宋体" w:hAnsi="宋体" w:cs="宋体"/>
          <w:color w:val="auto"/>
          <w:szCs w:val="21"/>
          <w:u w:val="thick"/>
        </w:rPr>
        <w:t>(4)发包人代表有权随时向承包人发出为使工程合理正确施工竣工以及保修所需的补充文件和指示。承包人应执行这些补充文件和指示，并受其约束</w:t>
      </w:r>
      <w:r>
        <w:rPr>
          <w:rFonts w:hint="eastAsia" w:ascii="宋体" w:hAnsi="宋体" w:cs="宋体"/>
          <w:color w:val="auto"/>
          <w:szCs w:val="21"/>
        </w:rPr>
        <w:t>。</w:t>
      </w:r>
    </w:p>
    <w:p w14:paraId="62520309">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1.5合同文件的优先顺序</w:t>
      </w:r>
    </w:p>
    <w:p w14:paraId="4FCD5354">
      <w:pPr>
        <w:spacing w:line="360" w:lineRule="auto"/>
        <w:rPr>
          <w:rFonts w:ascii="宋体" w:hAnsi="宋体" w:cs="宋体"/>
          <w:color w:val="auto"/>
          <w:szCs w:val="21"/>
        </w:rPr>
      </w:pPr>
      <w:r>
        <w:rPr>
          <w:rFonts w:hint="eastAsia" w:ascii="宋体" w:hAnsi="宋体" w:cs="宋体"/>
          <w:color w:val="auto"/>
          <w:szCs w:val="21"/>
        </w:rPr>
        <w:t>合同文件组成及优先顺序为：</w:t>
      </w:r>
      <w:r>
        <w:rPr>
          <w:rFonts w:hint="eastAsia" w:ascii="宋体" w:hAnsi="宋体" w:cs="宋体"/>
          <w:color w:val="auto"/>
          <w:szCs w:val="21"/>
          <w:u w:val="thick"/>
        </w:rPr>
        <w:t xml:space="preserve"> 执行本合同通用合同条款第1.5款 </w:t>
      </w:r>
      <w:r>
        <w:rPr>
          <w:rFonts w:hint="eastAsia" w:ascii="宋体" w:hAnsi="宋体" w:cs="宋体"/>
          <w:color w:val="auto"/>
          <w:szCs w:val="21"/>
        </w:rPr>
        <w:t>。</w:t>
      </w:r>
    </w:p>
    <w:p w14:paraId="29ECDAAA">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1.6 图纸和承包人文件</w:t>
      </w:r>
    </w:p>
    <w:p w14:paraId="154421A6">
      <w:pPr>
        <w:spacing w:line="360" w:lineRule="auto"/>
        <w:rPr>
          <w:rFonts w:ascii="宋体" w:hAnsi="宋体" w:cs="宋体"/>
          <w:color w:val="auto"/>
          <w:szCs w:val="21"/>
        </w:rPr>
      </w:pPr>
      <w:r>
        <w:rPr>
          <w:rFonts w:hint="eastAsia" w:ascii="宋体" w:hAnsi="宋体" w:cs="宋体"/>
          <w:color w:val="auto"/>
          <w:szCs w:val="21"/>
        </w:rPr>
        <w:t>1.6.1 图纸的提供</w:t>
      </w:r>
    </w:p>
    <w:p w14:paraId="6EC171E3">
      <w:pPr>
        <w:spacing w:line="360" w:lineRule="auto"/>
        <w:rPr>
          <w:rFonts w:ascii="宋体" w:hAnsi="宋体" w:cs="宋体"/>
          <w:color w:val="auto"/>
          <w:szCs w:val="21"/>
        </w:rPr>
      </w:pPr>
      <w:r>
        <w:rPr>
          <w:rFonts w:hint="eastAsia" w:ascii="宋体" w:hAnsi="宋体" w:cs="宋体"/>
          <w:color w:val="auto"/>
          <w:szCs w:val="21"/>
        </w:rPr>
        <w:t>发包人向承包人提供图纸的期限：</w:t>
      </w:r>
      <w:r>
        <w:rPr>
          <w:rFonts w:hint="eastAsia" w:ascii="宋体" w:hAnsi="宋体" w:cs="宋体"/>
          <w:color w:val="auto"/>
          <w:szCs w:val="21"/>
          <w:u w:val="thick"/>
        </w:rPr>
        <w:t xml:space="preserve"> 最迟开工通知载明的开工日期14天前  </w:t>
      </w:r>
      <w:r>
        <w:rPr>
          <w:rFonts w:hint="eastAsia" w:ascii="宋体" w:hAnsi="宋体" w:cs="宋体"/>
          <w:color w:val="auto"/>
          <w:szCs w:val="21"/>
        </w:rPr>
        <w:t>；</w:t>
      </w:r>
    </w:p>
    <w:p w14:paraId="4CDB0A37">
      <w:pPr>
        <w:spacing w:line="360" w:lineRule="auto"/>
        <w:rPr>
          <w:rFonts w:ascii="宋体" w:hAnsi="宋体" w:cs="宋体"/>
          <w:color w:val="auto"/>
          <w:szCs w:val="21"/>
        </w:rPr>
      </w:pPr>
      <w:r>
        <w:rPr>
          <w:rFonts w:hint="eastAsia" w:ascii="宋体" w:hAnsi="宋体" w:cs="宋体"/>
          <w:color w:val="auto"/>
          <w:szCs w:val="21"/>
        </w:rPr>
        <w:t>发包人向承包人提供图纸的数量：</w:t>
      </w:r>
      <w:r>
        <w:rPr>
          <w:rFonts w:hint="eastAsia" w:ascii="宋体" w:hAnsi="宋体" w:cs="宋体"/>
          <w:color w:val="auto"/>
          <w:szCs w:val="21"/>
          <w:u w:val="thick"/>
        </w:rPr>
        <w:t xml:space="preserve">              3套                   </w:t>
      </w:r>
      <w:r>
        <w:rPr>
          <w:rFonts w:hint="eastAsia" w:ascii="宋体" w:hAnsi="宋体" w:cs="宋体"/>
          <w:color w:val="auto"/>
          <w:szCs w:val="21"/>
        </w:rPr>
        <w:t>；</w:t>
      </w:r>
    </w:p>
    <w:p w14:paraId="172AF635">
      <w:pPr>
        <w:spacing w:line="360" w:lineRule="auto"/>
        <w:rPr>
          <w:rFonts w:ascii="宋体" w:hAnsi="宋体" w:cs="宋体"/>
          <w:color w:val="auto"/>
          <w:szCs w:val="21"/>
        </w:rPr>
      </w:pPr>
      <w:r>
        <w:rPr>
          <w:rFonts w:hint="eastAsia" w:ascii="宋体" w:hAnsi="宋体" w:cs="宋体"/>
          <w:color w:val="auto"/>
          <w:szCs w:val="21"/>
        </w:rPr>
        <w:t>发包人向承包人提供图纸的内容：</w:t>
      </w:r>
      <w:r>
        <w:rPr>
          <w:rFonts w:hint="eastAsia" w:ascii="宋体" w:hAnsi="宋体" w:cs="宋体"/>
          <w:color w:val="auto"/>
          <w:szCs w:val="21"/>
          <w:u w:val="thick"/>
        </w:rPr>
        <w:t>包括所有有关本工程施工的图纸。施工设计采用的标准图集、技术标准及规范由承包人自备</w:t>
      </w:r>
      <w:r>
        <w:rPr>
          <w:rFonts w:hint="eastAsia" w:ascii="宋体" w:hAnsi="宋体" w:cs="宋体"/>
          <w:color w:val="auto"/>
          <w:szCs w:val="21"/>
        </w:rPr>
        <w:t>。</w:t>
      </w:r>
    </w:p>
    <w:p w14:paraId="00376A3D">
      <w:pPr>
        <w:spacing w:line="360" w:lineRule="auto"/>
        <w:rPr>
          <w:rFonts w:ascii="宋体" w:hAnsi="宋体" w:cs="宋体"/>
          <w:color w:val="auto"/>
          <w:szCs w:val="21"/>
        </w:rPr>
      </w:pPr>
      <w:r>
        <w:rPr>
          <w:rFonts w:hint="eastAsia" w:ascii="宋体" w:hAnsi="宋体" w:cs="宋体"/>
          <w:color w:val="auto"/>
          <w:szCs w:val="21"/>
        </w:rPr>
        <w:t>增加：</w:t>
      </w:r>
      <w:r>
        <w:rPr>
          <w:rFonts w:hint="eastAsia" w:ascii="宋体" w:hAnsi="宋体" w:cs="宋体"/>
          <w:color w:val="auto"/>
          <w:szCs w:val="21"/>
          <w:u w:val="thick"/>
        </w:rPr>
        <w:t>发包人代表有权随时向承包人发出为使工程合理正确施工、竣工以及保修所需的补充文件和指示。承包人应执行这些补充文件和指示，并受其约束</w:t>
      </w:r>
      <w:r>
        <w:rPr>
          <w:rFonts w:hint="eastAsia" w:ascii="宋体" w:hAnsi="宋体" w:cs="宋体"/>
          <w:color w:val="auto"/>
          <w:szCs w:val="21"/>
        </w:rPr>
        <w:t>。</w:t>
      </w:r>
    </w:p>
    <w:p w14:paraId="2BACBE8D">
      <w:pPr>
        <w:spacing w:line="360" w:lineRule="auto"/>
        <w:rPr>
          <w:rFonts w:ascii="宋体" w:hAnsi="宋体" w:cs="宋体"/>
          <w:color w:val="auto"/>
          <w:szCs w:val="21"/>
        </w:rPr>
      </w:pPr>
      <w:r>
        <w:rPr>
          <w:rFonts w:hint="eastAsia" w:ascii="宋体" w:hAnsi="宋体" w:cs="宋体"/>
          <w:color w:val="auto"/>
          <w:szCs w:val="21"/>
        </w:rPr>
        <w:t>1.6.4 承包人文件</w:t>
      </w:r>
    </w:p>
    <w:p w14:paraId="5FD176B6">
      <w:pPr>
        <w:spacing w:line="360" w:lineRule="auto"/>
        <w:rPr>
          <w:rFonts w:ascii="宋体" w:hAnsi="宋体" w:cs="宋体"/>
          <w:color w:val="auto"/>
          <w:szCs w:val="21"/>
        </w:rPr>
      </w:pPr>
      <w:r>
        <w:rPr>
          <w:rFonts w:hint="eastAsia" w:ascii="宋体" w:hAnsi="宋体" w:cs="宋体"/>
          <w:color w:val="auto"/>
          <w:szCs w:val="21"/>
        </w:rPr>
        <w:t>需要由承包人提供的文件，包括：</w:t>
      </w:r>
      <w:r>
        <w:rPr>
          <w:rFonts w:hint="eastAsia" w:ascii="宋体" w:hAnsi="宋体" w:cs="宋体"/>
          <w:color w:val="auto"/>
          <w:szCs w:val="21"/>
          <w:u w:val="thick"/>
        </w:rPr>
        <w:t>施工组织设计和施工进度计划，专项施工方案，材料和设备采购计划以及经深化后的施工图纸(如果有)等</w:t>
      </w:r>
      <w:r>
        <w:rPr>
          <w:rFonts w:hint="eastAsia" w:ascii="宋体" w:hAnsi="宋体" w:cs="宋体"/>
          <w:color w:val="auto"/>
          <w:szCs w:val="21"/>
        </w:rPr>
        <w:t>；</w:t>
      </w:r>
    </w:p>
    <w:p w14:paraId="2E5DCC34">
      <w:pPr>
        <w:spacing w:line="360" w:lineRule="auto"/>
        <w:rPr>
          <w:rFonts w:ascii="宋体" w:hAnsi="宋体" w:cs="宋体"/>
          <w:color w:val="auto"/>
          <w:szCs w:val="21"/>
        </w:rPr>
      </w:pPr>
      <w:r>
        <w:rPr>
          <w:rFonts w:hint="eastAsia" w:ascii="宋体" w:hAnsi="宋体" w:cs="宋体"/>
          <w:color w:val="auto"/>
          <w:szCs w:val="21"/>
        </w:rPr>
        <w:t>承包人提供的文件的期限为：</w:t>
      </w:r>
      <w:r>
        <w:rPr>
          <w:rFonts w:hint="eastAsia" w:ascii="宋体" w:hAnsi="宋体" w:cs="宋体"/>
          <w:color w:val="auto"/>
          <w:szCs w:val="21"/>
          <w:u w:val="thick"/>
        </w:rPr>
        <w:t xml:space="preserve">       最迟开工7天前                     </w:t>
      </w:r>
      <w:r>
        <w:rPr>
          <w:rFonts w:hint="eastAsia" w:ascii="宋体" w:hAnsi="宋体" w:cs="宋体"/>
          <w:color w:val="auto"/>
          <w:szCs w:val="21"/>
        </w:rPr>
        <w:t>；</w:t>
      </w:r>
    </w:p>
    <w:p w14:paraId="438952CD">
      <w:pPr>
        <w:spacing w:line="360" w:lineRule="auto"/>
        <w:rPr>
          <w:rFonts w:ascii="宋体" w:hAnsi="宋体" w:cs="宋体"/>
          <w:color w:val="auto"/>
          <w:szCs w:val="21"/>
        </w:rPr>
      </w:pPr>
      <w:r>
        <w:rPr>
          <w:rFonts w:hint="eastAsia" w:ascii="宋体" w:hAnsi="宋体" w:cs="宋体"/>
          <w:color w:val="auto"/>
          <w:szCs w:val="21"/>
        </w:rPr>
        <w:t>承包人提供的文件的数量为：</w:t>
      </w:r>
      <w:r>
        <w:rPr>
          <w:rFonts w:hint="eastAsia" w:ascii="宋体" w:hAnsi="宋体" w:cs="宋体"/>
          <w:color w:val="auto"/>
          <w:szCs w:val="21"/>
          <w:u w:val="thick"/>
        </w:rPr>
        <w:t xml:space="preserve">              3份                          </w:t>
      </w:r>
      <w:r>
        <w:rPr>
          <w:rFonts w:hint="eastAsia" w:ascii="宋体" w:hAnsi="宋体" w:cs="宋体"/>
          <w:color w:val="auto"/>
          <w:szCs w:val="21"/>
        </w:rPr>
        <w:t>；</w:t>
      </w:r>
    </w:p>
    <w:p w14:paraId="7C4DA9BA">
      <w:pPr>
        <w:spacing w:line="360" w:lineRule="auto"/>
        <w:rPr>
          <w:rFonts w:ascii="宋体" w:hAnsi="宋体" w:cs="宋体"/>
          <w:color w:val="auto"/>
          <w:szCs w:val="21"/>
        </w:rPr>
      </w:pPr>
      <w:r>
        <w:rPr>
          <w:rFonts w:hint="eastAsia" w:ascii="宋体" w:hAnsi="宋体" w:cs="宋体"/>
          <w:color w:val="auto"/>
          <w:szCs w:val="21"/>
        </w:rPr>
        <w:t>承包人提供的文件的形式为：</w:t>
      </w:r>
      <w:r>
        <w:rPr>
          <w:rFonts w:hint="eastAsia" w:ascii="宋体" w:hAnsi="宋体" w:cs="宋体"/>
          <w:color w:val="auto"/>
          <w:szCs w:val="21"/>
          <w:u w:val="thick"/>
        </w:rPr>
        <w:t xml:space="preserve">      纸质文件和电子文件                   </w:t>
      </w:r>
      <w:r>
        <w:rPr>
          <w:rFonts w:hint="eastAsia" w:ascii="宋体" w:hAnsi="宋体" w:cs="宋体"/>
          <w:color w:val="auto"/>
          <w:szCs w:val="21"/>
        </w:rPr>
        <w:t>；</w:t>
      </w:r>
    </w:p>
    <w:p w14:paraId="7E4DA08C">
      <w:pPr>
        <w:spacing w:line="360" w:lineRule="auto"/>
        <w:rPr>
          <w:rFonts w:ascii="宋体" w:hAnsi="宋体" w:cs="宋体"/>
          <w:color w:val="auto"/>
          <w:szCs w:val="21"/>
        </w:rPr>
      </w:pPr>
      <w:r>
        <w:rPr>
          <w:rFonts w:hint="eastAsia" w:ascii="宋体" w:hAnsi="宋体" w:cs="宋体"/>
          <w:color w:val="auto"/>
          <w:szCs w:val="21"/>
        </w:rPr>
        <w:t>发包人审批承包人文件的期限：</w:t>
      </w:r>
      <w:r>
        <w:rPr>
          <w:rFonts w:hint="eastAsia" w:ascii="宋体" w:hAnsi="宋体" w:cs="宋体"/>
          <w:color w:val="auto"/>
          <w:szCs w:val="21"/>
          <w:u w:val="thick"/>
        </w:rPr>
        <w:t xml:space="preserve">   收到承包人文件后7天内                </w:t>
      </w:r>
      <w:r>
        <w:rPr>
          <w:rFonts w:hint="eastAsia" w:ascii="宋体" w:hAnsi="宋体" w:cs="宋体"/>
          <w:color w:val="auto"/>
          <w:szCs w:val="21"/>
        </w:rPr>
        <w:t>。</w:t>
      </w:r>
    </w:p>
    <w:p w14:paraId="0943306E">
      <w:pPr>
        <w:spacing w:line="360" w:lineRule="auto"/>
        <w:rPr>
          <w:rFonts w:ascii="宋体" w:hAnsi="宋体" w:cs="宋体"/>
          <w:color w:val="auto"/>
          <w:szCs w:val="21"/>
        </w:rPr>
      </w:pPr>
      <w:r>
        <w:rPr>
          <w:rFonts w:hint="eastAsia" w:ascii="宋体" w:hAnsi="宋体" w:cs="宋体"/>
          <w:color w:val="auto"/>
          <w:szCs w:val="21"/>
        </w:rPr>
        <w:t>1.6.5 现场图纸准备</w:t>
      </w:r>
    </w:p>
    <w:p w14:paraId="48A2635E">
      <w:pPr>
        <w:spacing w:line="360" w:lineRule="auto"/>
        <w:rPr>
          <w:rFonts w:ascii="宋体" w:hAnsi="宋体" w:cs="宋体"/>
          <w:color w:val="auto"/>
          <w:szCs w:val="21"/>
        </w:rPr>
      </w:pPr>
      <w:r>
        <w:rPr>
          <w:rFonts w:hint="eastAsia" w:ascii="宋体" w:hAnsi="宋体" w:cs="宋体"/>
          <w:color w:val="auto"/>
          <w:szCs w:val="21"/>
        </w:rPr>
        <w:t>关于现场图纸准备的约定：</w:t>
      </w:r>
      <w:r>
        <w:rPr>
          <w:rFonts w:hint="eastAsia" w:ascii="宋体" w:hAnsi="宋体" w:cs="宋体"/>
          <w:color w:val="auto"/>
          <w:szCs w:val="21"/>
          <w:u w:val="thick"/>
        </w:rPr>
        <w:t>由承包人将施工图纸和承包人文件保留在现场，并与承包人自行使用的施工图纸和承包人文件区分开，单独存放。这些图纸和承包人文件在所有合理的时间内皆可供发包人、监理人或由发包人书面授权的其他人进行检查和使用</w:t>
      </w:r>
      <w:r>
        <w:rPr>
          <w:rFonts w:hint="eastAsia" w:ascii="宋体" w:hAnsi="宋体" w:cs="宋体"/>
          <w:color w:val="auto"/>
          <w:szCs w:val="21"/>
        </w:rPr>
        <w:t>。</w:t>
      </w:r>
    </w:p>
    <w:p w14:paraId="06942A4B">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1.7 联   络</w:t>
      </w:r>
    </w:p>
    <w:p w14:paraId="51813BD8">
      <w:pPr>
        <w:spacing w:line="360" w:lineRule="auto"/>
        <w:rPr>
          <w:rFonts w:ascii="宋体" w:hAnsi="宋体" w:cs="宋体"/>
          <w:color w:val="auto"/>
          <w:szCs w:val="21"/>
        </w:rPr>
      </w:pPr>
      <w:r>
        <w:rPr>
          <w:rFonts w:hint="eastAsia" w:ascii="宋体" w:hAnsi="宋体" w:cs="宋体"/>
          <w:color w:val="auto"/>
          <w:szCs w:val="21"/>
        </w:rPr>
        <w:t>1.7.1发包人和承包人应当在</w:t>
      </w:r>
      <w:r>
        <w:rPr>
          <w:rFonts w:hint="eastAsia" w:ascii="宋体" w:hAnsi="宋体" w:cs="宋体"/>
          <w:color w:val="auto"/>
          <w:szCs w:val="21"/>
          <w:u w:val="thick"/>
        </w:rPr>
        <w:t xml:space="preserve"> 2 </w:t>
      </w:r>
      <w:r>
        <w:rPr>
          <w:rFonts w:hint="eastAsia" w:ascii="宋体" w:hAnsi="宋体" w:cs="宋体"/>
          <w:color w:val="auto"/>
          <w:szCs w:val="21"/>
        </w:rPr>
        <w:t>天内将与合同有关的通知、批准、证明、证书、指示、指令、要求、请求、同意、意见、确定和决定等书面函件送达对方当事人。</w:t>
      </w:r>
    </w:p>
    <w:p w14:paraId="4DCC391B">
      <w:pPr>
        <w:spacing w:line="360" w:lineRule="auto"/>
        <w:rPr>
          <w:rFonts w:ascii="宋体" w:hAnsi="宋体" w:cs="宋体"/>
          <w:color w:val="auto"/>
          <w:szCs w:val="21"/>
        </w:rPr>
      </w:pPr>
      <w:r>
        <w:rPr>
          <w:rFonts w:hint="eastAsia" w:ascii="宋体" w:hAnsi="宋体" w:cs="宋体"/>
          <w:color w:val="auto"/>
          <w:szCs w:val="21"/>
        </w:rPr>
        <w:t>1.7.2 发包人接收文件的地点：</w:t>
      </w:r>
      <w:r>
        <w:rPr>
          <w:rFonts w:hint="eastAsia" w:ascii="宋体" w:hAnsi="宋体" w:cs="宋体"/>
          <w:color w:val="auto"/>
          <w:szCs w:val="21"/>
          <w:u w:val="thick"/>
        </w:rPr>
        <w:t xml:space="preserve">    项目所在地发包人办公室   </w:t>
      </w:r>
      <w:r>
        <w:rPr>
          <w:rFonts w:hint="eastAsia" w:ascii="宋体" w:hAnsi="宋体" w:cs="宋体"/>
          <w:color w:val="auto"/>
          <w:szCs w:val="21"/>
        </w:rPr>
        <w:t>。</w:t>
      </w:r>
    </w:p>
    <w:p w14:paraId="62CC6F5D">
      <w:pPr>
        <w:spacing w:line="360" w:lineRule="auto"/>
        <w:rPr>
          <w:rFonts w:ascii="宋体" w:hAnsi="宋体" w:cs="宋体"/>
          <w:color w:val="auto"/>
          <w:szCs w:val="21"/>
        </w:rPr>
      </w:pPr>
      <w:r>
        <w:rPr>
          <w:rFonts w:hint="eastAsia" w:ascii="宋体" w:hAnsi="宋体" w:cs="宋体"/>
          <w:color w:val="auto"/>
          <w:szCs w:val="21"/>
        </w:rPr>
        <w:t>发包人指定的接收人为：</w:t>
      </w:r>
      <w:r>
        <w:rPr>
          <w:rFonts w:hint="eastAsia" w:ascii="宋体" w:hAnsi="宋体" w:cs="宋体"/>
          <w:color w:val="auto"/>
          <w:szCs w:val="21"/>
          <w:u w:val="thick"/>
        </w:rPr>
        <w:t xml:space="preserve">            发包人代表             </w:t>
      </w:r>
      <w:r>
        <w:rPr>
          <w:rFonts w:hint="eastAsia" w:ascii="宋体" w:hAnsi="宋体" w:cs="宋体"/>
          <w:color w:val="auto"/>
          <w:szCs w:val="21"/>
        </w:rPr>
        <w:t>。</w:t>
      </w:r>
    </w:p>
    <w:p w14:paraId="1CEE98BD">
      <w:pPr>
        <w:spacing w:line="360" w:lineRule="auto"/>
        <w:rPr>
          <w:rFonts w:ascii="宋体" w:hAnsi="宋体" w:cs="宋体"/>
          <w:color w:val="auto"/>
          <w:szCs w:val="21"/>
        </w:rPr>
      </w:pPr>
      <w:r>
        <w:rPr>
          <w:rFonts w:hint="eastAsia" w:ascii="宋体" w:hAnsi="宋体" w:cs="宋体"/>
          <w:color w:val="auto"/>
          <w:szCs w:val="21"/>
        </w:rPr>
        <w:t>监理人接收文件的地点：</w:t>
      </w:r>
      <w:r>
        <w:rPr>
          <w:rFonts w:hint="eastAsia" w:ascii="宋体" w:hAnsi="宋体" w:cs="宋体"/>
          <w:color w:val="auto"/>
          <w:szCs w:val="21"/>
          <w:u w:val="thick"/>
        </w:rPr>
        <w:t xml:space="preserve">      项目所在地监理人办公室       </w:t>
      </w:r>
      <w:r>
        <w:rPr>
          <w:rFonts w:hint="eastAsia" w:ascii="宋体" w:hAnsi="宋体" w:cs="宋体"/>
          <w:color w:val="auto"/>
          <w:szCs w:val="21"/>
        </w:rPr>
        <w:t>。</w:t>
      </w:r>
    </w:p>
    <w:p w14:paraId="45DDED59">
      <w:pPr>
        <w:spacing w:line="360" w:lineRule="auto"/>
        <w:rPr>
          <w:rFonts w:ascii="宋体" w:hAnsi="宋体" w:cs="宋体"/>
          <w:color w:val="auto"/>
          <w:szCs w:val="21"/>
        </w:rPr>
      </w:pPr>
      <w:r>
        <w:rPr>
          <w:rFonts w:hint="eastAsia" w:ascii="宋体" w:hAnsi="宋体" w:cs="宋体"/>
          <w:color w:val="auto"/>
          <w:szCs w:val="21"/>
        </w:rPr>
        <w:t>监理人指定的接收人为：</w:t>
      </w:r>
      <w:r>
        <w:rPr>
          <w:rFonts w:hint="eastAsia" w:ascii="宋体" w:hAnsi="宋体" w:cs="宋体"/>
          <w:color w:val="auto"/>
          <w:szCs w:val="21"/>
          <w:u w:val="thick"/>
        </w:rPr>
        <w:t xml:space="preserve">          总监代表和总监           </w:t>
      </w:r>
      <w:r>
        <w:rPr>
          <w:rFonts w:hint="eastAsia" w:ascii="宋体" w:hAnsi="宋体" w:cs="宋体"/>
          <w:color w:val="auto"/>
          <w:szCs w:val="21"/>
        </w:rPr>
        <w:t>。</w:t>
      </w:r>
    </w:p>
    <w:p w14:paraId="76AF4CBF">
      <w:pPr>
        <w:spacing w:line="360" w:lineRule="auto"/>
        <w:rPr>
          <w:rFonts w:ascii="宋体" w:hAnsi="宋体" w:cs="宋体"/>
          <w:color w:val="auto"/>
          <w:szCs w:val="21"/>
        </w:rPr>
      </w:pPr>
      <w:r>
        <w:rPr>
          <w:rFonts w:hint="eastAsia" w:ascii="宋体" w:hAnsi="宋体" w:cs="宋体"/>
          <w:color w:val="auto"/>
          <w:szCs w:val="21"/>
        </w:rPr>
        <w:t>承包人接收文件的地点：</w:t>
      </w:r>
      <w:r>
        <w:rPr>
          <w:rFonts w:hint="eastAsia" w:ascii="宋体" w:hAnsi="宋体" w:cs="宋体"/>
          <w:color w:val="auto"/>
          <w:szCs w:val="21"/>
          <w:u w:val="thick"/>
        </w:rPr>
        <w:t xml:space="preserve">       项目所在地承包人项目部      </w:t>
      </w:r>
      <w:r>
        <w:rPr>
          <w:rFonts w:hint="eastAsia" w:ascii="宋体" w:hAnsi="宋体" w:cs="宋体"/>
          <w:color w:val="auto"/>
          <w:szCs w:val="21"/>
        </w:rPr>
        <w:t>。</w:t>
      </w:r>
    </w:p>
    <w:p w14:paraId="7F59E16F">
      <w:pPr>
        <w:spacing w:line="360" w:lineRule="auto"/>
        <w:rPr>
          <w:rFonts w:ascii="宋体" w:hAnsi="宋体" w:cs="宋体"/>
          <w:color w:val="auto"/>
          <w:szCs w:val="21"/>
        </w:rPr>
      </w:pPr>
      <w:r>
        <w:rPr>
          <w:rFonts w:hint="eastAsia" w:ascii="宋体" w:hAnsi="宋体" w:cs="宋体"/>
          <w:color w:val="auto"/>
          <w:szCs w:val="21"/>
        </w:rPr>
        <w:t>承包人指定的接收人为：</w:t>
      </w:r>
      <w:r>
        <w:rPr>
          <w:rFonts w:hint="eastAsia" w:ascii="宋体" w:hAnsi="宋体" w:cs="宋体"/>
          <w:color w:val="auto"/>
          <w:szCs w:val="21"/>
          <w:u w:val="thick"/>
        </w:rPr>
        <w:t xml:space="preserve">           承包人项目经理          </w:t>
      </w:r>
      <w:r>
        <w:rPr>
          <w:rFonts w:hint="eastAsia" w:ascii="宋体" w:hAnsi="宋体" w:cs="宋体"/>
          <w:color w:val="auto"/>
          <w:szCs w:val="21"/>
        </w:rPr>
        <w:t>。</w:t>
      </w:r>
    </w:p>
    <w:p w14:paraId="32371C94">
      <w:pPr>
        <w:spacing w:line="360" w:lineRule="auto"/>
        <w:rPr>
          <w:rFonts w:ascii="宋体" w:hAnsi="宋体" w:cs="宋体"/>
          <w:color w:val="auto"/>
          <w:szCs w:val="21"/>
        </w:rPr>
      </w:pPr>
      <w:r>
        <w:rPr>
          <w:rFonts w:hint="eastAsia" w:ascii="宋体" w:hAnsi="宋体" w:cs="宋体"/>
          <w:color w:val="auto"/>
          <w:szCs w:val="21"/>
        </w:rPr>
        <w:t>增加：</w:t>
      </w:r>
      <w:r>
        <w:rPr>
          <w:rFonts w:hint="eastAsia" w:ascii="宋体" w:hAnsi="宋体" w:cs="宋体"/>
          <w:color w:val="auto"/>
          <w:szCs w:val="21"/>
          <w:u w:val="thick"/>
        </w:rPr>
        <w:t>若其中一方合同当事人指定的接收人或送达地点发生变动而未提前3天以书面形式通知对方的，由此造成的后果由变更一方承担，造成损失的应赔偿损失</w:t>
      </w:r>
      <w:r>
        <w:rPr>
          <w:rFonts w:hint="eastAsia" w:ascii="宋体" w:hAnsi="宋体" w:cs="宋体"/>
          <w:color w:val="auto"/>
          <w:szCs w:val="21"/>
        </w:rPr>
        <w:t>。</w:t>
      </w:r>
    </w:p>
    <w:p w14:paraId="0690750E">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1.10 交通运输</w:t>
      </w:r>
    </w:p>
    <w:p w14:paraId="1331E450">
      <w:pPr>
        <w:spacing w:line="360" w:lineRule="auto"/>
        <w:rPr>
          <w:rFonts w:ascii="宋体" w:hAnsi="宋体" w:cs="宋体"/>
          <w:color w:val="auto"/>
          <w:szCs w:val="21"/>
        </w:rPr>
      </w:pPr>
      <w:r>
        <w:rPr>
          <w:rFonts w:hint="eastAsia" w:ascii="宋体" w:hAnsi="宋体" w:cs="宋体"/>
          <w:color w:val="auto"/>
          <w:szCs w:val="21"/>
        </w:rPr>
        <w:t>1</w:t>
      </w:r>
      <w:bookmarkStart w:id="250" w:name="_Toc303539100"/>
      <w:bookmarkStart w:id="251" w:name="_Toc318581155"/>
      <w:bookmarkStart w:id="252" w:name="_Toc312677986"/>
      <w:bookmarkStart w:id="253" w:name="_Toc300934943"/>
      <w:bookmarkStart w:id="254" w:name="_Toc304295521"/>
      <w:r>
        <w:rPr>
          <w:rFonts w:hint="eastAsia" w:ascii="宋体" w:hAnsi="宋体" w:cs="宋体"/>
          <w:color w:val="auto"/>
          <w:szCs w:val="21"/>
        </w:rPr>
        <w:t>.10.1出入现场的权利</w:t>
      </w:r>
    </w:p>
    <w:p w14:paraId="52C6A463">
      <w:pPr>
        <w:spacing w:line="360" w:lineRule="auto"/>
        <w:rPr>
          <w:rFonts w:ascii="宋体" w:hAnsi="宋体" w:cs="宋体"/>
          <w:color w:val="auto"/>
          <w:szCs w:val="21"/>
        </w:rPr>
      </w:pPr>
      <w:r>
        <w:rPr>
          <w:rFonts w:hint="eastAsia" w:ascii="宋体" w:hAnsi="宋体" w:cs="宋体"/>
          <w:color w:val="auto"/>
          <w:szCs w:val="21"/>
        </w:rPr>
        <w:t>关于出入现场的权利的约定：</w:t>
      </w:r>
      <w:r>
        <w:rPr>
          <w:rFonts w:hint="eastAsia" w:ascii="宋体" w:hAnsi="宋体" w:cs="宋体"/>
          <w:color w:val="auto"/>
          <w:szCs w:val="21"/>
          <w:u w:val="thick"/>
        </w:rPr>
        <w:t>承包人负责整修进场道路、场内施工用道，满足施工及材料、设备运输的需要，费用由承包人承担。为满足施工需要的临时设施、辅助设施及安全防护设施所发生的费用，由承包人承担</w:t>
      </w:r>
      <w:r>
        <w:rPr>
          <w:rFonts w:hint="eastAsia" w:ascii="宋体" w:hAnsi="宋体" w:cs="宋体"/>
          <w:color w:val="auto"/>
          <w:szCs w:val="21"/>
        </w:rPr>
        <w:t>。</w:t>
      </w:r>
    </w:p>
    <w:bookmarkEnd w:id="250"/>
    <w:bookmarkEnd w:id="251"/>
    <w:bookmarkEnd w:id="252"/>
    <w:bookmarkEnd w:id="253"/>
    <w:bookmarkEnd w:id="254"/>
    <w:p w14:paraId="6CE61B8C">
      <w:pPr>
        <w:spacing w:line="360" w:lineRule="auto"/>
        <w:rPr>
          <w:rFonts w:ascii="宋体" w:hAnsi="宋体" w:cs="宋体"/>
          <w:color w:val="auto"/>
          <w:szCs w:val="21"/>
        </w:rPr>
      </w:pPr>
      <w:r>
        <w:rPr>
          <w:rFonts w:hint="eastAsia" w:ascii="宋体" w:hAnsi="宋体" w:cs="宋体"/>
          <w:color w:val="auto"/>
          <w:szCs w:val="21"/>
        </w:rPr>
        <w:t>1</w:t>
      </w:r>
      <w:bookmarkStart w:id="255" w:name="_Toc304295522"/>
      <w:bookmarkStart w:id="256" w:name="_Toc312677987"/>
      <w:bookmarkStart w:id="257" w:name="_Toc318581156"/>
      <w:bookmarkStart w:id="258" w:name="_Toc300934944"/>
      <w:bookmarkStart w:id="259" w:name="_Toc303539101"/>
      <w:r>
        <w:rPr>
          <w:rFonts w:hint="eastAsia" w:ascii="宋体" w:hAnsi="宋体" w:cs="宋体"/>
          <w:color w:val="auto"/>
          <w:szCs w:val="21"/>
        </w:rPr>
        <w:t>.10.3 场内交通</w:t>
      </w:r>
    </w:p>
    <w:p w14:paraId="0F2CD20D">
      <w:pPr>
        <w:spacing w:line="360" w:lineRule="auto"/>
        <w:rPr>
          <w:rFonts w:ascii="宋体" w:hAnsi="宋体" w:cs="宋体"/>
          <w:color w:val="auto"/>
          <w:szCs w:val="21"/>
        </w:rPr>
      </w:pPr>
      <w:r>
        <w:rPr>
          <w:rFonts w:hint="eastAsia" w:ascii="宋体" w:hAnsi="宋体" w:cs="宋体"/>
          <w:color w:val="auto"/>
          <w:szCs w:val="21"/>
        </w:rPr>
        <w:t>关于场外交通和场内交通的边界的约定：</w:t>
      </w:r>
      <w:r>
        <w:rPr>
          <w:rFonts w:hint="eastAsia" w:ascii="宋体" w:hAnsi="宋体" w:cs="宋体"/>
          <w:color w:val="auto"/>
          <w:szCs w:val="21"/>
          <w:u w:val="thick"/>
        </w:rPr>
        <w:t>临时进场道路与场外公共道路的交界线</w:t>
      </w:r>
      <w:r>
        <w:rPr>
          <w:rFonts w:hint="eastAsia" w:ascii="宋体" w:hAnsi="宋体" w:cs="宋体"/>
          <w:color w:val="auto"/>
          <w:szCs w:val="21"/>
        </w:rPr>
        <w:t>；</w:t>
      </w:r>
    </w:p>
    <w:p w14:paraId="6C9FEF77">
      <w:pPr>
        <w:spacing w:line="360" w:lineRule="auto"/>
        <w:rPr>
          <w:rFonts w:ascii="宋体" w:hAnsi="宋体" w:cs="宋体"/>
          <w:color w:val="auto"/>
          <w:szCs w:val="21"/>
        </w:rPr>
      </w:pPr>
      <w:r>
        <w:rPr>
          <w:rFonts w:hint="eastAsia" w:ascii="宋体" w:hAnsi="宋体" w:cs="宋体"/>
          <w:color w:val="auto"/>
          <w:szCs w:val="21"/>
        </w:rPr>
        <w:t>关于发包人向承包人免费提供满足工程施工需要的场内道路和交通设施的约定：</w:t>
      </w:r>
      <w:r>
        <w:rPr>
          <w:rFonts w:hint="eastAsia" w:ascii="宋体" w:hAnsi="宋体" w:cs="宋体"/>
          <w:color w:val="auto"/>
          <w:szCs w:val="21"/>
          <w:u w:val="thick"/>
        </w:rPr>
        <w:t>双方另行确定</w:t>
      </w:r>
      <w:r>
        <w:rPr>
          <w:rFonts w:hint="eastAsia" w:ascii="宋体" w:hAnsi="宋体" w:cs="宋体"/>
          <w:color w:val="auto"/>
          <w:szCs w:val="21"/>
        </w:rPr>
        <w:t>。</w:t>
      </w:r>
      <w:bookmarkEnd w:id="255"/>
      <w:bookmarkEnd w:id="256"/>
      <w:bookmarkEnd w:id="257"/>
      <w:bookmarkEnd w:id="258"/>
      <w:bookmarkEnd w:id="259"/>
      <w:bookmarkStart w:id="260" w:name="_Toc318581157"/>
    </w:p>
    <w:p w14:paraId="6F96B414">
      <w:pPr>
        <w:spacing w:line="360" w:lineRule="auto"/>
        <w:rPr>
          <w:rFonts w:ascii="宋体" w:hAnsi="宋体" w:cs="宋体"/>
          <w:color w:val="auto"/>
          <w:szCs w:val="21"/>
        </w:rPr>
      </w:pPr>
      <w:r>
        <w:rPr>
          <w:rFonts w:hint="eastAsia" w:ascii="宋体" w:hAnsi="宋体" w:cs="宋体"/>
          <w:color w:val="auto"/>
          <w:szCs w:val="21"/>
        </w:rPr>
        <w:t>1.10.4超大件和超重件的运输</w:t>
      </w:r>
    </w:p>
    <w:p w14:paraId="773F91D2">
      <w:pPr>
        <w:spacing w:line="360" w:lineRule="auto"/>
        <w:rPr>
          <w:rFonts w:ascii="宋体" w:hAnsi="宋体" w:cs="宋体"/>
          <w:color w:val="auto"/>
          <w:szCs w:val="21"/>
        </w:rPr>
      </w:pPr>
      <w:r>
        <w:rPr>
          <w:rFonts w:hint="eastAsia" w:ascii="宋体" w:hAnsi="宋体" w:cs="宋体"/>
          <w:color w:val="auto"/>
          <w:szCs w:val="21"/>
        </w:rPr>
        <w:t>运输超大件或超重件所需的道路和桥梁临时加固改造费用和其他有关费用由</w:t>
      </w:r>
      <w:r>
        <w:rPr>
          <w:rFonts w:hint="eastAsia" w:ascii="宋体" w:hAnsi="宋体" w:cs="宋体"/>
          <w:color w:val="auto"/>
          <w:szCs w:val="21"/>
          <w:u w:val="thick"/>
        </w:rPr>
        <w:t>承包人</w:t>
      </w:r>
      <w:r>
        <w:rPr>
          <w:rFonts w:hint="eastAsia" w:ascii="宋体" w:hAnsi="宋体" w:cs="宋体"/>
          <w:color w:val="auto"/>
          <w:szCs w:val="21"/>
        </w:rPr>
        <w:t>承担。</w:t>
      </w:r>
    </w:p>
    <w:bookmarkEnd w:id="260"/>
    <w:p w14:paraId="4E11648A">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1.11 知识产权</w:t>
      </w:r>
    </w:p>
    <w:p w14:paraId="644FFEA7">
      <w:pPr>
        <w:spacing w:line="360" w:lineRule="auto"/>
        <w:rPr>
          <w:rFonts w:ascii="宋体" w:hAnsi="宋体" w:cs="宋体"/>
          <w:color w:val="auto"/>
          <w:szCs w:val="21"/>
        </w:rPr>
      </w:pPr>
      <w:r>
        <w:rPr>
          <w:rFonts w:hint="eastAsia" w:ascii="宋体" w:hAnsi="宋体" w:cs="宋体"/>
          <w:color w:val="auto"/>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color w:val="auto"/>
          <w:szCs w:val="21"/>
          <w:u w:val="thick"/>
        </w:rPr>
        <w:t>执行通用条款</w:t>
      </w:r>
      <w:r>
        <w:rPr>
          <w:rFonts w:hint="eastAsia" w:ascii="宋体" w:hAnsi="宋体" w:cs="宋体"/>
          <w:color w:val="auto"/>
          <w:szCs w:val="21"/>
        </w:rPr>
        <w:t>；</w:t>
      </w:r>
    </w:p>
    <w:p w14:paraId="4636FA55">
      <w:pPr>
        <w:spacing w:line="360" w:lineRule="auto"/>
        <w:rPr>
          <w:rFonts w:ascii="宋体" w:hAnsi="宋体" w:cs="宋体"/>
          <w:color w:val="auto"/>
          <w:szCs w:val="21"/>
        </w:rPr>
      </w:pPr>
      <w:r>
        <w:rPr>
          <w:rFonts w:hint="eastAsia" w:ascii="宋体" w:hAnsi="宋体" w:cs="宋体"/>
          <w:color w:val="auto"/>
          <w:szCs w:val="21"/>
        </w:rPr>
        <w:t>关于发包人提供的上述文件的使用限制的要求：</w:t>
      </w:r>
      <w:r>
        <w:rPr>
          <w:rFonts w:hint="eastAsia" w:ascii="宋体" w:hAnsi="宋体" w:cs="宋体"/>
          <w:color w:val="auto"/>
          <w:szCs w:val="21"/>
          <w:u w:val="thick"/>
        </w:rPr>
        <w:t xml:space="preserve"> 执行通用条款 </w:t>
      </w:r>
      <w:r>
        <w:rPr>
          <w:rFonts w:hint="eastAsia" w:ascii="宋体" w:hAnsi="宋体" w:cs="宋体"/>
          <w:color w:val="auto"/>
          <w:szCs w:val="21"/>
        </w:rPr>
        <w:t>。</w:t>
      </w:r>
    </w:p>
    <w:p w14:paraId="723AD341">
      <w:pPr>
        <w:spacing w:line="360" w:lineRule="auto"/>
        <w:rPr>
          <w:rFonts w:ascii="宋体" w:hAnsi="宋体" w:cs="宋体"/>
          <w:color w:val="auto"/>
          <w:szCs w:val="21"/>
        </w:rPr>
      </w:pPr>
      <w:r>
        <w:rPr>
          <w:rFonts w:hint="eastAsia" w:ascii="宋体" w:hAnsi="宋体" w:cs="宋体"/>
          <w:color w:val="auto"/>
          <w:szCs w:val="21"/>
        </w:rPr>
        <w:t>1.11.2 关于承包人为实施工程所编制文件的著作权的归属：</w:t>
      </w:r>
      <w:r>
        <w:rPr>
          <w:rFonts w:hint="eastAsia" w:ascii="宋体" w:hAnsi="宋体" w:cs="宋体"/>
          <w:color w:val="auto"/>
          <w:szCs w:val="21"/>
          <w:u w:val="thick"/>
        </w:rPr>
        <w:t>执行通用条款</w:t>
      </w:r>
      <w:r>
        <w:rPr>
          <w:rFonts w:hint="eastAsia" w:ascii="宋体" w:hAnsi="宋体" w:cs="宋体"/>
          <w:color w:val="auto"/>
          <w:szCs w:val="21"/>
        </w:rPr>
        <w:t xml:space="preserve">。 </w:t>
      </w:r>
    </w:p>
    <w:p w14:paraId="3F0AE98B">
      <w:pPr>
        <w:spacing w:line="360" w:lineRule="auto"/>
        <w:rPr>
          <w:rFonts w:ascii="宋体" w:hAnsi="宋体" w:cs="宋体"/>
          <w:color w:val="auto"/>
          <w:szCs w:val="21"/>
        </w:rPr>
      </w:pPr>
      <w:r>
        <w:rPr>
          <w:rFonts w:hint="eastAsia" w:ascii="宋体" w:hAnsi="宋体" w:cs="宋体"/>
          <w:color w:val="auto"/>
          <w:szCs w:val="21"/>
        </w:rPr>
        <w:t>关于承包人提供的上述文件的使用限制的要求：</w:t>
      </w:r>
      <w:r>
        <w:rPr>
          <w:rFonts w:hint="eastAsia" w:ascii="宋体" w:hAnsi="宋体" w:cs="宋体"/>
          <w:color w:val="auto"/>
          <w:szCs w:val="21"/>
          <w:u w:val="thick"/>
        </w:rPr>
        <w:t>执行通用条款</w:t>
      </w:r>
      <w:r>
        <w:rPr>
          <w:rFonts w:hint="eastAsia" w:ascii="宋体" w:hAnsi="宋体" w:cs="宋体"/>
          <w:color w:val="auto"/>
          <w:szCs w:val="21"/>
        </w:rPr>
        <w:t xml:space="preserve">。  </w:t>
      </w:r>
    </w:p>
    <w:p w14:paraId="02BD4EF9">
      <w:pPr>
        <w:spacing w:line="360" w:lineRule="auto"/>
        <w:rPr>
          <w:rFonts w:ascii="宋体" w:hAnsi="宋体" w:cs="宋体"/>
          <w:color w:val="auto"/>
          <w:szCs w:val="21"/>
        </w:rPr>
      </w:pPr>
      <w:r>
        <w:rPr>
          <w:rFonts w:hint="eastAsia" w:ascii="宋体" w:hAnsi="宋体" w:cs="宋体"/>
          <w:color w:val="auto"/>
          <w:szCs w:val="21"/>
        </w:rPr>
        <w:t>1.11.4 承包人在施工过程中所采用的专利、专有技术、技术秘密的使用费的承担方式：</w:t>
      </w:r>
      <w:r>
        <w:rPr>
          <w:rFonts w:hint="eastAsia" w:ascii="宋体" w:hAnsi="宋体" w:cs="宋体"/>
          <w:color w:val="auto"/>
          <w:szCs w:val="21"/>
          <w:u w:val="thick"/>
        </w:rPr>
        <w:t>执行通用条款</w:t>
      </w:r>
      <w:r>
        <w:rPr>
          <w:rFonts w:hint="eastAsia" w:ascii="宋体" w:hAnsi="宋体" w:cs="宋体"/>
          <w:color w:val="auto"/>
          <w:szCs w:val="21"/>
        </w:rPr>
        <w:t>。</w:t>
      </w:r>
    </w:p>
    <w:p w14:paraId="7F9E4E80">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1.13工程量清单错误的修正</w:t>
      </w:r>
    </w:p>
    <w:p w14:paraId="47E2E45F">
      <w:pPr>
        <w:spacing w:line="360" w:lineRule="auto"/>
        <w:rPr>
          <w:rFonts w:ascii="宋体" w:hAnsi="宋体" w:cs="宋体"/>
          <w:color w:val="auto"/>
          <w:szCs w:val="21"/>
        </w:rPr>
      </w:pPr>
      <w:r>
        <w:rPr>
          <w:rFonts w:hint="eastAsia" w:ascii="宋体" w:hAnsi="宋体" w:cs="宋体"/>
          <w:color w:val="auto"/>
          <w:szCs w:val="21"/>
        </w:rPr>
        <w:t>出现工程量清单错误时，是否调整合同价格：</w:t>
      </w:r>
      <w:r>
        <w:rPr>
          <w:rFonts w:hint="eastAsia" w:ascii="宋体" w:hAnsi="宋体" w:cs="宋体"/>
          <w:color w:val="auto"/>
          <w:szCs w:val="21"/>
          <w:u w:val="thick"/>
        </w:rPr>
        <w:t xml:space="preserve"> 据实调整 </w:t>
      </w:r>
      <w:r>
        <w:rPr>
          <w:rFonts w:hint="eastAsia" w:ascii="宋体" w:hAnsi="宋体" w:cs="宋体"/>
          <w:color w:val="auto"/>
          <w:szCs w:val="21"/>
        </w:rPr>
        <w:t>。</w:t>
      </w:r>
    </w:p>
    <w:p w14:paraId="3A9CF64B">
      <w:pPr>
        <w:spacing w:line="360" w:lineRule="auto"/>
        <w:rPr>
          <w:rFonts w:ascii="宋体" w:hAnsi="宋体" w:cs="宋体"/>
          <w:color w:val="auto"/>
          <w:szCs w:val="21"/>
        </w:rPr>
      </w:pPr>
      <w:r>
        <w:rPr>
          <w:rFonts w:hint="eastAsia" w:ascii="宋体" w:hAnsi="宋体" w:cs="宋体"/>
          <w:color w:val="auto"/>
          <w:szCs w:val="21"/>
        </w:rPr>
        <w:t>允许调整合同价格的工程量偏差范围：</w:t>
      </w:r>
      <w:r>
        <w:rPr>
          <w:rFonts w:hint="eastAsia" w:ascii="宋体" w:hAnsi="宋体" w:cs="宋体"/>
          <w:color w:val="auto"/>
          <w:szCs w:val="21"/>
          <w:u w:val="thick"/>
        </w:rPr>
        <w:t xml:space="preserve">    /     </w:t>
      </w:r>
      <w:r>
        <w:rPr>
          <w:rFonts w:hint="eastAsia" w:ascii="宋体" w:hAnsi="宋体" w:cs="宋体"/>
          <w:color w:val="auto"/>
          <w:szCs w:val="21"/>
        </w:rPr>
        <w:t xml:space="preserve">。  </w:t>
      </w:r>
    </w:p>
    <w:p w14:paraId="616709E0">
      <w:pPr>
        <w:spacing w:line="360" w:lineRule="auto"/>
        <w:rPr>
          <w:rFonts w:ascii="宋体" w:hAnsi="宋体" w:cs="宋体"/>
          <w:color w:val="auto"/>
          <w:szCs w:val="21"/>
          <w:shd w:val="pct10" w:color="auto" w:fill="FFFFFF"/>
        </w:rPr>
      </w:pPr>
      <w:bookmarkStart w:id="261" w:name="_Toc351203634"/>
      <w:r>
        <w:rPr>
          <w:rFonts w:hint="eastAsia" w:ascii="宋体" w:hAnsi="宋体" w:cs="宋体"/>
          <w:color w:val="auto"/>
          <w:szCs w:val="21"/>
          <w:shd w:val="pct10" w:color="auto" w:fill="FFFFFF"/>
        </w:rPr>
        <w:t>2</w:t>
      </w:r>
      <w:bookmarkStart w:id="262" w:name="_Toc292559867"/>
      <w:bookmarkStart w:id="263" w:name="_Toc296346658"/>
      <w:bookmarkStart w:id="264" w:name="_Toc296503157"/>
      <w:bookmarkStart w:id="265" w:name="_Toc292559362"/>
      <w:bookmarkStart w:id="266" w:name="_Toc296944496"/>
      <w:bookmarkStart w:id="267" w:name="_Toc296347156"/>
      <w:bookmarkStart w:id="268" w:name="_Toc297048343"/>
      <w:bookmarkStart w:id="269" w:name="_Toc296890985"/>
      <w:bookmarkStart w:id="270" w:name="_Toc296891197"/>
      <w:bookmarkStart w:id="271" w:name="_Toc297120457"/>
      <w:r>
        <w:rPr>
          <w:rFonts w:hint="eastAsia" w:ascii="宋体" w:hAnsi="宋体" w:cs="宋体"/>
          <w:color w:val="auto"/>
          <w:szCs w:val="21"/>
          <w:shd w:val="pct10" w:color="auto" w:fill="FFFFFF"/>
        </w:rPr>
        <w:t>.发包人</w:t>
      </w:r>
      <w:bookmarkEnd w:id="261"/>
    </w:p>
    <w:bookmarkEnd w:id="262"/>
    <w:bookmarkEnd w:id="263"/>
    <w:bookmarkEnd w:id="264"/>
    <w:bookmarkEnd w:id="265"/>
    <w:bookmarkEnd w:id="266"/>
    <w:bookmarkEnd w:id="267"/>
    <w:bookmarkEnd w:id="268"/>
    <w:bookmarkEnd w:id="269"/>
    <w:bookmarkEnd w:id="270"/>
    <w:bookmarkEnd w:id="271"/>
    <w:p w14:paraId="00D0BBC8">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2.2 发包人代表</w:t>
      </w:r>
    </w:p>
    <w:p w14:paraId="48EFC31D">
      <w:pPr>
        <w:spacing w:line="360" w:lineRule="auto"/>
        <w:rPr>
          <w:rFonts w:ascii="宋体" w:hAnsi="宋体" w:cs="宋体"/>
          <w:color w:val="auto"/>
          <w:szCs w:val="21"/>
        </w:rPr>
      </w:pPr>
      <w:r>
        <w:rPr>
          <w:rFonts w:hint="eastAsia" w:ascii="宋体" w:hAnsi="宋体" w:cs="宋体"/>
          <w:color w:val="auto"/>
          <w:szCs w:val="21"/>
        </w:rPr>
        <w:t>发包人代表：</w:t>
      </w:r>
    </w:p>
    <w:p w14:paraId="1D45EC12">
      <w:pPr>
        <w:spacing w:line="360" w:lineRule="auto"/>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thick"/>
        </w:rPr>
        <w:t xml:space="preserve">                               </w:t>
      </w:r>
      <w:r>
        <w:rPr>
          <w:rFonts w:hint="eastAsia" w:ascii="宋体" w:hAnsi="宋体" w:cs="宋体"/>
          <w:color w:val="auto"/>
          <w:szCs w:val="21"/>
        </w:rPr>
        <w:t>；</w:t>
      </w:r>
    </w:p>
    <w:p w14:paraId="79F475D3">
      <w:pPr>
        <w:spacing w:line="360" w:lineRule="auto"/>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thick"/>
        </w:rPr>
        <w:t xml:space="preserve">                               </w:t>
      </w:r>
      <w:r>
        <w:rPr>
          <w:rFonts w:hint="eastAsia" w:ascii="宋体" w:hAnsi="宋体" w:cs="宋体"/>
          <w:color w:val="auto"/>
          <w:szCs w:val="21"/>
        </w:rPr>
        <w:t>；</w:t>
      </w:r>
    </w:p>
    <w:p w14:paraId="15C0468A">
      <w:pPr>
        <w:spacing w:line="360" w:lineRule="auto"/>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thick"/>
        </w:rPr>
        <w:t xml:space="preserve">                               </w:t>
      </w:r>
      <w:r>
        <w:rPr>
          <w:rFonts w:hint="eastAsia" w:ascii="宋体" w:hAnsi="宋体" w:cs="宋体"/>
          <w:color w:val="auto"/>
          <w:szCs w:val="21"/>
        </w:rPr>
        <w:t>；</w:t>
      </w:r>
    </w:p>
    <w:p w14:paraId="768C1E64">
      <w:pPr>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thick"/>
        </w:rPr>
        <w:t xml:space="preserve">                               </w:t>
      </w:r>
      <w:r>
        <w:rPr>
          <w:rFonts w:hint="eastAsia" w:ascii="宋体" w:hAnsi="宋体" w:cs="宋体"/>
          <w:color w:val="auto"/>
          <w:szCs w:val="21"/>
        </w:rPr>
        <w:t>；</w:t>
      </w:r>
    </w:p>
    <w:p w14:paraId="2F7506EA">
      <w:pPr>
        <w:spacing w:line="360" w:lineRule="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thick"/>
        </w:rPr>
        <w:t xml:space="preserve">                               </w:t>
      </w:r>
      <w:r>
        <w:rPr>
          <w:rFonts w:hint="eastAsia" w:ascii="宋体" w:hAnsi="宋体" w:cs="宋体"/>
          <w:color w:val="auto"/>
          <w:szCs w:val="21"/>
        </w:rPr>
        <w:t>；</w:t>
      </w:r>
    </w:p>
    <w:p w14:paraId="14BE2485">
      <w:pPr>
        <w:spacing w:line="360" w:lineRule="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thick"/>
        </w:rPr>
        <w:t xml:space="preserve">                               </w:t>
      </w:r>
      <w:r>
        <w:rPr>
          <w:rFonts w:hint="eastAsia" w:ascii="宋体" w:hAnsi="宋体" w:cs="宋体"/>
          <w:color w:val="auto"/>
          <w:szCs w:val="21"/>
        </w:rPr>
        <w:t>。</w:t>
      </w:r>
    </w:p>
    <w:p w14:paraId="5524821D">
      <w:pPr>
        <w:spacing w:line="360" w:lineRule="auto"/>
        <w:rPr>
          <w:rFonts w:ascii="宋体" w:hAnsi="宋体" w:cs="宋体"/>
          <w:color w:val="auto"/>
          <w:szCs w:val="21"/>
        </w:rPr>
      </w:pPr>
      <w:r>
        <w:rPr>
          <w:rFonts w:hint="eastAsia" w:ascii="宋体" w:hAnsi="宋体" w:cs="宋体"/>
          <w:color w:val="auto"/>
          <w:szCs w:val="21"/>
        </w:rPr>
        <w:t>发包人对发包人代表的授权范围如下：</w:t>
      </w:r>
    </w:p>
    <w:p w14:paraId="6E583E24">
      <w:pPr>
        <w:spacing w:line="360" w:lineRule="auto"/>
        <w:rPr>
          <w:rFonts w:ascii="宋体" w:hAnsi="宋体" w:cs="宋体"/>
          <w:color w:val="auto"/>
          <w:szCs w:val="21"/>
          <w:u w:val="thick"/>
        </w:rPr>
      </w:pPr>
      <w:r>
        <w:rPr>
          <w:rFonts w:hint="eastAsia" w:ascii="宋体" w:hAnsi="宋体" w:cs="宋体"/>
          <w:color w:val="auto"/>
          <w:szCs w:val="21"/>
          <w:u w:val="thick"/>
        </w:rPr>
        <w:t>(1)督促指导监理工程师行使职权</w:t>
      </w:r>
      <w:r>
        <w:rPr>
          <w:rFonts w:hint="eastAsia" w:ascii="宋体" w:hAnsi="宋体" w:cs="宋体"/>
          <w:color w:val="auto"/>
          <w:szCs w:val="21"/>
        </w:rPr>
        <w:t>；</w:t>
      </w:r>
    </w:p>
    <w:p w14:paraId="306F76AB">
      <w:pPr>
        <w:spacing w:line="360" w:lineRule="auto"/>
        <w:rPr>
          <w:rFonts w:ascii="宋体" w:hAnsi="宋体" w:cs="宋体"/>
          <w:color w:val="auto"/>
          <w:szCs w:val="21"/>
          <w:u w:val="thick"/>
        </w:rPr>
      </w:pPr>
      <w:r>
        <w:rPr>
          <w:rFonts w:hint="eastAsia" w:ascii="宋体" w:hAnsi="宋体" w:cs="宋体"/>
          <w:color w:val="auto"/>
          <w:szCs w:val="21"/>
          <w:u w:val="thick"/>
        </w:rPr>
        <w:t>(2)协调施工现场各方面的关系</w:t>
      </w:r>
      <w:r>
        <w:rPr>
          <w:rFonts w:hint="eastAsia" w:ascii="宋体" w:hAnsi="宋体" w:cs="宋体"/>
          <w:color w:val="auto"/>
          <w:szCs w:val="21"/>
        </w:rPr>
        <w:t>；</w:t>
      </w:r>
    </w:p>
    <w:p w14:paraId="16D787AF">
      <w:pPr>
        <w:spacing w:line="360" w:lineRule="auto"/>
        <w:rPr>
          <w:rFonts w:ascii="宋体" w:hAnsi="宋体" w:cs="宋体"/>
          <w:color w:val="auto"/>
          <w:szCs w:val="21"/>
          <w:u w:val="thick"/>
        </w:rPr>
      </w:pPr>
      <w:r>
        <w:rPr>
          <w:rFonts w:hint="eastAsia" w:ascii="宋体" w:hAnsi="宋体" w:cs="宋体"/>
          <w:color w:val="auto"/>
          <w:szCs w:val="21"/>
          <w:u w:val="thick"/>
        </w:rPr>
        <w:t>(3)参与工程质量、安全、投资、进度的管理</w:t>
      </w:r>
      <w:r>
        <w:rPr>
          <w:rFonts w:hint="eastAsia" w:ascii="宋体" w:hAnsi="宋体" w:cs="宋体"/>
          <w:color w:val="auto"/>
          <w:szCs w:val="21"/>
        </w:rPr>
        <w:t>；</w:t>
      </w:r>
    </w:p>
    <w:p w14:paraId="44FCD20B">
      <w:pPr>
        <w:spacing w:line="360" w:lineRule="auto"/>
        <w:rPr>
          <w:rFonts w:ascii="宋体" w:hAnsi="宋体" w:cs="宋体"/>
          <w:color w:val="auto"/>
          <w:szCs w:val="21"/>
          <w:u w:val="thick"/>
        </w:rPr>
      </w:pPr>
      <w:r>
        <w:rPr>
          <w:rFonts w:hint="eastAsia" w:ascii="宋体" w:hAnsi="宋体" w:cs="宋体"/>
          <w:color w:val="auto"/>
          <w:szCs w:val="21"/>
          <w:u w:val="thick"/>
        </w:rPr>
        <w:t>(4)解决有关设计和技术签证，办理、签认现场经济技术签证</w:t>
      </w:r>
      <w:r>
        <w:rPr>
          <w:rFonts w:hint="eastAsia" w:ascii="宋体" w:hAnsi="宋体" w:cs="宋体"/>
          <w:color w:val="auto"/>
          <w:szCs w:val="21"/>
        </w:rPr>
        <w:t>；</w:t>
      </w:r>
    </w:p>
    <w:p w14:paraId="52EA35A6">
      <w:pPr>
        <w:spacing w:line="360" w:lineRule="auto"/>
        <w:rPr>
          <w:rFonts w:ascii="宋体" w:hAnsi="宋体" w:cs="宋体"/>
          <w:color w:val="auto"/>
          <w:szCs w:val="21"/>
        </w:rPr>
      </w:pPr>
      <w:r>
        <w:rPr>
          <w:rFonts w:hint="eastAsia" w:ascii="宋体" w:hAnsi="宋体" w:cs="宋体"/>
          <w:color w:val="auto"/>
          <w:szCs w:val="21"/>
          <w:u w:val="thick"/>
        </w:rPr>
        <w:t>(5)审核工程进度报表</w:t>
      </w:r>
      <w:r>
        <w:rPr>
          <w:rFonts w:hint="eastAsia" w:ascii="宋体" w:hAnsi="宋体" w:cs="宋体"/>
          <w:color w:val="auto"/>
          <w:szCs w:val="21"/>
        </w:rPr>
        <w:t>。</w:t>
      </w:r>
    </w:p>
    <w:p w14:paraId="48F3166E">
      <w:pPr>
        <w:spacing w:line="360" w:lineRule="auto"/>
        <w:rPr>
          <w:rFonts w:ascii="宋体" w:hAnsi="宋体" w:cs="宋体"/>
          <w:color w:val="auto"/>
          <w:szCs w:val="21"/>
        </w:rPr>
      </w:pPr>
      <w:r>
        <w:rPr>
          <w:rFonts w:hint="eastAsia" w:ascii="宋体" w:hAnsi="宋体" w:cs="宋体"/>
          <w:color w:val="auto"/>
          <w:szCs w:val="21"/>
        </w:rPr>
        <w:t>增加：以下工作由发包人代表在监理人的配合下完成，但最终须经发包人书面同意：</w:t>
      </w:r>
    </w:p>
    <w:p w14:paraId="47599797">
      <w:pPr>
        <w:spacing w:line="360" w:lineRule="auto"/>
        <w:rPr>
          <w:rFonts w:ascii="宋体" w:hAnsi="宋体" w:cs="宋体"/>
          <w:color w:val="auto"/>
          <w:szCs w:val="21"/>
        </w:rPr>
      </w:pPr>
      <w:r>
        <w:rPr>
          <w:rFonts w:hint="eastAsia" w:ascii="宋体" w:hAnsi="宋体" w:cs="宋体"/>
          <w:color w:val="auto"/>
          <w:szCs w:val="21"/>
          <w:u w:val="thick"/>
        </w:rPr>
        <w:t>(1)工程设计变更及工程量确认</w:t>
      </w:r>
      <w:r>
        <w:rPr>
          <w:rFonts w:hint="eastAsia" w:ascii="宋体" w:hAnsi="宋体" w:cs="宋体"/>
          <w:color w:val="auto"/>
          <w:szCs w:val="21"/>
        </w:rPr>
        <w:t>；</w:t>
      </w:r>
    </w:p>
    <w:p w14:paraId="1460EBED">
      <w:pPr>
        <w:spacing w:line="360" w:lineRule="auto"/>
        <w:rPr>
          <w:rFonts w:ascii="宋体" w:hAnsi="宋体" w:cs="宋体"/>
          <w:color w:val="auto"/>
          <w:szCs w:val="21"/>
        </w:rPr>
      </w:pPr>
      <w:r>
        <w:rPr>
          <w:rFonts w:hint="eastAsia" w:ascii="宋体" w:hAnsi="宋体" w:cs="宋体"/>
          <w:color w:val="auto"/>
          <w:szCs w:val="21"/>
          <w:u w:val="thick"/>
        </w:rPr>
        <w:t>(2)变更工程价款的洽商</w:t>
      </w:r>
      <w:r>
        <w:rPr>
          <w:rFonts w:hint="eastAsia" w:ascii="宋体" w:hAnsi="宋体" w:cs="宋体"/>
          <w:color w:val="auto"/>
          <w:szCs w:val="21"/>
        </w:rPr>
        <w:t>；</w:t>
      </w:r>
    </w:p>
    <w:p w14:paraId="418F9AB2">
      <w:pPr>
        <w:spacing w:line="360" w:lineRule="auto"/>
        <w:rPr>
          <w:rFonts w:ascii="宋体" w:hAnsi="宋体" w:cs="宋体"/>
          <w:color w:val="auto"/>
          <w:szCs w:val="21"/>
        </w:rPr>
      </w:pPr>
      <w:r>
        <w:rPr>
          <w:rFonts w:hint="eastAsia" w:ascii="宋体" w:hAnsi="宋体" w:cs="宋体"/>
          <w:color w:val="auto"/>
          <w:szCs w:val="21"/>
          <w:u w:val="thick"/>
        </w:rPr>
        <w:t>(3)处理索赔事项</w:t>
      </w:r>
      <w:r>
        <w:rPr>
          <w:rFonts w:hint="eastAsia" w:ascii="宋体" w:hAnsi="宋体" w:cs="宋体"/>
          <w:color w:val="auto"/>
          <w:szCs w:val="21"/>
        </w:rPr>
        <w:t>；</w:t>
      </w:r>
    </w:p>
    <w:p w14:paraId="03136CE8">
      <w:pPr>
        <w:spacing w:line="360" w:lineRule="auto"/>
        <w:rPr>
          <w:rFonts w:ascii="宋体" w:hAnsi="宋体" w:cs="宋体"/>
          <w:color w:val="auto"/>
          <w:szCs w:val="21"/>
        </w:rPr>
      </w:pPr>
      <w:r>
        <w:rPr>
          <w:rFonts w:hint="eastAsia" w:ascii="宋体" w:hAnsi="宋体" w:cs="宋体"/>
          <w:color w:val="auto"/>
          <w:szCs w:val="21"/>
          <w:u w:val="thick"/>
        </w:rPr>
        <w:t>(4)工程进度款的确认及拨付</w:t>
      </w:r>
      <w:r>
        <w:rPr>
          <w:rFonts w:hint="eastAsia" w:ascii="宋体" w:hAnsi="宋体" w:cs="宋体"/>
          <w:color w:val="auto"/>
          <w:szCs w:val="21"/>
        </w:rPr>
        <w:t>；</w:t>
      </w:r>
    </w:p>
    <w:p w14:paraId="17D12282">
      <w:pPr>
        <w:spacing w:line="360" w:lineRule="auto"/>
        <w:rPr>
          <w:rFonts w:ascii="宋体" w:hAnsi="宋体" w:cs="宋体"/>
          <w:color w:val="auto"/>
          <w:szCs w:val="21"/>
        </w:rPr>
      </w:pPr>
      <w:r>
        <w:rPr>
          <w:rFonts w:hint="eastAsia" w:ascii="宋体" w:hAnsi="宋体" w:cs="宋体"/>
          <w:color w:val="auto"/>
          <w:szCs w:val="21"/>
          <w:u w:val="thick"/>
        </w:rPr>
        <w:t>(5)工程结算价款的确认</w:t>
      </w:r>
      <w:r>
        <w:rPr>
          <w:rFonts w:hint="eastAsia" w:ascii="宋体" w:hAnsi="宋体" w:cs="宋体"/>
          <w:color w:val="auto"/>
          <w:szCs w:val="21"/>
        </w:rPr>
        <w:t>。</w:t>
      </w:r>
    </w:p>
    <w:p w14:paraId="732E4A30">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2.4 施工现场、施工条件和基础资料的提供</w:t>
      </w:r>
    </w:p>
    <w:p w14:paraId="2BDCFBAB">
      <w:pPr>
        <w:spacing w:line="360" w:lineRule="auto"/>
        <w:rPr>
          <w:rFonts w:ascii="宋体" w:hAnsi="宋体" w:cs="宋体"/>
          <w:color w:val="auto"/>
          <w:szCs w:val="21"/>
        </w:rPr>
      </w:pPr>
      <w:r>
        <w:rPr>
          <w:rFonts w:hint="eastAsia" w:ascii="宋体" w:hAnsi="宋体" w:cs="宋体"/>
          <w:color w:val="auto"/>
          <w:szCs w:val="21"/>
        </w:rPr>
        <w:t>2.4.1 提供施工现场</w:t>
      </w:r>
    </w:p>
    <w:p w14:paraId="39BFCC6B">
      <w:pPr>
        <w:spacing w:line="360" w:lineRule="auto"/>
        <w:rPr>
          <w:rFonts w:ascii="宋体" w:hAnsi="宋体" w:cs="宋体"/>
          <w:color w:val="auto"/>
          <w:szCs w:val="21"/>
        </w:rPr>
      </w:pPr>
      <w:r>
        <w:rPr>
          <w:rFonts w:hint="eastAsia" w:ascii="宋体" w:hAnsi="宋体" w:cs="宋体"/>
          <w:color w:val="auto"/>
          <w:szCs w:val="21"/>
        </w:rPr>
        <w:t>关于发包人移交施工现场的期限要求：</w:t>
      </w:r>
      <w:r>
        <w:rPr>
          <w:rFonts w:hint="eastAsia" w:ascii="宋体" w:hAnsi="宋体" w:cs="宋体"/>
          <w:color w:val="auto"/>
          <w:szCs w:val="21"/>
          <w:u w:val="thick"/>
        </w:rPr>
        <w:t>执行通用合同条款</w:t>
      </w:r>
      <w:r>
        <w:rPr>
          <w:rFonts w:hint="eastAsia" w:ascii="宋体" w:hAnsi="宋体" w:cs="宋体"/>
          <w:color w:val="auto"/>
          <w:szCs w:val="21"/>
        </w:rPr>
        <w:t>。</w:t>
      </w:r>
    </w:p>
    <w:p w14:paraId="75EA6DF5">
      <w:pPr>
        <w:spacing w:line="360" w:lineRule="auto"/>
        <w:rPr>
          <w:rFonts w:ascii="宋体" w:hAnsi="宋体" w:cs="宋体"/>
          <w:color w:val="auto"/>
          <w:szCs w:val="21"/>
        </w:rPr>
      </w:pPr>
      <w:r>
        <w:rPr>
          <w:rFonts w:hint="eastAsia" w:ascii="宋体" w:hAnsi="宋体" w:cs="宋体"/>
          <w:color w:val="auto"/>
          <w:szCs w:val="21"/>
        </w:rPr>
        <w:t>2.4.2 提供施工条件</w:t>
      </w:r>
    </w:p>
    <w:p w14:paraId="75C6B768">
      <w:pPr>
        <w:spacing w:line="360" w:lineRule="auto"/>
        <w:rPr>
          <w:rFonts w:ascii="宋体" w:hAnsi="宋体" w:cs="宋体"/>
          <w:color w:val="auto"/>
          <w:szCs w:val="21"/>
        </w:rPr>
      </w:pPr>
      <w:r>
        <w:rPr>
          <w:rFonts w:hint="eastAsia" w:ascii="宋体" w:hAnsi="宋体" w:cs="宋体"/>
          <w:color w:val="auto"/>
          <w:szCs w:val="21"/>
        </w:rPr>
        <w:t>关于发包人应负责提供施工所需要的条件，包括：</w:t>
      </w:r>
      <w:r>
        <w:rPr>
          <w:rFonts w:hint="eastAsia" w:ascii="宋体" w:hAnsi="宋体" w:cs="宋体"/>
          <w:color w:val="auto"/>
          <w:szCs w:val="21"/>
          <w:u w:val="thick"/>
        </w:rPr>
        <w:t>除通用合同条款规定的条件外，发包人还应将水准点与坐标控制点位置以书面形式交给承包人，做好交验报告</w:t>
      </w:r>
      <w:r>
        <w:rPr>
          <w:rFonts w:hint="eastAsia" w:ascii="宋体" w:hAnsi="宋体" w:cs="宋体"/>
          <w:color w:val="auto"/>
          <w:szCs w:val="21"/>
        </w:rPr>
        <w:t>。</w:t>
      </w:r>
    </w:p>
    <w:p w14:paraId="1A9FD572">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2.5 资金来源证明及支付担保</w:t>
      </w:r>
    </w:p>
    <w:p w14:paraId="25A4E698">
      <w:pPr>
        <w:spacing w:line="360" w:lineRule="auto"/>
        <w:rPr>
          <w:rFonts w:ascii="宋体" w:hAnsi="宋体" w:cs="宋体"/>
          <w:color w:val="auto"/>
          <w:szCs w:val="21"/>
        </w:rPr>
      </w:pPr>
      <w:r>
        <w:rPr>
          <w:rFonts w:hint="eastAsia" w:ascii="宋体" w:hAnsi="宋体" w:cs="宋体"/>
          <w:color w:val="auto"/>
          <w:szCs w:val="21"/>
        </w:rPr>
        <w:t>发包人提供资金来源证明的期限要求：</w:t>
      </w:r>
      <w:r>
        <w:rPr>
          <w:rFonts w:hint="eastAsia" w:ascii="宋体" w:hAnsi="宋体" w:cs="宋体"/>
          <w:color w:val="auto"/>
          <w:szCs w:val="21"/>
          <w:u w:val="thick"/>
        </w:rPr>
        <w:t>执行通用合同条款</w:t>
      </w:r>
      <w:r>
        <w:rPr>
          <w:rFonts w:hint="eastAsia" w:ascii="宋体" w:hAnsi="宋体" w:cs="宋体"/>
          <w:color w:val="auto"/>
          <w:szCs w:val="21"/>
        </w:rPr>
        <w:t>。</w:t>
      </w:r>
    </w:p>
    <w:p w14:paraId="646416C7">
      <w:pPr>
        <w:spacing w:line="360" w:lineRule="auto"/>
        <w:rPr>
          <w:rFonts w:ascii="宋体" w:hAnsi="宋体" w:cs="宋体"/>
          <w:color w:val="auto"/>
          <w:szCs w:val="21"/>
        </w:rPr>
      </w:pPr>
      <w:r>
        <w:rPr>
          <w:rFonts w:hint="eastAsia" w:ascii="宋体" w:hAnsi="宋体" w:cs="宋体"/>
          <w:color w:val="auto"/>
          <w:szCs w:val="21"/>
        </w:rPr>
        <w:t>发包人是否提供支付担保：</w:t>
      </w:r>
      <w:r>
        <w:rPr>
          <w:rFonts w:hint="eastAsia" w:ascii="宋体" w:hAnsi="宋体" w:cs="宋体"/>
          <w:color w:val="auto"/>
          <w:szCs w:val="21"/>
          <w:u w:val="thick"/>
        </w:rPr>
        <w:t xml:space="preserve">  无   </w:t>
      </w:r>
      <w:r>
        <w:rPr>
          <w:rFonts w:hint="eastAsia" w:ascii="宋体" w:hAnsi="宋体" w:cs="宋体"/>
          <w:color w:val="auto"/>
          <w:szCs w:val="21"/>
        </w:rPr>
        <w:t>。</w:t>
      </w:r>
    </w:p>
    <w:p w14:paraId="6485345D">
      <w:pPr>
        <w:spacing w:line="360" w:lineRule="auto"/>
        <w:rPr>
          <w:rFonts w:ascii="宋体" w:hAnsi="宋体" w:cs="宋体"/>
          <w:color w:val="auto"/>
          <w:szCs w:val="21"/>
        </w:rPr>
      </w:pPr>
      <w:r>
        <w:rPr>
          <w:rFonts w:hint="eastAsia" w:ascii="宋体" w:hAnsi="宋体" w:cs="宋体"/>
          <w:color w:val="auto"/>
          <w:szCs w:val="21"/>
        </w:rPr>
        <w:t>发包人提供支付担保的形式：</w:t>
      </w:r>
      <w:r>
        <w:rPr>
          <w:rFonts w:hint="eastAsia" w:ascii="宋体" w:hAnsi="宋体" w:cs="宋体"/>
          <w:color w:val="auto"/>
          <w:szCs w:val="21"/>
          <w:u w:val="thick"/>
        </w:rPr>
        <w:t xml:space="preserve">  /   </w:t>
      </w:r>
      <w:r>
        <w:rPr>
          <w:rFonts w:hint="eastAsia" w:ascii="宋体" w:hAnsi="宋体" w:cs="宋体"/>
          <w:color w:val="auto"/>
          <w:szCs w:val="21"/>
        </w:rPr>
        <w:t>。</w:t>
      </w:r>
    </w:p>
    <w:p w14:paraId="15AB0135">
      <w:pPr>
        <w:spacing w:line="360" w:lineRule="auto"/>
        <w:rPr>
          <w:rFonts w:ascii="宋体" w:hAnsi="宋体" w:cs="宋体"/>
          <w:color w:val="auto"/>
          <w:szCs w:val="21"/>
          <w:shd w:val="pct10" w:color="auto" w:fill="FFFFFF"/>
        </w:rPr>
      </w:pPr>
      <w:bookmarkStart w:id="272" w:name="_Toc351203635"/>
      <w:r>
        <w:rPr>
          <w:rFonts w:hint="eastAsia" w:ascii="宋体" w:hAnsi="宋体" w:cs="宋体"/>
          <w:color w:val="auto"/>
          <w:szCs w:val="21"/>
          <w:shd w:val="pct10" w:color="auto" w:fill="FFFFFF"/>
        </w:rPr>
        <w:t>3</w:t>
      </w:r>
      <w:bookmarkStart w:id="273" w:name="_Toc296944497"/>
      <w:bookmarkStart w:id="274" w:name="_Toc296347157"/>
      <w:bookmarkStart w:id="275" w:name="_Toc296346659"/>
      <w:bookmarkStart w:id="276" w:name="_Toc296503158"/>
      <w:bookmarkStart w:id="277" w:name="_Toc297048344"/>
      <w:bookmarkStart w:id="278" w:name="_Toc296890986"/>
      <w:bookmarkStart w:id="279" w:name="_Toc296891198"/>
      <w:bookmarkStart w:id="280" w:name="_Toc292559868"/>
      <w:bookmarkStart w:id="281" w:name="_Toc292559363"/>
      <w:bookmarkStart w:id="282" w:name="_Toc297120458"/>
      <w:r>
        <w:rPr>
          <w:rFonts w:hint="eastAsia" w:ascii="宋体" w:hAnsi="宋体" w:cs="宋体"/>
          <w:color w:val="auto"/>
          <w:szCs w:val="21"/>
          <w:shd w:val="pct10" w:color="auto" w:fill="FFFFFF"/>
        </w:rPr>
        <w:t>.承包人</w:t>
      </w:r>
      <w:bookmarkEnd w:id="272"/>
    </w:p>
    <w:bookmarkEnd w:id="273"/>
    <w:bookmarkEnd w:id="274"/>
    <w:bookmarkEnd w:id="275"/>
    <w:bookmarkEnd w:id="276"/>
    <w:bookmarkEnd w:id="277"/>
    <w:bookmarkEnd w:id="278"/>
    <w:bookmarkEnd w:id="279"/>
    <w:bookmarkEnd w:id="280"/>
    <w:bookmarkEnd w:id="281"/>
    <w:bookmarkEnd w:id="282"/>
    <w:p w14:paraId="6F89BC23">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3.1承包人的一般义务</w:t>
      </w:r>
    </w:p>
    <w:p w14:paraId="3D1CD40E">
      <w:pPr>
        <w:spacing w:line="360" w:lineRule="auto"/>
        <w:rPr>
          <w:rFonts w:ascii="宋体" w:hAnsi="宋体" w:cs="宋体"/>
          <w:color w:val="auto"/>
          <w:szCs w:val="21"/>
        </w:rPr>
      </w:pPr>
      <w:r>
        <w:rPr>
          <w:rFonts w:hint="eastAsia" w:ascii="宋体" w:hAnsi="宋体" w:cs="宋体"/>
          <w:color w:val="auto"/>
          <w:szCs w:val="21"/>
        </w:rPr>
        <w:t>(5)承包人提交的竣工资料的内容：</w:t>
      </w:r>
      <w:r>
        <w:rPr>
          <w:rFonts w:hint="eastAsia" w:ascii="宋体" w:hAnsi="宋体" w:cs="宋体"/>
          <w:color w:val="auto"/>
          <w:szCs w:val="21"/>
          <w:u w:val="thick"/>
        </w:rPr>
        <w:t>承包人向发包人提交完整竣工图纸及竣工图电子文档、完整的施工技术资料等；按质监部门、档案管理和发包人要求的竣工备案和归档内容提供</w:t>
      </w:r>
      <w:r>
        <w:rPr>
          <w:rFonts w:hint="eastAsia" w:ascii="宋体" w:hAnsi="宋体" w:cs="宋体"/>
          <w:color w:val="auto"/>
          <w:szCs w:val="21"/>
        </w:rPr>
        <w:t>。</w:t>
      </w:r>
    </w:p>
    <w:p w14:paraId="4861AE63">
      <w:pPr>
        <w:spacing w:line="360" w:lineRule="auto"/>
        <w:rPr>
          <w:rFonts w:ascii="宋体" w:hAnsi="宋体" w:cs="宋体"/>
          <w:color w:val="auto"/>
          <w:szCs w:val="21"/>
        </w:rPr>
      </w:pPr>
      <w:r>
        <w:rPr>
          <w:rFonts w:hint="eastAsia" w:ascii="宋体" w:hAnsi="宋体" w:cs="宋体"/>
          <w:color w:val="auto"/>
          <w:szCs w:val="21"/>
        </w:rPr>
        <w:t>承包人需要提交的竣工资料套数：</w:t>
      </w:r>
      <w:r>
        <w:rPr>
          <w:rFonts w:hint="eastAsia" w:ascii="宋体" w:hAnsi="宋体" w:cs="宋体"/>
          <w:color w:val="auto"/>
          <w:szCs w:val="21"/>
          <w:u w:val="thick"/>
        </w:rPr>
        <w:t>3份完整竣工资料及竣工图</w:t>
      </w:r>
      <w:r>
        <w:rPr>
          <w:rFonts w:hint="eastAsia" w:ascii="宋体" w:hAnsi="宋体" w:cs="宋体"/>
          <w:color w:val="auto"/>
          <w:szCs w:val="21"/>
        </w:rPr>
        <w:t>。</w:t>
      </w:r>
    </w:p>
    <w:p w14:paraId="586EDD89">
      <w:pPr>
        <w:spacing w:line="360" w:lineRule="auto"/>
        <w:rPr>
          <w:rFonts w:ascii="宋体" w:hAnsi="宋体" w:cs="宋体"/>
          <w:color w:val="auto"/>
          <w:szCs w:val="21"/>
        </w:rPr>
      </w:pPr>
      <w:r>
        <w:rPr>
          <w:rFonts w:hint="eastAsia" w:ascii="宋体" w:hAnsi="宋体" w:cs="宋体"/>
          <w:color w:val="auto"/>
          <w:szCs w:val="21"/>
        </w:rPr>
        <w:t>承包人提交的竣工资料的费用承担：</w:t>
      </w:r>
      <w:r>
        <w:rPr>
          <w:rFonts w:hint="eastAsia" w:ascii="宋体" w:hAnsi="宋体" w:cs="宋体"/>
          <w:color w:val="auto"/>
          <w:szCs w:val="21"/>
          <w:u w:val="thick"/>
        </w:rPr>
        <w:t>由承包人承担</w:t>
      </w:r>
      <w:r>
        <w:rPr>
          <w:rFonts w:hint="eastAsia" w:ascii="宋体" w:hAnsi="宋体" w:cs="宋体"/>
          <w:color w:val="auto"/>
          <w:szCs w:val="21"/>
        </w:rPr>
        <w:t>。</w:t>
      </w:r>
    </w:p>
    <w:p w14:paraId="4148BBC7">
      <w:pPr>
        <w:spacing w:line="360" w:lineRule="auto"/>
        <w:rPr>
          <w:rFonts w:ascii="宋体" w:hAnsi="宋体" w:cs="宋体"/>
          <w:color w:val="auto"/>
          <w:szCs w:val="21"/>
        </w:rPr>
      </w:pPr>
      <w:r>
        <w:rPr>
          <w:rFonts w:hint="eastAsia" w:ascii="宋体" w:hAnsi="宋体" w:cs="宋体"/>
          <w:color w:val="auto"/>
          <w:szCs w:val="21"/>
        </w:rPr>
        <w:t>承包人提交的竣工资料移交时间</w:t>
      </w:r>
      <w:r>
        <w:rPr>
          <w:rFonts w:hint="eastAsia" w:ascii="宋体" w:hAnsi="宋体" w:cs="宋体"/>
          <w:color w:val="auto"/>
          <w:szCs w:val="21"/>
          <w:u w:val="thick"/>
        </w:rPr>
        <w:t>：工程竣工后30天内。</w:t>
      </w:r>
    </w:p>
    <w:p w14:paraId="2A168FD7">
      <w:pPr>
        <w:spacing w:line="360" w:lineRule="auto"/>
        <w:rPr>
          <w:rFonts w:ascii="宋体" w:hAnsi="宋体" w:cs="宋体"/>
          <w:color w:val="auto"/>
          <w:szCs w:val="21"/>
        </w:rPr>
      </w:pPr>
      <w:r>
        <w:rPr>
          <w:rFonts w:hint="eastAsia" w:ascii="宋体" w:hAnsi="宋体" w:cs="宋体"/>
          <w:color w:val="auto"/>
          <w:szCs w:val="21"/>
        </w:rPr>
        <w:t>承包人提交的竣工资料形式要求：</w:t>
      </w:r>
      <w:r>
        <w:rPr>
          <w:rFonts w:hint="eastAsia" w:ascii="宋体" w:hAnsi="宋体" w:cs="宋体"/>
          <w:color w:val="auto"/>
          <w:szCs w:val="21"/>
          <w:u w:val="thick"/>
        </w:rPr>
        <w:t>书面形式和电子文件</w:t>
      </w:r>
    </w:p>
    <w:p w14:paraId="5FC004E7">
      <w:pPr>
        <w:spacing w:line="360" w:lineRule="auto"/>
        <w:rPr>
          <w:rFonts w:ascii="宋体" w:hAnsi="宋体" w:cs="宋体"/>
          <w:color w:val="auto"/>
          <w:szCs w:val="21"/>
          <w:u w:val="thick"/>
        </w:rPr>
      </w:pPr>
      <w:r>
        <w:rPr>
          <w:rFonts w:hint="eastAsia" w:ascii="宋体" w:hAnsi="宋体" w:cs="宋体"/>
          <w:color w:val="auto"/>
          <w:szCs w:val="21"/>
        </w:rPr>
        <w:t>(6)承包人应履行的其他义务：</w:t>
      </w:r>
    </w:p>
    <w:p w14:paraId="4CC1DEC9">
      <w:pPr>
        <w:spacing w:line="360" w:lineRule="auto"/>
        <w:rPr>
          <w:rFonts w:ascii="宋体" w:hAnsi="宋体" w:cs="宋体"/>
          <w:color w:val="auto"/>
          <w:szCs w:val="21"/>
        </w:rPr>
      </w:pPr>
      <w:r>
        <w:rPr>
          <w:rFonts w:hint="eastAsia" w:ascii="宋体" w:hAnsi="宋体" w:cs="宋体"/>
          <w:color w:val="auto"/>
          <w:szCs w:val="21"/>
        </w:rPr>
        <w:t>1)承包人应在每月25日前向发包人代表提交5份工程进度计划及相应进度统计报表的月报，每月二十八日前向发包人代表提交三份施工月报；其他各类文件的提交内容以技术规范为准。提交时问：至少有5个工作日的时间供发包人代表审核认可。份数：视发包人代表的需要而定；</w:t>
      </w:r>
    </w:p>
    <w:p w14:paraId="3F95B204">
      <w:pPr>
        <w:spacing w:line="360" w:lineRule="auto"/>
        <w:rPr>
          <w:rFonts w:ascii="宋体" w:hAnsi="宋体" w:cs="宋体"/>
          <w:color w:val="auto"/>
          <w:szCs w:val="21"/>
        </w:rPr>
      </w:pPr>
      <w:r>
        <w:rPr>
          <w:rFonts w:hint="eastAsia" w:ascii="宋体" w:hAnsi="宋体" w:cs="宋体"/>
          <w:color w:val="auto"/>
          <w:szCs w:val="21"/>
        </w:rPr>
        <w:t>2)所有承包人提交的文件或图纸的修改和撤回，必须得到发包人代表的认可；</w:t>
      </w:r>
    </w:p>
    <w:p w14:paraId="58EBA34D">
      <w:pPr>
        <w:spacing w:line="360" w:lineRule="auto"/>
        <w:rPr>
          <w:rFonts w:ascii="宋体" w:hAnsi="宋体" w:cs="宋体"/>
          <w:color w:val="auto"/>
          <w:szCs w:val="21"/>
        </w:rPr>
      </w:pPr>
      <w:r>
        <w:rPr>
          <w:rFonts w:hint="eastAsia" w:ascii="宋体" w:hAnsi="宋体" w:cs="宋体"/>
          <w:color w:val="auto"/>
          <w:szCs w:val="21"/>
        </w:rPr>
        <w:t>3)承包人负责在工程施工竣工及保修的整个过程中施工现场全部人员的安全。除因发包人、发包人代表或发包人雇员的行为或过失而造成的伤亡外，发包人不承担承包人或其分包单位雇用的工人或其他人员的伤亡赔偿或补偿责任；承包人负责在需要的时间和地点，根据有关部门要求，自费提供和维护所有灯光、护板、栅栏、警告信号和警卫，并且对工程进行保护或为公众提供安全和方便；</w:t>
      </w:r>
    </w:p>
    <w:p w14:paraId="2F7A2BAA">
      <w:pPr>
        <w:spacing w:line="360" w:lineRule="auto"/>
        <w:rPr>
          <w:rFonts w:ascii="宋体" w:hAnsi="宋体" w:cs="宋体"/>
          <w:color w:val="auto"/>
          <w:szCs w:val="21"/>
        </w:rPr>
      </w:pPr>
      <w:r>
        <w:rPr>
          <w:rFonts w:hint="eastAsia" w:ascii="宋体" w:hAnsi="宋体" w:cs="宋体"/>
          <w:color w:val="auto"/>
          <w:szCs w:val="21"/>
        </w:rPr>
        <w:t>4)对施工场地交通、环卫和噪音等管理的要求及费用由承包人负责；</w:t>
      </w:r>
    </w:p>
    <w:p w14:paraId="6DC6A7D5">
      <w:pPr>
        <w:spacing w:line="360" w:lineRule="auto"/>
        <w:rPr>
          <w:rFonts w:ascii="宋体" w:hAnsi="宋体" w:cs="宋体"/>
          <w:color w:val="auto"/>
          <w:szCs w:val="21"/>
        </w:rPr>
      </w:pPr>
      <w:r>
        <w:rPr>
          <w:rFonts w:hint="eastAsia" w:ascii="宋体" w:hAnsi="宋体" w:cs="宋体"/>
          <w:color w:val="auto"/>
          <w:szCs w:val="21"/>
        </w:rPr>
        <w:t>5)承包人负责已完工程的成品保护，费用由承包人承担；</w:t>
      </w:r>
    </w:p>
    <w:p w14:paraId="13726FDB">
      <w:pPr>
        <w:spacing w:line="360" w:lineRule="auto"/>
        <w:rPr>
          <w:rFonts w:ascii="宋体" w:hAnsi="宋体" w:cs="宋体"/>
          <w:color w:val="auto"/>
          <w:szCs w:val="21"/>
        </w:rPr>
      </w:pPr>
      <w:r>
        <w:rPr>
          <w:rFonts w:hint="eastAsia" w:ascii="宋体" w:hAnsi="宋体" w:cs="宋体"/>
          <w:color w:val="auto"/>
          <w:szCs w:val="21"/>
        </w:rPr>
        <w:t>6)承包人负责做好施工场地周围建筑物、构筑物和地下管线、文物及花木的保护，费用由承包人承担；</w:t>
      </w:r>
    </w:p>
    <w:p w14:paraId="4283ABA2">
      <w:pPr>
        <w:spacing w:line="360" w:lineRule="auto"/>
        <w:rPr>
          <w:rFonts w:ascii="宋体" w:hAnsi="宋体" w:cs="宋体"/>
          <w:color w:val="auto"/>
          <w:szCs w:val="21"/>
        </w:rPr>
      </w:pPr>
      <w:r>
        <w:rPr>
          <w:rFonts w:hint="eastAsia" w:ascii="宋体" w:hAnsi="宋体" w:cs="宋体"/>
          <w:color w:val="auto"/>
          <w:szCs w:val="21"/>
        </w:rPr>
        <w:t>7)承包人负责施工场地清洁，交工前应将所有临时设施(临时道路、房屋、管线等)拆除并清理出场，现场应达到技术规范与合同的要求；</w:t>
      </w:r>
    </w:p>
    <w:p w14:paraId="3877CD14">
      <w:pPr>
        <w:spacing w:line="360" w:lineRule="auto"/>
        <w:rPr>
          <w:rFonts w:ascii="宋体" w:hAnsi="宋体" w:cs="宋体"/>
          <w:color w:val="auto"/>
          <w:szCs w:val="21"/>
        </w:rPr>
      </w:pPr>
      <w:r>
        <w:rPr>
          <w:rFonts w:hint="eastAsia" w:ascii="宋体" w:hAnsi="宋体" w:cs="宋体"/>
          <w:color w:val="auto"/>
          <w:szCs w:val="21"/>
        </w:rPr>
        <w:t>8)专门用于本工程施工的、由承包人提供的所有设备、设施和材料一经运至现场，即应被视为是专门供本工程施工使用。承包人除将上述物品在现场各部分之间转移外，如果没有发包人代表的书面同意，不得将上述物品运出现场；</w:t>
      </w:r>
    </w:p>
    <w:p w14:paraId="3CF77AB5">
      <w:pPr>
        <w:spacing w:line="360" w:lineRule="auto"/>
        <w:rPr>
          <w:rFonts w:ascii="宋体" w:hAnsi="宋体" w:cs="宋体"/>
          <w:color w:val="auto"/>
          <w:szCs w:val="21"/>
        </w:rPr>
      </w:pPr>
      <w:r>
        <w:rPr>
          <w:rFonts w:hint="eastAsia" w:ascii="宋体" w:hAnsi="宋体" w:cs="宋体"/>
          <w:color w:val="auto"/>
          <w:szCs w:val="21"/>
        </w:rPr>
        <w:t>9)承包人应保证发包人免于受到或承担应由承包人负责的事项所引起的或与之有关的索赔、诉讼、损害赔偿及其他开支，承包人未能按合同约定完成工作时，应承担全部责任及费用，工期不得顺延；</w:t>
      </w:r>
    </w:p>
    <w:p w14:paraId="4C74E48F">
      <w:pPr>
        <w:spacing w:line="360" w:lineRule="auto"/>
        <w:rPr>
          <w:rFonts w:ascii="宋体" w:hAnsi="宋体" w:cs="宋体"/>
          <w:color w:val="auto"/>
          <w:szCs w:val="21"/>
        </w:rPr>
      </w:pPr>
      <w:r>
        <w:rPr>
          <w:rFonts w:hint="eastAsia" w:ascii="宋体" w:hAnsi="宋体" w:cs="宋体"/>
          <w:color w:val="auto"/>
          <w:szCs w:val="21"/>
        </w:rPr>
        <w:t>10)承包人所派施工现场的现场管理人员及所有管理人员必须与投标书一致，否则一经查处，发包人有权禁止其进场并限期撤换，直至终止合同，同时将报建设行政主管部门备案，并计入建筑市场不良行为；</w:t>
      </w:r>
    </w:p>
    <w:p w14:paraId="5F2C6B23">
      <w:pPr>
        <w:spacing w:line="360" w:lineRule="auto"/>
        <w:rPr>
          <w:rFonts w:ascii="宋体" w:hAnsi="宋体" w:cs="宋体"/>
          <w:color w:val="auto"/>
          <w:szCs w:val="21"/>
        </w:rPr>
      </w:pPr>
      <w:r>
        <w:rPr>
          <w:rFonts w:hint="eastAsia" w:ascii="宋体" w:hAnsi="宋体" w:cs="宋体"/>
          <w:color w:val="auto"/>
          <w:szCs w:val="21"/>
        </w:rPr>
        <w:t>11)如发生施工爆破作业，则所需的批件由承包人自行解决，费用由承包人负担；</w:t>
      </w:r>
    </w:p>
    <w:p w14:paraId="261674FF">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3.2 项目经理</w:t>
      </w:r>
    </w:p>
    <w:p w14:paraId="0538CDBB">
      <w:pPr>
        <w:spacing w:line="360" w:lineRule="auto"/>
        <w:rPr>
          <w:rFonts w:ascii="宋体" w:hAnsi="宋体" w:cs="宋体"/>
          <w:color w:val="auto"/>
          <w:szCs w:val="21"/>
        </w:rPr>
      </w:pPr>
      <w:r>
        <w:rPr>
          <w:rFonts w:hint="eastAsia" w:ascii="宋体" w:hAnsi="宋体" w:cs="宋体"/>
          <w:color w:val="auto"/>
          <w:szCs w:val="21"/>
        </w:rPr>
        <w:t>3.2.1 项目经理：</w:t>
      </w:r>
    </w:p>
    <w:p w14:paraId="4970EE64">
      <w:pPr>
        <w:spacing w:line="360" w:lineRule="auto"/>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thick"/>
        </w:rPr>
        <w:t xml:space="preserve">                                 </w:t>
      </w:r>
      <w:r>
        <w:rPr>
          <w:rFonts w:hint="eastAsia" w:ascii="宋体" w:hAnsi="宋体" w:cs="宋体"/>
          <w:color w:val="auto"/>
          <w:szCs w:val="21"/>
        </w:rPr>
        <w:t>；</w:t>
      </w:r>
    </w:p>
    <w:p w14:paraId="1ED8C7A0">
      <w:pPr>
        <w:spacing w:line="360" w:lineRule="auto"/>
        <w:rPr>
          <w:rFonts w:ascii="宋体" w:hAnsi="宋体" w:cs="宋体"/>
          <w:color w:val="auto"/>
          <w:szCs w:val="21"/>
        </w:rPr>
      </w:pPr>
      <w:r>
        <w:rPr>
          <w:rFonts w:hint="eastAsia" w:ascii="宋体" w:hAnsi="宋体" w:cs="宋体"/>
          <w:color w:val="auto"/>
          <w:szCs w:val="21"/>
        </w:rPr>
        <w:t>身份证号：</w:t>
      </w:r>
      <w:r>
        <w:rPr>
          <w:rFonts w:hint="eastAsia" w:ascii="宋体" w:hAnsi="宋体" w:cs="宋体"/>
          <w:color w:val="auto"/>
          <w:szCs w:val="21"/>
          <w:u w:val="thick"/>
        </w:rPr>
        <w:t xml:space="preserve">                                 </w:t>
      </w:r>
      <w:r>
        <w:rPr>
          <w:rFonts w:hint="eastAsia" w:ascii="宋体" w:hAnsi="宋体" w:cs="宋体"/>
          <w:color w:val="auto"/>
          <w:szCs w:val="21"/>
        </w:rPr>
        <w:t>；</w:t>
      </w:r>
    </w:p>
    <w:p w14:paraId="29D955E1">
      <w:pPr>
        <w:spacing w:line="360" w:lineRule="auto"/>
        <w:rPr>
          <w:rFonts w:ascii="宋体" w:hAnsi="宋体" w:cs="宋体"/>
          <w:color w:val="auto"/>
          <w:szCs w:val="21"/>
        </w:rPr>
      </w:pPr>
      <w:r>
        <w:rPr>
          <w:rFonts w:hint="eastAsia" w:ascii="宋体" w:hAnsi="宋体" w:cs="宋体"/>
          <w:color w:val="auto"/>
          <w:szCs w:val="21"/>
        </w:rPr>
        <w:t>建造师执业资格等级：</w:t>
      </w:r>
      <w:r>
        <w:rPr>
          <w:rFonts w:hint="eastAsia" w:ascii="宋体" w:hAnsi="宋体" w:cs="宋体"/>
          <w:color w:val="auto"/>
          <w:szCs w:val="21"/>
          <w:u w:val="thick"/>
        </w:rPr>
        <w:t xml:space="preserve">                       </w:t>
      </w:r>
      <w:r>
        <w:rPr>
          <w:rFonts w:hint="eastAsia" w:ascii="宋体" w:hAnsi="宋体" w:cs="宋体"/>
          <w:color w:val="auto"/>
          <w:szCs w:val="21"/>
        </w:rPr>
        <w:t>；</w:t>
      </w:r>
    </w:p>
    <w:p w14:paraId="688ACA8E">
      <w:pPr>
        <w:spacing w:line="360" w:lineRule="auto"/>
        <w:rPr>
          <w:rFonts w:ascii="宋体" w:hAnsi="宋体" w:cs="宋体"/>
          <w:color w:val="auto"/>
          <w:szCs w:val="21"/>
        </w:rPr>
      </w:pPr>
      <w:r>
        <w:rPr>
          <w:rFonts w:hint="eastAsia" w:ascii="宋体" w:hAnsi="宋体" w:cs="宋体"/>
          <w:color w:val="auto"/>
          <w:szCs w:val="21"/>
        </w:rPr>
        <w:t>建造师注册证书号：</w:t>
      </w:r>
      <w:r>
        <w:rPr>
          <w:rFonts w:hint="eastAsia" w:ascii="宋体" w:hAnsi="宋体" w:cs="宋体"/>
          <w:color w:val="auto"/>
          <w:szCs w:val="21"/>
          <w:u w:val="thick"/>
        </w:rPr>
        <w:t xml:space="preserve">                         </w:t>
      </w:r>
      <w:r>
        <w:rPr>
          <w:rFonts w:hint="eastAsia" w:ascii="宋体" w:hAnsi="宋体" w:cs="宋体"/>
          <w:color w:val="auto"/>
          <w:szCs w:val="21"/>
        </w:rPr>
        <w:t>；</w:t>
      </w:r>
    </w:p>
    <w:p w14:paraId="71D75C36">
      <w:pPr>
        <w:spacing w:line="360" w:lineRule="auto"/>
        <w:rPr>
          <w:rFonts w:ascii="宋体" w:hAnsi="宋体" w:cs="宋体"/>
          <w:color w:val="auto"/>
          <w:szCs w:val="21"/>
        </w:rPr>
      </w:pPr>
      <w:r>
        <w:rPr>
          <w:rFonts w:hint="eastAsia" w:ascii="宋体" w:hAnsi="宋体" w:cs="宋体"/>
          <w:color w:val="auto"/>
          <w:szCs w:val="21"/>
        </w:rPr>
        <w:t>建造师执业印章号：</w:t>
      </w:r>
      <w:r>
        <w:rPr>
          <w:rFonts w:hint="eastAsia" w:ascii="宋体" w:hAnsi="宋体" w:cs="宋体"/>
          <w:color w:val="auto"/>
          <w:szCs w:val="21"/>
          <w:u w:val="thick"/>
        </w:rPr>
        <w:t xml:space="preserve">                         </w:t>
      </w:r>
      <w:r>
        <w:rPr>
          <w:rFonts w:hint="eastAsia" w:ascii="宋体" w:hAnsi="宋体" w:cs="宋体"/>
          <w:color w:val="auto"/>
          <w:szCs w:val="21"/>
        </w:rPr>
        <w:t>；</w:t>
      </w:r>
    </w:p>
    <w:p w14:paraId="6B9E9DAD">
      <w:pPr>
        <w:spacing w:line="360" w:lineRule="auto"/>
        <w:rPr>
          <w:rFonts w:ascii="宋体" w:hAnsi="宋体" w:cs="宋体"/>
          <w:color w:val="auto"/>
          <w:szCs w:val="21"/>
        </w:rPr>
      </w:pPr>
      <w:r>
        <w:rPr>
          <w:rFonts w:hint="eastAsia" w:ascii="宋体" w:hAnsi="宋体" w:cs="宋体"/>
          <w:color w:val="auto"/>
          <w:szCs w:val="21"/>
        </w:rPr>
        <w:t>安全生产考核合格证书号：</w:t>
      </w:r>
      <w:r>
        <w:rPr>
          <w:rFonts w:hint="eastAsia" w:ascii="宋体" w:hAnsi="宋体" w:cs="宋体"/>
          <w:color w:val="auto"/>
          <w:szCs w:val="21"/>
          <w:u w:val="thick"/>
        </w:rPr>
        <w:t xml:space="preserve">                   </w:t>
      </w:r>
      <w:r>
        <w:rPr>
          <w:rFonts w:hint="eastAsia" w:ascii="宋体" w:hAnsi="宋体" w:cs="宋体"/>
          <w:color w:val="auto"/>
          <w:szCs w:val="21"/>
        </w:rPr>
        <w:t>；</w:t>
      </w:r>
    </w:p>
    <w:p w14:paraId="02AB12EB">
      <w:pPr>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thick"/>
        </w:rPr>
        <w:t xml:space="preserve">                                  </w:t>
      </w:r>
      <w:r>
        <w:rPr>
          <w:rFonts w:hint="eastAsia" w:ascii="宋体" w:hAnsi="宋体" w:cs="宋体"/>
          <w:color w:val="auto"/>
          <w:szCs w:val="21"/>
        </w:rPr>
        <w:t>；</w:t>
      </w:r>
    </w:p>
    <w:p w14:paraId="1E555398">
      <w:pPr>
        <w:spacing w:line="360" w:lineRule="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thick"/>
        </w:rPr>
        <w:t xml:space="preserve">                                  </w:t>
      </w:r>
      <w:r>
        <w:rPr>
          <w:rFonts w:hint="eastAsia" w:ascii="宋体" w:hAnsi="宋体" w:cs="宋体"/>
          <w:color w:val="auto"/>
          <w:szCs w:val="21"/>
        </w:rPr>
        <w:t>；</w:t>
      </w:r>
    </w:p>
    <w:p w14:paraId="4D289051">
      <w:pPr>
        <w:spacing w:line="360" w:lineRule="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thick"/>
        </w:rPr>
        <w:t xml:space="preserve">                                  </w:t>
      </w:r>
      <w:r>
        <w:rPr>
          <w:rFonts w:hint="eastAsia" w:ascii="宋体" w:hAnsi="宋体" w:cs="宋体"/>
          <w:color w:val="auto"/>
          <w:szCs w:val="21"/>
        </w:rPr>
        <w:t>；</w:t>
      </w:r>
    </w:p>
    <w:p w14:paraId="70040AAE">
      <w:pPr>
        <w:spacing w:line="360" w:lineRule="auto"/>
        <w:rPr>
          <w:rFonts w:ascii="宋体" w:hAnsi="宋体" w:cs="宋体"/>
          <w:color w:val="auto"/>
          <w:szCs w:val="21"/>
        </w:rPr>
      </w:pPr>
      <w:r>
        <w:rPr>
          <w:rFonts w:hint="eastAsia" w:ascii="宋体" w:hAnsi="宋体" w:cs="宋体"/>
          <w:color w:val="auto"/>
          <w:szCs w:val="21"/>
        </w:rPr>
        <w:t>承包人对项目经理的授权范围如下：</w:t>
      </w:r>
      <w:r>
        <w:rPr>
          <w:rFonts w:hint="eastAsia" w:ascii="宋体" w:hAnsi="宋体" w:cs="宋体"/>
          <w:color w:val="auto"/>
          <w:szCs w:val="21"/>
          <w:u w:val="thick"/>
        </w:rPr>
        <w:t>全权代表承包人履行合同并常驻施工现场，直接负责本工程施工中的各项责任，但下列事项必须经发包人同意，并加盖承包人单位公章有效</w:t>
      </w:r>
      <w:r>
        <w:rPr>
          <w:rFonts w:hint="eastAsia" w:ascii="宋体" w:hAnsi="宋体" w:cs="宋体"/>
          <w:color w:val="auto"/>
          <w:szCs w:val="21"/>
        </w:rPr>
        <w:t>：</w:t>
      </w:r>
    </w:p>
    <w:p w14:paraId="1E7CF620">
      <w:pPr>
        <w:spacing w:line="360" w:lineRule="auto"/>
        <w:rPr>
          <w:rFonts w:ascii="宋体" w:hAnsi="宋体" w:cs="宋体"/>
          <w:color w:val="auto"/>
          <w:szCs w:val="21"/>
        </w:rPr>
      </w:pPr>
      <w:r>
        <w:rPr>
          <w:rFonts w:hint="eastAsia" w:ascii="宋体" w:hAnsi="宋体" w:cs="宋体"/>
          <w:color w:val="auto"/>
          <w:szCs w:val="21"/>
          <w:u w:val="thick"/>
        </w:rPr>
        <w:t>(1)与本工程相关的任何补充协议的签订</w:t>
      </w:r>
      <w:r>
        <w:rPr>
          <w:rFonts w:hint="eastAsia" w:ascii="宋体" w:hAnsi="宋体" w:cs="宋体"/>
          <w:color w:val="auto"/>
          <w:szCs w:val="21"/>
        </w:rPr>
        <w:t>。</w:t>
      </w:r>
    </w:p>
    <w:p w14:paraId="4D801173">
      <w:pPr>
        <w:spacing w:line="360" w:lineRule="auto"/>
        <w:rPr>
          <w:rFonts w:ascii="宋体" w:hAnsi="宋体" w:cs="宋体"/>
          <w:color w:val="auto"/>
          <w:szCs w:val="21"/>
        </w:rPr>
      </w:pPr>
      <w:r>
        <w:rPr>
          <w:rFonts w:hint="eastAsia" w:ascii="宋体" w:hAnsi="宋体" w:cs="宋体"/>
          <w:color w:val="auto"/>
          <w:szCs w:val="21"/>
          <w:u w:val="thick"/>
        </w:rPr>
        <w:t>(2)与本工程相关的任何分包合同、采购合同的签订</w:t>
      </w:r>
      <w:r>
        <w:rPr>
          <w:rFonts w:hint="eastAsia" w:ascii="宋体" w:hAnsi="宋体" w:cs="宋体"/>
          <w:color w:val="auto"/>
          <w:szCs w:val="21"/>
        </w:rPr>
        <w:t>。</w:t>
      </w:r>
    </w:p>
    <w:p w14:paraId="74822E77">
      <w:pPr>
        <w:spacing w:line="360" w:lineRule="auto"/>
        <w:rPr>
          <w:rFonts w:ascii="宋体" w:hAnsi="宋体" w:cs="宋体"/>
          <w:color w:val="auto"/>
          <w:szCs w:val="21"/>
        </w:rPr>
      </w:pPr>
      <w:r>
        <w:rPr>
          <w:rFonts w:hint="eastAsia" w:ascii="宋体" w:hAnsi="宋体" w:cs="宋体"/>
          <w:color w:val="auto"/>
          <w:szCs w:val="21"/>
          <w:u w:val="thick"/>
        </w:rPr>
        <w:t>(3)同意涉及合同价款变化超过1万元或合同工期变化超过3天的变更指示</w:t>
      </w:r>
      <w:r>
        <w:rPr>
          <w:rFonts w:hint="eastAsia" w:ascii="宋体" w:hAnsi="宋体" w:cs="宋体"/>
          <w:color w:val="auto"/>
          <w:szCs w:val="21"/>
        </w:rPr>
        <w:t>。</w:t>
      </w:r>
    </w:p>
    <w:p w14:paraId="72AE5672">
      <w:pPr>
        <w:spacing w:line="360" w:lineRule="auto"/>
        <w:rPr>
          <w:rFonts w:ascii="宋体" w:hAnsi="宋体" w:cs="宋体"/>
          <w:color w:val="auto"/>
          <w:szCs w:val="21"/>
        </w:rPr>
      </w:pPr>
      <w:r>
        <w:rPr>
          <w:rFonts w:hint="eastAsia" w:ascii="宋体" w:hAnsi="宋体" w:cs="宋体"/>
          <w:color w:val="auto"/>
          <w:szCs w:val="21"/>
          <w:u w:val="thick"/>
        </w:rPr>
        <w:t>(4)进度款支付申请、竣工验收申请、最终结清申请单</w:t>
      </w:r>
      <w:r>
        <w:rPr>
          <w:rFonts w:hint="eastAsia" w:ascii="宋体" w:hAnsi="宋体" w:cs="宋体"/>
          <w:color w:val="auto"/>
          <w:szCs w:val="21"/>
        </w:rPr>
        <w:t>。</w:t>
      </w:r>
    </w:p>
    <w:p w14:paraId="025AEC23">
      <w:pPr>
        <w:spacing w:line="360" w:lineRule="auto"/>
        <w:rPr>
          <w:rFonts w:ascii="宋体" w:hAnsi="宋体" w:cs="宋体"/>
          <w:color w:val="auto"/>
          <w:szCs w:val="21"/>
        </w:rPr>
      </w:pPr>
      <w:r>
        <w:rPr>
          <w:rFonts w:hint="eastAsia" w:ascii="宋体" w:hAnsi="宋体" w:cs="宋体"/>
          <w:color w:val="auto"/>
          <w:szCs w:val="21"/>
        </w:rPr>
        <w:t>关于项目经理每月在施工现场的时间要求：</w:t>
      </w:r>
      <w:r>
        <w:rPr>
          <w:rFonts w:hint="eastAsia" w:ascii="宋体" w:hAnsi="宋体" w:cs="宋体"/>
          <w:color w:val="auto"/>
          <w:szCs w:val="21"/>
          <w:u w:val="thick"/>
        </w:rPr>
        <w:t>每月不少于25天，否则每缺勤一天，项目经理按2000元/天进行处罚</w:t>
      </w:r>
      <w:r>
        <w:rPr>
          <w:rFonts w:hint="eastAsia" w:ascii="宋体" w:hAnsi="宋体" w:cs="宋体"/>
          <w:color w:val="auto"/>
          <w:szCs w:val="21"/>
        </w:rPr>
        <w:t xml:space="preserve">；   </w:t>
      </w:r>
    </w:p>
    <w:p w14:paraId="31EB30F9">
      <w:pPr>
        <w:spacing w:line="360" w:lineRule="auto"/>
        <w:rPr>
          <w:rFonts w:ascii="宋体" w:hAnsi="宋体" w:cs="宋体"/>
          <w:color w:val="auto"/>
          <w:szCs w:val="21"/>
        </w:rPr>
      </w:pPr>
      <w:r>
        <w:rPr>
          <w:rFonts w:hint="eastAsia" w:ascii="宋体" w:hAnsi="宋体" w:cs="宋体"/>
          <w:color w:val="auto"/>
          <w:szCs w:val="21"/>
        </w:rPr>
        <w:t>承包人未提交劳动合同，以及没有为项目经理缴纳社会保险证明的违约责任：</w:t>
      </w:r>
      <w:r>
        <w:rPr>
          <w:rFonts w:hint="eastAsia" w:ascii="宋体" w:hAnsi="宋体" w:cs="宋体"/>
          <w:color w:val="auto"/>
          <w:szCs w:val="21"/>
          <w:u w:val="thick"/>
        </w:rPr>
        <w:t>监理人限期承包人在收到提交要求后3日内补交，并承担违约金1万元；3日内不能补交的发包人有权承包人更换项目经理，并承担违约金3万元。由此增加的费用和延误的工期由承包人承担</w:t>
      </w:r>
      <w:r>
        <w:rPr>
          <w:rFonts w:hint="eastAsia" w:ascii="宋体" w:hAnsi="宋体" w:cs="宋体"/>
          <w:color w:val="auto"/>
          <w:szCs w:val="21"/>
        </w:rPr>
        <w:t>。</w:t>
      </w:r>
    </w:p>
    <w:p w14:paraId="521DB016">
      <w:pPr>
        <w:spacing w:line="360" w:lineRule="auto"/>
        <w:rPr>
          <w:rFonts w:ascii="宋体" w:hAnsi="宋体" w:cs="宋体"/>
          <w:color w:val="auto"/>
          <w:szCs w:val="21"/>
        </w:rPr>
      </w:pPr>
      <w:r>
        <w:rPr>
          <w:rFonts w:hint="eastAsia" w:ascii="宋体" w:hAnsi="宋体" w:cs="宋体"/>
          <w:color w:val="auto"/>
          <w:szCs w:val="21"/>
        </w:rPr>
        <w:t>项目经理未经批准，擅自离开施工现场的违约责任：</w:t>
      </w:r>
      <w:r>
        <w:rPr>
          <w:rFonts w:hint="eastAsia" w:ascii="宋体" w:hAnsi="宋体" w:cs="宋体"/>
          <w:color w:val="auto"/>
          <w:szCs w:val="21"/>
          <w:u w:val="thick"/>
        </w:rPr>
        <w:t>擅自离场≤3天，承包人承担1万元违约金；擅自离场＞3天，发包人有权要求承包人更换项目经理，并承担3万元违约金。由此增加的费用和延误的工期由承包人承担</w:t>
      </w:r>
      <w:r>
        <w:rPr>
          <w:rFonts w:hint="eastAsia" w:ascii="宋体" w:hAnsi="宋体" w:cs="宋体"/>
          <w:color w:val="auto"/>
          <w:szCs w:val="21"/>
        </w:rPr>
        <w:t>。</w:t>
      </w:r>
      <w:r>
        <w:rPr>
          <w:rFonts w:hint="eastAsia" w:ascii="宋体" w:hAnsi="宋体" w:cs="宋体"/>
          <w:color w:val="auto"/>
          <w:szCs w:val="21"/>
          <w:u w:val="thick"/>
        </w:rPr>
        <w:t>发包人视情节轻重决定是否要求承包人更换合格项目负责人或解除施工合同</w:t>
      </w:r>
      <w:r>
        <w:rPr>
          <w:rFonts w:hint="eastAsia" w:ascii="宋体" w:hAnsi="宋体" w:cs="宋体"/>
          <w:color w:val="auto"/>
          <w:szCs w:val="21"/>
        </w:rPr>
        <w:t>。</w:t>
      </w:r>
    </w:p>
    <w:p w14:paraId="5EDA44B5">
      <w:pPr>
        <w:spacing w:line="360" w:lineRule="auto"/>
        <w:rPr>
          <w:rFonts w:ascii="宋体" w:hAnsi="宋体" w:cs="宋体"/>
          <w:color w:val="auto"/>
          <w:szCs w:val="21"/>
        </w:rPr>
      </w:pPr>
      <w:r>
        <w:rPr>
          <w:rFonts w:hint="eastAsia" w:ascii="宋体" w:hAnsi="宋体" w:cs="宋体"/>
          <w:color w:val="auto"/>
          <w:szCs w:val="21"/>
        </w:rPr>
        <w:t>3.2.2承包人更换项目经理：</w:t>
      </w:r>
      <w:r>
        <w:rPr>
          <w:rFonts w:hint="eastAsia" w:ascii="宋体" w:hAnsi="宋体" w:cs="宋体"/>
          <w:color w:val="auto"/>
          <w:szCs w:val="21"/>
          <w:u w:val="thick"/>
        </w:rPr>
        <w:t>承包人应报有关监督部门备案后更换项目经理</w:t>
      </w:r>
      <w:r>
        <w:rPr>
          <w:rFonts w:hint="eastAsia" w:ascii="宋体" w:hAnsi="宋体" w:cs="宋体"/>
          <w:color w:val="auto"/>
          <w:szCs w:val="21"/>
        </w:rPr>
        <w:t>。</w:t>
      </w:r>
    </w:p>
    <w:p w14:paraId="4CEA39F9">
      <w:pPr>
        <w:spacing w:line="360" w:lineRule="auto"/>
        <w:rPr>
          <w:rFonts w:ascii="宋体" w:hAnsi="宋体" w:cs="宋体"/>
          <w:color w:val="auto"/>
          <w:szCs w:val="21"/>
        </w:rPr>
      </w:pPr>
      <w:r>
        <w:rPr>
          <w:rFonts w:hint="eastAsia" w:ascii="宋体" w:hAnsi="宋体" w:cs="宋体"/>
          <w:color w:val="auto"/>
          <w:szCs w:val="21"/>
        </w:rPr>
        <w:t>3.2.3 承包人擅自更换项目经理的违约责任：</w:t>
      </w:r>
      <w:r>
        <w:rPr>
          <w:rFonts w:hint="eastAsia" w:ascii="宋体" w:hAnsi="宋体" w:cs="宋体"/>
          <w:color w:val="auto"/>
          <w:szCs w:val="21"/>
          <w:u w:val="thick"/>
        </w:rPr>
        <w:t>发包人有权单方面解除施工合同而不承担违约责任，并扣罚本合同价款2%-5%的违约金</w:t>
      </w:r>
      <w:r>
        <w:rPr>
          <w:rFonts w:hint="eastAsia" w:ascii="宋体" w:hAnsi="宋体" w:cs="宋体"/>
          <w:color w:val="auto"/>
          <w:szCs w:val="21"/>
        </w:rPr>
        <w:t>。</w:t>
      </w:r>
    </w:p>
    <w:p w14:paraId="5BE71348">
      <w:pPr>
        <w:spacing w:line="360" w:lineRule="auto"/>
        <w:rPr>
          <w:rFonts w:ascii="宋体" w:hAnsi="宋体" w:cs="宋体"/>
          <w:color w:val="auto"/>
          <w:szCs w:val="21"/>
        </w:rPr>
      </w:pPr>
      <w:r>
        <w:rPr>
          <w:rFonts w:hint="eastAsia" w:ascii="宋体" w:hAnsi="宋体" w:cs="宋体"/>
          <w:color w:val="auto"/>
          <w:szCs w:val="21"/>
        </w:rPr>
        <w:t>3.2.4 承包人无正当理由拒绝更换项目经理的违约责任：</w:t>
      </w:r>
      <w:r>
        <w:rPr>
          <w:rFonts w:hint="eastAsia" w:ascii="宋体" w:hAnsi="宋体" w:cs="宋体"/>
          <w:color w:val="auto"/>
          <w:szCs w:val="21"/>
          <w:u w:val="thick"/>
        </w:rPr>
        <w:t>发包人有权单方面解除施工合同而不承担违约责任，并扣罚本合同价款2%-5%的违约金</w:t>
      </w:r>
      <w:r>
        <w:rPr>
          <w:rFonts w:hint="eastAsia" w:ascii="宋体" w:hAnsi="宋体" w:cs="宋体"/>
          <w:color w:val="auto"/>
          <w:szCs w:val="21"/>
        </w:rPr>
        <w:t>。</w:t>
      </w:r>
    </w:p>
    <w:p w14:paraId="6E4DECA0">
      <w:pPr>
        <w:spacing w:line="360" w:lineRule="auto"/>
        <w:rPr>
          <w:rFonts w:ascii="宋体" w:hAnsi="宋体" w:cs="宋体"/>
          <w:color w:val="auto"/>
          <w:szCs w:val="21"/>
        </w:rPr>
      </w:pPr>
      <w:r>
        <w:rPr>
          <w:rFonts w:hint="eastAsia" w:ascii="宋体" w:hAnsi="宋体" w:cs="宋体"/>
          <w:color w:val="auto"/>
          <w:szCs w:val="21"/>
        </w:rPr>
        <w:t>增加：</w:t>
      </w:r>
    </w:p>
    <w:p w14:paraId="44C1E053">
      <w:pPr>
        <w:spacing w:line="360" w:lineRule="auto"/>
        <w:rPr>
          <w:rFonts w:ascii="宋体" w:hAnsi="宋体" w:cs="宋体"/>
          <w:color w:val="auto"/>
          <w:szCs w:val="21"/>
        </w:rPr>
      </w:pPr>
      <w:r>
        <w:rPr>
          <w:rFonts w:hint="eastAsia" w:ascii="宋体" w:hAnsi="宋体" w:cs="宋体"/>
          <w:color w:val="auto"/>
          <w:szCs w:val="21"/>
        </w:rPr>
        <w:t>(1)如经发包人同意或要求承包人更换后的新任项目负责人无法胜任岗位职责，并因此导致费用增加或工期延误的，应由承包人承担；</w:t>
      </w:r>
    </w:p>
    <w:p w14:paraId="618B28C2">
      <w:pPr>
        <w:spacing w:line="360" w:lineRule="auto"/>
        <w:rPr>
          <w:rFonts w:ascii="宋体" w:hAnsi="宋体" w:cs="宋体"/>
          <w:color w:val="auto"/>
          <w:szCs w:val="21"/>
        </w:rPr>
      </w:pPr>
      <w:r>
        <w:rPr>
          <w:rFonts w:hint="eastAsia" w:ascii="宋体" w:hAnsi="宋体" w:cs="宋体"/>
          <w:color w:val="auto"/>
          <w:szCs w:val="21"/>
        </w:rPr>
        <w:t xml:space="preserve">(2)项目负责人或主要施工管理人员出现以下情形时，视为项目负责人或主要施工管理人员不称职，发包人可要求承包人更换： </w:t>
      </w:r>
    </w:p>
    <w:p w14:paraId="4B544CFD">
      <w:pPr>
        <w:spacing w:line="360" w:lineRule="auto"/>
        <w:rPr>
          <w:rFonts w:ascii="宋体" w:hAnsi="宋体" w:cs="宋体"/>
          <w:color w:val="auto"/>
          <w:szCs w:val="21"/>
        </w:rPr>
      </w:pPr>
      <w:r>
        <w:rPr>
          <w:rFonts w:hint="eastAsia" w:ascii="宋体" w:hAnsi="宋体" w:cs="宋体"/>
          <w:color w:val="auto"/>
          <w:szCs w:val="21"/>
        </w:rPr>
        <w:t>①经常行为不轨或不认真，品行不端；</w:t>
      </w:r>
    </w:p>
    <w:p w14:paraId="6EE26BE2">
      <w:pPr>
        <w:spacing w:line="360" w:lineRule="auto"/>
        <w:rPr>
          <w:rFonts w:ascii="宋体" w:hAnsi="宋体" w:cs="宋体"/>
          <w:color w:val="auto"/>
          <w:szCs w:val="21"/>
        </w:rPr>
      </w:pPr>
      <w:r>
        <w:rPr>
          <w:rFonts w:hint="eastAsia" w:ascii="宋体" w:hAnsi="宋体" w:cs="宋体"/>
          <w:color w:val="auto"/>
          <w:szCs w:val="21"/>
        </w:rPr>
        <w:t>②履行职责时不能胜任或玩忽职守；</w:t>
      </w:r>
    </w:p>
    <w:p w14:paraId="255481B5">
      <w:pPr>
        <w:spacing w:line="360" w:lineRule="auto"/>
        <w:rPr>
          <w:rFonts w:ascii="宋体" w:hAnsi="宋体" w:cs="宋体"/>
          <w:color w:val="auto"/>
          <w:szCs w:val="21"/>
        </w:rPr>
      </w:pPr>
      <w:r>
        <w:rPr>
          <w:rFonts w:hint="eastAsia" w:ascii="宋体" w:hAnsi="宋体" w:cs="宋体"/>
          <w:color w:val="auto"/>
          <w:szCs w:val="21"/>
        </w:rPr>
        <w:t>③不遵守合同的规定；</w:t>
      </w:r>
    </w:p>
    <w:p w14:paraId="5956F04B">
      <w:pPr>
        <w:spacing w:line="360" w:lineRule="auto"/>
        <w:rPr>
          <w:rFonts w:ascii="宋体" w:hAnsi="宋体" w:cs="宋体"/>
          <w:color w:val="auto"/>
          <w:szCs w:val="21"/>
        </w:rPr>
      </w:pPr>
      <w:r>
        <w:rPr>
          <w:rFonts w:hint="eastAsia" w:ascii="宋体" w:hAnsi="宋体" w:cs="宋体"/>
          <w:color w:val="auto"/>
          <w:szCs w:val="21"/>
        </w:rPr>
        <w:t>④经常出现有损健康与安全或有损环境保护的行为；</w:t>
      </w:r>
    </w:p>
    <w:p w14:paraId="33A6E6C4">
      <w:pPr>
        <w:spacing w:line="360" w:lineRule="auto"/>
        <w:rPr>
          <w:rFonts w:ascii="宋体" w:hAnsi="宋体" w:cs="宋体"/>
          <w:color w:val="auto"/>
          <w:szCs w:val="21"/>
        </w:rPr>
      </w:pPr>
      <w:r>
        <w:rPr>
          <w:rFonts w:hint="eastAsia" w:ascii="宋体" w:hAnsi="宋体" w:cs="宋体"/>
          <w:color w:val="auto"/>
          <w:szCs w:val="21"/>
        </w:rPr>
        <w:t>⑤连续两月考勤天数每月不足25天；</w:t>
      </w:r>
    </w:p>
    <w:p w14:paraId="4870CD84">
      <w:pPr>
        <w:spacing w:line="360" w:lineRule="auto"/>
        <w:rPr>
          <w:rFonts w:ascii="宋体" w:hAnsi="宋体" w:cs="宋体"/>
          <w:color w:val="auto"/>
          <w:szCs w:val="21"/>
        </w:rPr>
      </w:pPr>
      <w:r>
        <w:rPr>
          <w:rFonts w:hint="eastAsia" w:ascii="宋体" w:hAnsi="宋体" w:cs="宋体"/>
          <w:color w:val="auto"/>
          <w:szCs w:val="21"/>
        </w:rPr>
        <w:t>⑥打、骂、威胁发包人及监理人派驻现场人员；</w:t>
      </w:r>
    </w:p>
    <w:p w14:paraId="13927EE4">
      <w:pPr>
        <w:spacing w:line="360" w:lineRule="auto"/>
        <w:rPr>
          <w:rFonts w:ascii="宋体" w:hAnsi="宋体" w:cs="宋体"/>
          <w:color w:val="auto"/>
          <w:szCs w:val="21"/>
        </w:rPr>
      </w:pPr>
      <w:r>
        <w:rPr>
          <w:rFonts w:hint="eastAsia" w:ascii="宋体" w:hAnsi="宋体" w:cs="宋体"/>
          <w:color w:val="auto"/>
          <w:szCs w:val="21"/>
        </w:rPr>
        <w:t>⑦工作期间饮酒；</w:t>
      </w:r>
    </w:p>
    <w:p w14:paraId="17754FA5">
      <w:pPr>
        <w:spacing w:line="360" w:lineRule="auto"/>
        <w:rPr>
          <w:rFonts w:ascii="宋体" w:hAnsi="宋体" w:cs="宋体"/>
          <w:color w:val="auto"/>
          <w:szCs w:val="21"/>
        </w:rPr>
      </w:pPr>
      <w:r>
        <w:rPr>
          <w:rFonts w:hint="eastAsia" w:ascii="宋体" w:hAnsi="宋体" w:cs="宋体"/>
          <w:color w:val="auto"/>
          <w:szCs w:val="21"/>
        </w:rPr>
        <w:fldChar w:fldCharType="begin"/>
      </w:r>
      <w:r>
        <w:rPr>
          <w:rFonts w:hint="eastAsia" w:ascii="宋体" w:hAnsi="宋体" w:cs="宋体"/>
          <w:color w:val="auto"/>
          <w:szCs w:val="21"/>
        </w:rPr>
        <w:instrText xml:space="preserve"> = 8 \* GB3 </w:instrText>
      </w:r>
      <w:r>
        <w:rPr>
          <w:rFonts w:hint="eastAsia" w:ascii="宋体" w:hAnsi="宋体" w:cs="宋体"/>
          <w:color w:val="auto"/>
          <w:szCs w:val="21"/>
        </w:rPr>
        <w:fldChar w:fldCharType="separate"/>
      </w:r>
      <w:r>
        <w:rPr>
          <w:rFonts w:hint="eastAsia" w:ascii="宋体" w:hAnsi="宋体" w:cs="宋体"/>
          <w:color w:val="auto"/>
          <w:szCs w:val="21"/>
        </w:rPr>
        <w:t>⑧</w:t>
      </w:r>
      <w:r>
        <w:rPr>
          <w:rFonts w:hint="eastAsia" w:ascii="宋体" w:hAnsi="宋体" w:cs="宋体"/>
          <w:color w:val="auto"/>
          <w:szCs w:val="21"/>
        </w:rPr>
        <w:fldChar w:fldCharType="end"/>
      </w:r>
      <w:r>
        <w:rPr>
          <w:rFonts w:hint="eastAsia" w:ascii="宋体" w:hAnsi="宋体" w:cs="宋体"/>
          <w:color w:val="auto"/>
          <w:szCs w:val="21"/>
        </w:rPr>
        <w:t>法律法规规定的其他不称职行为或违法行为。</w:t>
      </w:r>
    </w:p>
    <w:p w14:paraId="6D2C9A0D">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3.3 承包人人员</w:t>
      </w:r>
    </w:p>
    <w:p w14:paraId="21024138">
      <w:pPr>
        <w:spacing w:line="360" w:lineRule="auto"/>
        <w:rPr>
          <w:rFonts w:ascii="宋体" w:hAnsi="宋体" w:cs="宋体"/>
          <w:color w:val="auto"/>
          <w:szCs w:val="21"/>
        </w:rPr>
      </w:pPr>
      <w:r>
        <w:rPr>
          <w:rFonts w:hint="eastAsia" w:ascii="宋体" w:hAnsi="宋体" w:cs="宋体"/>
          <w:color w:val="auto"/>
          <w:szCs w:val="21"/>
        </w:rPr>
        <w:t>3.3.1 承包人提交项目管理机构及施工现场管理人员安排报告的期限：</w:t>
      </w:r>
      <w:r>
        <w:rPr>
          <w:rFonts w:hint="eastAsia" w:ascii="宋体" w:hAnsi="宋体" w:cs="宋体"/>
          <w:color w:val="auto"/>
          <w:szCs w:val="21"/>
          <w:u w:val="thick"/>
        </w:rPr>
        <w:t>接到开工通知后7天内提交</w:t>
      </w:r>
      <w:r>
        <w:rPr>
          <w:rFonts w:hint="eastAsia" w:ascii="宋体" w:hAnsi="宋体" w:cs="宋体"/>
          <w:color w:val="auto"/>
          <w:szCs w:val="21"/>
        </w:rPr>
        <w:t>。</w:t>
      </w:r>
    </w:p>
    <w:p w14:paraId="61591E9F">
      <w:pPr>
        <w:spacing w:line="360" w:lineRule="auto"/>
        <w:rPr>
          <w:rFonts w:ascii="宋体" w:hAnsi="宋体" w:cs="宋体"/>
          <w:color w:val="auto"/>
          <w:szCs w:val="21"/>
        </w:rPr>
      </w:pPr>
      <w:r>
        <w:rPr>
          <w:rFonts w:hint="eastAsia" w:ascii="宋体" w:hAnsi="宋体" w:cs="宋体"/>
          <w:color w:val="auto"/>
          <w:szCs w:val="21"/>
        </w:rPr>
        <w:t>3.3.3 承包人无正当理由拒绝撤换主要施工管理人员的违约责任：</w:t>
      </w:r>
      <w:r>
        <w:rPr>
          <w:rFonts w:hint="eastAsia" w:ascii="宋体" w:hAnsi="宋体" w:cs="宋体"/>
          <w:color w:val="auto"/>
          <w:szCs w:val="21"/>
          <w:u w:val="thick"/>
        </w:rPr>
        <w:t>监理人应再次发出通知要求承包人3天之内予以更换，并承担违约责任5000元；如承包人收到的第二次更换通知3日内人拒绝更换的，监理人应书面主要施工管理人员停止工作，并指示暂时停止施工。按照7.8.2款【承包人原因引起的暂停施工】处理</w:t>
      </w:r>
      <w:r>
        <w:rPr>
          <w:rFonts w:hint="eastAsia" w:ascii="宋体" w:hAnsi="宋体" w:cs="宋体"/>
          <w:color w:val="auto"/>
          <w:szCs w:val="21"/>
        </w:rPr>
        <w:t>。</w:t>
      </w:r>
    </w:p>
    <w:p w14:paraId="6BB1763C">
      <w:pPr>
        <w:spacing w:line="360" w:lineRule="auto"/>
        <w:rPr>
          <w:rFonts w:ascii="宋体" w:hAnsi="宋体" w:cs="宋体"/>
          <w:color w:val="auto"/>
          <w:szCs w:val="21"/>
        </w:rPr>
      </w:pPr>
      <w:r>
        <w:rPr>
          <w:rFonts w:hint="eastAsia" w:ascii="宋体" w:hAnsi="宋体" w:cs="宋体"/>
          <w:color w:val="auto"/>
          <w:szCs w:val="21"/>
        </w:rPr>
        <w:t>3.3.4 承包人主要施工管理人员离开施工现场的批准要求：</w:t>
      </w:r>
      <w:r>
        <w:rPr>
          <w:rFonts w:hint="eastAsia" w:ascii="宋体" w:hAnsi="宋体" w:cs="宋体"/>
          <w:color w:val="auto"/>
          <w:szCs w:val="21"/>
          <w:u w:val="thick"/>
        </w:rPr>
        <w:t>必须提前一周由总监理工程师批准，发包人认可后方可离开</w:t>
      </w:r>
      <w:r>
        <w:rPr>
          <w:rFonts w:hint="eastAsia" w:ascii="宋体" w:hAnsi="宋体" w:cs="宋体"/>
          <w:color w:val="auto"/>
          <w:szCs w:val="21"/>
        </w:rPr>
        <w:t>。</w:t>
      </w:r>
    </w:p>
    <w:p w14:paraId="70647B4A">
      <w:pPr>
        <w:spacing w:line="360" w:lineRule="auto"/>
        <w:rPr>
          <w:rFonts w:ascii="宋体" w:hAnsi="宋体" w:cs="宋体"/>
          <w:color w:val="auto"/>
          <w:szCs w:val="21"/>
        </w:rPr>
      </w:pPr>
      <w:r>
        <w:rPr>
          <w:rFonts w:hint="eastAsia" w:ascii="宋体" w:hAnsi="宋体" w:cs="宋体"/>
          <w:color w:val="auto"/>
          <w:szCs w:val="21"/>
        </w:rPr>
        <w:t>3.3.5承包人擅自更换主要施工管理人员的违约责任：</w:t>
      </w:r>
      <w:r>
        <w:rPr>
          <w:rFonts w:hint="eastAsia" w:ascii="宋体" w:hAnsi="宋体" w:cs="宋体"/>
          <w:color w:val="auto"/>
          <w:szCs w:val="21"/>
          <w:u w:val="thick"/>
        </w:rPr>
        <w:t>如原管理人员能够继续履行职责的，监理人应责令承包人撤销其更换决定，承包人承担5000元违约金；如原管理人员客观上已经无法继续履行职责的，发包人有权审核承包人更换的施工管理人员，承包人应承担违约金1万元。由此增加的费用和延误的工期由承包人承担</w:t>
      </w:r>
      <w:r>
        <w:rPr>
          <w:rFonts w:hint="eastAsia" w:ascii="宋体" w:hAnsi="宋体" w:cs="宋体"/>
          <w:color w:val="auto"/>
          <w:szCs w:val="21"/>
        </w:rPr>
        <w:t>。</w:t>
      </w:r>
    </w:p>
    <w:p w14:paraId="25EC2472">
      <w:pPr>
        <w:spacing w:line="360" w:lineRule="auto"/>
        <w:rPr>
          <w:rFonts w:ascii="宋体" w:hAnsi="宋体" w:cs="宋体"/>
          <w:color w:val="auto"/>
          <w:szCs w:val="21"/>
        </w:rPr>
      </w:pPr>
      <w:r>
        <w:rPr>
          <w:rFonts w:hint="eastAsia" w:ascii="宋体" w:hAnsi="宋体" w:cs="宋体"/>
          <w:color w:val="auto"/>
          <w:szCs w:val="21"/>
        </w:rPr>
        <w:t>承包人主要施工管理人员擅自离开施工现场的违约责任：</w:t>
      </w:r>
      <w:r>
        <w:rPr>
          <w:rFonts w:hint="eastAsia" w:ascii="宋体" w:hAnsi="宋体" w:cs="宋体"/>
          <w:color w:val="auto"/>
          <w:szCs w:val="21"/>
          <w:u w:val="thick"/>
        </w:rPr>
        <w:t>主要项目管理人员考勤自开工令发布之日起至工程移交之日止。每月考勤天数不得少于25天。少于25天时，每缺勤一天，按 500元/天进行处罚，考勤自开工令发布之日起至工程移交之日止。不足半天按半天计，超半天按一天计。连续两月考勤天数不足25天的，发包人有权要求更换相关管理人员或解除合同而不承担违约责任</w:t>
      </w:r>
      <w:r>
        <w:rPr>
          <w:rFonts w:hint="eastAsia" w:ascii="宋体" w:hAnsi="宋体" w:cs="宋体"/>
          <w:color w:val="auto"/>
          <w:szCs w:val="21"/>
        </w:rPr>
        <w:t>。</w:t>
      </w:r>
    </w:p>
    <w:p w14:paraId="73AD77B1">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3</w:t>
      </w:r>
      <w:bookmarkStart w:id="283" w:name="_Toc296891199"/>
      <w:bookmarkStart w:id="284" w:name="_Toc297048345"/>
      <w:bookmarkStart w:id="285" w:name="_Toc297216151"/>
      <w:bookmarkStart w:id="286" w:name="_Toc312677988"/>
      <w:bookmarkStart w:id="287" w:name="_Toc296944498"/>
      <w:bookmarkStart w:id="288" w:name="_Toc296503159"/>
      <w:bookmarkStart w:id="289" w:name="_Toc296890987"/>
      <w:bookmarkStart w:id="290" w:name="_Toc303539102"/>
      <w:bookmarkStart w:id="291" w:name="_Toc297123492"/>
      <w:bookmarkStart w:id="292" w:name="_Toc304295523"/>
      <w:bookmarkStart w:id="293" w:name="_Toc296347158"/>
      <w:bookmarkStart w:id="294" w:name="_Toc292559869"/>
      <w:bookmarkStart w:id="295" w:name="_Toc292559364"/>
      <w:bookmarkStart w:id="296" w:name="_Toc297120459"/>
      <w:bookmarkStart w:id="297" w:name="_Toc300934945"/>
      <w:bookmarkStart w:id="298" w:name="_Toc296346660"/>
      <w:r>
        <w:rPr>
          <w:rFonts w:hint="eastAsia" w:ascii="宋体" w:hAnsi="宋体" w:cs="宋体"/>
          <w:color w:val="auto"/>
          <w:szCs w:val="21"/>
          <w:shd w:val="pct10" w:color="auto" w:fill="FFFFFF"/>
        </w:rPr>
        <w:t>.5 分包</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13908BB3">
      <w:pPr>
        <w:spacing w:line="360" w:lineRule="auto"/>
        <w:rPr>
          <w:rFonts w:ascii="宋体" w:hAnsi="宋体" w:cs="宋体"/>
          <w:color w:val="auto"/>
          <w:szCs w:val="21"/>
        </w:rPr>
      </w:pPr>
      <w:r>
        <w:rPr>
          <w:rFonts w:hint="eastAsia" w:ascii="宋体" w:hAnsi="宋体" w:cs="宋体"/>
          <w:color w:val="auto"/>
          <w:szCs w:val="21"/>
        </w:rPr>
        <w:t>3</w:t>
      </w:r>
      <w:bookmarkStart w:id="299" w:name="_Toc296503160"/>
      <w:bookmarkStart w:id="300" w:name="_Toc297120460"/>
      <w:bookmarkStart w:id="301" w:name="_Toc296890988"/>
      <w:bookmarkStart w:id="302" w:name="_Toc296891200"/>
      <w:bookmarkStart w:id="303" w:name="_Toc296346661"/>
      <w:bookmarkStart w:id="304" w:name="_Toc312677989"/>
      <w:bookmarkStart w:id="305" w:name="_Toc318581158"/>
      <w:bookmarkStart w:id="306" w:name="_Toc292559365"/>
      <w:bookmarkStart w:id="307" w:name="_Toc297216152"/>
      <w:bookmarkStart w:id="308" w:name="_Toc292559870"/>
      <w:bookmarkStart w:id="309" w:name="_Toc297048346"/>
      <w:bookmarkStart w:id="310" w:name="_Toc300934946"/>
      <w:bookmarkStart w:id="311" w:name="_Toc304295524"/>
      <w:bookmarkStart w:id="312" w:name="_Toc303539103"/>
      <w:bookmarkStart w:id="313" w:name="_Toc296347159"/>
      <w:bookmarkStart w:id="314" w:name="_Toc296944499"/>
      <w:bookmarkStart w:id="315" w:name="_Toc297123493"/>
      <w:r>
        <w:rPr>
          <w:rFonts w:hint="eastAsia" w:ascii="宋体" w:hAnsi="宋体" w:cs="宋体"/>
          <w:color w:val="auto"/>
          <w:szCs w:val="21"/>
        </w:rPr>
        <w:t>.5.1 分包的一般约定</w:t>
      </w:r>
    </w:p>
    <w:p w14:paraId="70701E5D">
      <w:pPr>
        <w:spacing w:line="360" w:lineRule="auto"/>
        <w:rPr>
          <w:rFonts w:ascii="宋体" w:hAnsi="宋体" w:cs="宋体"/>
          <w:color w:val="auto"/>
          <w:szCs w:val="21"/>
        </w:rPr>
      </w:pPr>
      <w:r>
        <w:rPr>
          <w:rFonts w:hint="eastAsia" w:ascii="宋体" w:hAnsi="宋体" w:cs="宋体"/>
          <w:color w:val="auto"/>
          <w:szCs w:val="21"/>
        </w:rPr>
        <w:t>禁止分包的工程包括：</w:t>
      </w:r>
      <w:r>
        <w:rPr>
          <w:rFonts w:hint="eastAsia" w:ascii="宋体" w:hAnsi="宋体" w:cs="宋体"/>
          <w:color w:val="auto"/>
          <w:szCs w:val="21"/>
          <w:u w:val="single"/>
        </w:rPr>
        <w:t xml:space="preserve">   本工程禁止分包    </w:t>
      </w:r>
      <w:r>
        <w:rPr>
          <w:rFonts w:hint="eastAsia" w:ascii="宋体" w:hAnsi="宋体" w:cs="宋体"/>
          <w:color w:val="auto"/>
          <w:szCs w:val="21"/>
        </w:rPr>
        <w:t>。</w:t>
      </w:r>
    </w:p>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14:paraId="3AF57A27">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3.6 工程照管与成品、半成品保护</w:t>
      </w:r>
    </w:p>
    <w:p w14:paraId="6F6EC2F5">
      <w:pPr>
        <w:spacing w:line="360" w:lineRule="auto"/>
        <w:rPr>
          <w:rFonts w:ascii="宋体" w:hAnsi="宋体" w:cs="宋体"/>
          <w:color w:val="auto"/>
          <w:szCs w:val="21"/>
        </w:rPr>
      </w:pPr>
      <w:r>
        <w:rPr>
          <w:rFonts w:hint="eastAsia" w:ascii="宋体" w:hAnsi="宋体" w:cs="宋体"/>
          <w:color w:val="auto"/>
          <w:szCs w:val="21"/>
        </w:rPr>
        <w:t>承包人负责照管工程及工程相关的材料、工程设备的起始时间：</w:t>
      </w:r>
      <w:r>
        <w:rPr>
          <w:rFonts w:hint="eastAsia" w:ascii="宋体" w:hAnsi="宋体" w:cs="宋体"/>
          <w:color w:val="auto"/>
          <w:szCs w:val="21"/>
          <w:u w:val="thick"/>
        </w:rPr>
        <w:t>执行通用合同条款</w:t>
      </w:r>
      <w:r>
        <w:rPr>
          <w:rFonts w:hint="eastAsia" w:ascii="宋体" w:hAnsi="宋体" w:cs="宋体"/>
          <w:color w:val="auto"/>
          <w:szCs w:val="21"/>
        </w:rPr>
        <w:t>。</w:t>
      </w:r>
    </w:p>
    <w:p w14:paraId="16DB7298">
      <w:pPr>
        <w:spacing w:line="360" w:lineRule="auto"/>
        <w:rPr>
          <w:rFonts w:ascii="宋体" w:hAnsi="宋体" w:cs="宋体"/>
          <w:color w:val="auto"/>
          <w:szCs w:val="21"/>
          <w:shd w:val="pct10" w:color="auto" w:fill="FFFFFF"/>
        </w:rPr>
      </w:pPr>
      <w:bookmarkStart w:id="316" w:name="_Toc351203636"/>
      <w:r>
        <w:rPr>
          <w:rFonts w:hint="eastAsia" w:ascii="宋体" w:hAnsi="宋体" w:cs="宋体"/>
          <w:color w:val="auto"/>
          <w:szCs w:val="21"/>
          <w:shd w:val="pct10" w:color="auto" w:fill="FFFFFF"/>
        </w:rPr>
        <w:t>4</w:t>
      </w:r>
      <w:bookmarkStart w:id="317" w:name="_Toc296346663"/>
      <w:bookmarkStart w:id="318" w:name="_Toc297048348"/>
      <w:bookmarkStart w:id="319" w:name="_Toc296347161"/>
      <w:bookmarkStart w:id="320" w:name="_Toc296503162"/>
      <w:bookmarkStart w:id="321" w:name="_Toc297120462"/>
      <w:bookmarkStart w:id="322" w:name="_Toc267251413"/>
      <w:bookmarkStart w:id="323" w:name="_Toc296891202"/>
      <w:bookmarkStart w:id="324" w:name="_Toc292559366"/>
      <w:bookmarkStart w:id="325" w:name="_Toc296890990"/>
      <w:bookmarkStart w:id="326" w:name="_Toc292559871"/>
      <w:bookmarkStart w:id="327" w:name="_Toc296944501"/>
      <w:r>
        <w:rPr>
          <w:rFonts w:hint="eastAsia" w:ascii="宋体" w:hAnsi="宋体" w:cs="宋体"/>
          <w:color w:val="auto"/>
          <w:szCs w:val="21"/>
          <w:shd w:val="pct10" w:color="auto" w:fill="FFFFFF"/>
        </w:rPr>
        <w:t>. 监</w:t>
      </w:r>
      <w:bookmarkEnd w:id="317"/>
      <w:bookmarkEnd w:id="318"/>
      <w:bookmarkEnd w:id="319"/>
      <w:bookmarkEnd w:id="320"/>
      <w:bookmarkEnd w:id="321"/>
      <w:bookmarkEnd w:id="322"/>
      <w:bookmarkEnd w:id="323"/>
      <w:bookmarkEnd w:id="324"/>
      <w:bookmarkEnd w:id="325"/>
      <w:bookmarkEnd w:id="326"/>
      <w:bookmarkEnd w:id="327"/>
      <w:r>
        <w:rPr>
          <w:rFonts w:hint="eastAsia" w:ascii="宋体" w:hAnsi="宋体" w:cs="宋体"/>
          <w:color w:val="auto"/>
          <w:szCs w:val="21"/>
          <w:shd w:val="pct10" w:color="auto" w:fill="FFFFFF"/>
        </w:rPr>
        <w:t>理人</w:t>
      </w:r>
      <w:bookmarkEnd w:id="316"/>
    </w:p>
    <w:p w14:paraId="059B7759">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4.1监理人的一般规定</w:t>
      </w:r>
    </w:p>
    <w:p w14:paraId="6C39EDD2">
      <w:pPr>
        <w:spacing w:line="360" w:lineRule="auto"/>
        <w:rPr>
          <w:rFonts w:ascii="宋体" w:hAnsi="宋体" w:cs="宋体"/>
          <w:color w:val="auto"/>
          <w:szCs w:val="21"/>
        </w:rPr>
      </w:pPr>
      <w:r>
        <w:rPr>
          <w:rFonts w:hint="eastAsia" w:ascii="宋体" w:hAnsi="宋体" w:cs="宋体"/>
          <w:color w:val="auto"/>
          <w:szCs w:val="21"/>
        </w:rPr>
        <w:t>关于监理人的监理内容：</w:t>
      </w:r>
      <w:r>
        <w:rPr>
          <w:rFonts w:hint="eastAsia" w:ascii="宋体" w:hAnsi="宋体" w:cs="宋体"/>
          <w:color w:val="auto"/>
          <w:szCs w:val="21"/>
          <w:u w:val="thick"/>
        </w:rPr>
        <w:t>工程施工承包合同范围内的所有项目的质量、工期、投资、实行全方位、全过程监理</w:t>
      </w:r>
      <w:r>
        <w:rPr>
          <w:rFonts w:hint="eastAsia" w:ascii="宋体" w:hAnsi="宋体" w:cs="宋体"/>
          <w:color w:val="auto"/>
          <w:szCs w:val="21"/>
        </w:rPr>
        <w:t>。</w:t>
      </w:r>
    </w:p>
    <w:p w14:paraId="037311D3">
      <w:pPr>
        <w:spacing w:line="360" w:lineRule="auto"/>
        <w:rPr>
          <w:rFonts w:ascii="宋体" w:hAnsi="宋体" w:cs="宋体"/>
          <w:color w:val="auto"/>
          <w:szCs w:val="21"/>
        </w:rPr>
      </w:pPr>
      <w:r>
        <w:rPr>
          <w:rFonts w:hint="eastAsia" w:ascii="宋体" w:hAnsi="宋体" w:cs="宋体"/>
          <w:color w:val="auto"/>
          <w:szCs w:val="21"/>
        </w:rPr>
        <w:t>关于监理人的监理权限：</w:t>
      </w:r>
      <w:r>
        <w:rPr>
          <w:rFonts w:hint="eastAsia" w:ascii="宋体" w:hAnsi="宋体" w:cs="宋体"/>
          <w:color w:val="auto"/>
          <w:szCs w:val="21"/>
          <w:u w:val="thick"/>
        </w:rPr>
        <w:t>行使监理合同授予的权限，审查施工组织设计和方案</w:t>
      </w:r>
      <w:r>
        <w:rPr>
          <w:rFonts w:hint="eastAsia" w:ascii="宋体" w:hAnsi="宋体" w:cs="宋体"/>
          <w:color w:val="auto"/>
          <w:szCs w:val="21"/>
        </w:rPr>
        <w:t xml:space="preserve">。 </w:t>
      </w:r>
    </w:p>
    <w:p w14:paraId="52B97A73">
      <w:pPr>
        <w:spacing w:line="360" w:lineRule="auto"/>
        <w:rPr>
          <w:rFonts w:ascii="宋体" w:hAnsi="宋体" w:cs="宋体"/>
          <w:color w:val="auto"/>
          <w:szCs w:val="21"/>
          <w:u w:val="thick"/>
        </w:rPr>
      </w:pPr>
      <w:r>
        <w:rPr>
          <w:rFonts w:hint="eastAsia" w:ascii="宋体" w:hAnsi="宋体" w:cs="宋体"/>
          <w:color w:val="auto"/>
          <w:szCs w:val="21"/>
          <w:u w:val="thick"/>
        </w:rPr>
        <w:t>(1)就工程建设有关事项包括工程规模、设计标准、使用要求等，对发包人的建议权</w:t>
      </w:r>
      <w:r>
        <w:rPr>
          <w:rFonts w:hint="eastAsia" w:ascii="宋体" w:hAnsi="宋体" w:cs="宋体"/>
          <w:color w:val="auto"/>
          <w:szCs w:val="21"/>
        </w:rPr>
        <w:t>；</w:t>
      </w:r>
    </w:p>
    <w:p w14:paraId="261EB6D1">
      <w:pPr>
        <w:spacing w:line="360" w:lineRule="auto"/>
        <w:rPr>
          <w:rFonts w:ascii="宋体" w:hAnsi="宋体" w:cs="宋体"/>
          <w:color w:val="auto"/>
          <w:szCs w:val="21"/>
          <w:u w:val="thick"/>
        </w:rPr>
      </w:pPr>
      <w:r>
        <w:rPr>
          <w:rFonts w:hint="eastAsia" w:ascii="宋体" w:hAnsi="宋体" w:cs="宋体"/>
          <w:color w:val="auto"/>
          <w:szCs w:val="21"/>
          <w:u w:val="thick"/>
        </w:rPr>
        <w:t>(2)对工程结构设计和其它专业设计中的技术问题，向设计单位提出建议，并向发包人提出书面报告</w:t>
      </w:r>
      <w:r>
        <w:rPr>
          <w:rFonts w:hint="eastAsia" w:ascii="宋体" w:hAnsi="宋体" w:cs="宋体"/>
          <w:color w:val="auto"/>
          <w:szCs w:val="21"/>
        </w:rPr>
        <w:t>；</w:t>
      </w:r>
    </w:p>
    <w:p w14:paraId="7138B069">
      <w:pPr>
        <w:spacing w:line="360" w:lineRule="auto"/>
        <w:rPr>
          <w:rFonts w:ascii="宋体" w:hAnsi="宋体" w:cs="宋体"/>
          <w:color w:val="auto"/>
          <w:szCs w:val="21"/>
          <w:u w:val="thick"/>
        </w:rPr>
      </w:pPr>
      <w:r>
        <w:rPr>
          <w:rFonts w:hint="eastAsia" w:ascii="宋体" w:hAnsi="宋体" w:cs="宋体"/>
          <w:color w:val="auto"/>
          <w:szCs w:val="21"/>
          <w:u w:val="thick"/>
        </w:rPr>
        <w:t>(3)审批工程施工组织设计和技术方案，按照保质量、保工期、降低成本的原则向承包人提出建议，并书面向发包人提出书面报告</w:t>
      </w:r>
      <w:r>
        <w:rPr>
          <w:rFonts w:hint="eastAsia" w:ascii="宋体" w:hAnsi="宋体" w:cs="宋体"/>
          <w:color w:val="auto"/>
          <w:szCs w:val="21"/>
        </w:rPr>
        <w:t>；</w:t>
      </w:r>
    </w:p>
    <w:p w14:paraId="35EFBA93">
      <w:pPr>
        <w:spacing w:line="360" w:lineRule="auto"/>
        <w:rPr>
          <w:rFonts w:ascii="宋体" w:hAnsi="宋体" w:cs="宋体"/>
          <w:color w:val="auto"/>
          <w:szCs w:val="21"/>
          <w:u w:val="thick"/>
        </w:rPr>
      </w:pPr>
      <w:r>
        <w:rPr>
          <w:rFonts w:hint="eastAsia" w:ascii="宋体" w:hAnsi="宋体" w:cs="宋体"/>
          <w:color w:val="auto"/>
          <w:szCs w:val="21"/>
          <w:u w:val="thick"/>
        </w:rPr>
        <w:t>(4)与工程建设有关的协作单位的组织协调的主持权，重要协调事项应事先向发包人报告</w:t>
      </w:r>
      <w:r>
        <w:rPr>
          <w:rFonts w:hint="eastAsia" w:ascii="宋体" w:hAnsi="宋体" w:cs="宋体"/>
          <w:color w:val="auto"/>
          <w:szCs w:val="21"/>
        </w:rPr>
        <w:t>；</w:t>
      </w:r>
    </w:p>
    <w:p w14:paraId="366D6BB9">
      <w:pPr>
        <w:spacing w:line="360" w:lineRule="auto"/>
        <w:rPr>
          <w:rFonts w:ascii="宋体" w:hAnsi="宋体" w:cs="宋体"/>
          <w:color w:val="auto"/>
          <w:szCs w:val="21"/>
          <w:u w:val="thick"/>
        </w:rPr>
      </w:pPr>
      <w:r>
        <w:rPr>
          <w:rFonts w:hint="eastAsia" w:ascii="宋体" w:hAnsi="宋体" w:cs="宋体"/>
          <w:color w:val="auto"/>
          <w:szCs w:val="21"/>
          <w:u w:val="thick"/>
        </w:rPr>
        <w:t>(5)具有对工程使用的材料和施工质量的检验权</w:t>
      </w:r>
      <w:r>
        <w:rPr>
          <w:rFonts w:hint="eastAsia" w:ascii="宋体" w:hAnsi="宋体" w:cs="宋体"/>
          <w:color w:val="auto"/>
          <w:szCs w:val="21"/>
        </w:rPr>
        <w:t>；</w:t>
      </w:r>
    </w:p>
    <w:p w14:paraId="71CE3A4F">
      <w:pPr>
        <w:spacing w:line="360" w:lineRule="auto"/>
        <w:rPr>
          <w:rFonts w:ascii="宋体" w:hAnsi="宋体" w:cs="宋体"/>
          <w:color w:val="auto"/>
          <w:szCs w:val="21"/>
          <w:u w:val="thick"/>
        </w:rPr>
      </w:pPr>
      <w:r>
        <w:rPr>
          <w:rFonts w:hint="eastAsia" w:ascii="宋体" w:hAnsi="宋体" w:cs="宋体"/>
          <w:color w:val="auto"/>
          <w:szCs w:val="21"/>
          <w:u w:val="thick"/>
        </w:rPr>
        <w:t>(6)对工程施工进度的检查、监督权</w:t>
      </w:r>
      <w:r>
        <w:rPr>
          <w:rFonts w:hint="eastAsia" w:ascii="宋体" w:hAnsi="宋体" w:cs="宋体"/>
          <w:color w:val="auto"/>
          <w:szCs w:val="21"/>
        </w:rPr>
        <w:t>；</w:t>
      </w:r>
    </w:p>
    <w:p w14:paraId="0D8E080D">
      <w:pPr>
        <w:spacing w:line="360" w:lineRule="auto"/>
        <w:rPr>
          <w:rFonts w:ascii="宋体" w:hAnsi="宋体" w:cs="宋体"/>
          <w:color w:val="auto"/>
          <w:szCs w:val="21"/>
          <w:u w:val="thick"/>
        </w:rPr>
      </w:pPr>
      <w:r>
        <w:rPr>
          <w:rFonts w:hint="eastAsia" w:ascii="宋体" w:hAnsi="宋体" w:cs="宋体"/>
          <w:color w:val="auto"/>
          <w:szCs w:val="21"/>
          <w:u w:val="thick"/>
        </w:rPr>
        <w:t>(7)对工程施工合同约定的工程单价价格范围内，具有工程款支付的审核和签认权</w:t>
      </w:r>
      <w:r>
        <w:rPr>
          <w:rFonts w:hint="eastAsia" w:ascii="宋体" w:hAnsi="宋体" w:cs="宋体"/>
          <w:color w:val="auto"/>
          <w:szCs w:val="21"/>
        </w:rPr>
        <w:t>；</w:t>
      </w:r>
    </w:p>
    <w:p w14:paraId="12983BA7">
      <w:pPr>
        <w:spacing w:line="360" w:lineRule="auto"/>
        <w:rPr>
          <w:rFonts w:ascii="宋体" w:hAnsi="宋体" w:cs="宋体"/>
          <w:color w:val="auto"/>
          <w:szCs w:val="21"/>
          <w:u w:val="thick"/>
        </w:rPr>
      </w:pPr>
      <w:r>
        <w:rPr>
          <w:rFonts w:hint="eastAsia" w:ascii="宋体" w:hAnsi="宋体" w:cs="宋体"/>
          <w:color w:val="auto"/>
          <w:szCs w:val="21"/>
          <w:u w:val="thick"/>
        </w:rPr>
        <w:t>(8)监理过程中如发现承包人工作不力，可提出要求承包人调换有关人员的建议</w:t>
      </w:r>
      <w:r>
        <w:rPr>
          <w:rFonts w:hint="eastAsia" w:ascii="宋体" w:hAnsi="宋体" w:cs="宋体"/>
          <w:color w:val="auto"/>
          <w:szCs w:val="21"/>
        </w:rPr>
        <w:t>；</w:t>
      </w:r>
    </w:p>
    <w:p w14:paraId="267CA20E">
      <w:pPr>
        <w:spacing w:line="360" w:lineRule="auto"/>
        <w:rPr>
          <w:rFonts w:ascii="宋体" w:hAnsi="宋体" w:cs="宋体"/>
          <w:color w:val="auto"/>
          <w:szCs w:val="21"/>
        </w:rPr>
      </w:pPr>
      <w:r>
        <w:rPr>
          <w:rFonts w:hint="eastAsia" w:ascii="宋体" w:hAnsi="宋体" w:cs="宋体"/>
          <w:color w:val="auto"/>
          <w:szCs w:val="21"/>
          <w:u w:val="thick"/>
        </w:rPr>
        <w:t>(9)具体权限详见《建设工程委托监理合同》</w:t>
      </w:r>
      <w:r>
        <w:rPr>
          <w:rFonts w:hint="eastAsia" w:ascii="宋体" w:hAnsi="宋体" w:cs="宋体"/>
          <w:color w:val="auto"/>
          <w:szCs w:val="21"/>
        </w:rPr>
        <w:t>。</w:t>
      </w:r>
    </w:p>
    <w:p w14:paraId="30FE7210">
      <w:pPr>
        <w:spacing w:line="360" w:lineRule="auto"/>
        <w:rPr>
          <w:rFonts w:ascii="宋体" w:hAnsi="宋体" w:cs="宋体"/>
          <w:color w:val="auto"/>
          <w:szCs w:val="21"/>
        </w:rPr>
      </w:pPr>
      <w:r>
        <w:rPr>
          <w:rFonts w:hint="eastAsia" w:ascii="宋体" w:hAnsi="宋体" w:cs="宋体"/>
          <w:color w:val="auto"/>
          <w:szCs w:val="21"/>
        </w:rPr>
        <w:t>关于监理人在施工现场的办公场所、生活场所的提供和费用承担的约定：</w:t>
      </w:r>
      <w:r>
        <w:rPr>
          <w:rFonts w:hint="eastAsia" w:ascii="宋体" w:hAnsi="宋体" w:cs="宋体"/>
          <w:color w:val="auto"/>
          <w:szCs w:val="21"/>
          <w:u w:val="thick"/>
        </w:rPr>
        <w:t>满足发包人及监理人正常工作的要求，由承包人提供，费用由承包人承担</w:t>
      </w:r>
      <w:r>
        <w:rPr>
          <w:rFonts w:hint="eastAsia" w:ascii="宋体" w:hAnsi="宋体" w:cs="宋体"/>
          <w:color w:val="auto"/>
          <w:szCs w:val="21"/>
        </w:rPr>
        <w:t>。</w:t>
      </w:r>
    </w:p>
    <w:p w14:paraId="45C5692E">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4.2 监理人员</w:t>
      </w:r>
    </w:p>
    <w:p w14:paraId="14E236A8">
      <w:pPr>
        <w:spacing w:line="360" w:lineRule="auto"/>
        <w:rPr>
          <w:rFonts w:ascii="宋体" w:hAnsi="宋体" w:cs="宋体"/>
          <w:color w:val="auto"/>
          <w:szCs w:val="21"/>
        </w:rPr>
      </w:pPr>
      <w:r>
        <w:rPr>
          <w:rFonts w:hint="eastAsia" w:ascii="宋体" w:hAnsi="宋体" w:cs="宋体"/>
          <w:color w:val="auto"/>
          <w:szCs w:val="21"/>
        </w:rPr>
        <w:t>总监理工程师：</w:t>
      </w:r>
    </w:p>
    <w:p w14:paraId="225A56E4">
      <w:pPr>
        <w:spacing w:line="360" w:lineRule="auto"/>
        <w:rPr>
          <w:rFonts w:ascii="宋体" w:hAnsi="宋体" w:cs="宋体"/>
          <w:color w:val="auto"/>
          <w:szCs w:val="21"/>
        </w:rPr>
      </w:pPr>
      <w:r>
        <w:rPr>
          <w:rFonts w:hint="eastAsia" w:ascii="宋体" w:hAnsi="宋体" w:cs="宋体"/>
          <w:color w:val="auto"/>
          <w:szCs w:val="21"/>
        </w:rPr>
        <w:t>姓    名：</w:t>
      </w:r>
      <w:r>
        <w:rPr>
          <w:rFonts w:hint="eastAsia" w:ascii="宋体" w:hAnsi="宋体" w:cs="宋体"/>
          <w:color w:val="auto"/>
          <w:szCs w:val="21"/>
          <w:u w:val="thick"/>
        </w:rPr>
        <w:t xml:space="preserve">                               </w:t>
      </w:r>
      <w:r>
        <w:rPr>
          <w:rFonts w:hint="eastAsia" w:ascii="宋体" w:hAnsi="宋体" w:cs="宋体"/>
          <w:color w:val="auto"/>
          <w:szCs w:val="21"/>
        </w:rPr>
        <w:t>；</w:t>
      </w:r>
    </w:p>
    <w:p w14:paraId="21E54B1A">
      <w:pPr>
        <w:spacing w:line="360" w:lineRule="auto"/>
        <w:rPr>
          <w:rFonts w:ascii="宋体" w:hAnsi="宋体" w:cs="宋体"/>
          <w:color w:val="auto"/>
          <w:szCs w:val="21"/>
        </w:rPr>
      </w:pPr>
      <w:r>
        <w:rPr>
          <w:rFonts w:hint="eastAsia" w:ascii="宋体" w:hAnsi="宋体" w:cs="宋体"/>
          <w:color w:val="auto"/>
          <w:szCs w:val="21"/>
        </w:rPr>
        <w:t>职    务：</w:t>
      </w:r>
      <w:r>
        <w:rPr>
          <w:rFonts w:hint="eastAsia" w:ascii="宋体" w:hAnsi="宋体" w:cs="宋体"/>
          <w:color w:val="auto"/>
          <w:szCs w:val="21"/>
          <w:u w:val="thick"/>
        </w:rPr>
        <w:t xml:space="preserve">                               </w:t>
      </w:r>
      <w:r>
        <w:rPr>
          <w:rFonts w:hint="eastAsia" w:ascii="宋体" w:hAnsi="宋体" w:cs="宋体"/>
          <w:color w:val="auto"/>
          <w:szCs w:val="21"/>
        </w:rPr>
        <w:t>；</w:t>
      </w:r>
    </w:p>
    <w:p w14:paraId="14171EBD">
      <w:pPr>
        <w:spacing w:line="360" w:lineRule="auto"/>
        <w:rPr>
          <w:rFonts w:ascii="宋体" w:hAnsi="宋体" w:cs="宋体"/>
          <w:color w:val="auto"/>
          <w:szCs w:val="21"/>
        </w:rPr>
      </w:pPr>
      <w:r>
        <w:rPr>
          <w:rFonts w:hint="eastAsia" w:ascii="宋体" w:hAnsi="宋体" w:cs="宋体"/>
          <w:color w:val="auto"/>
          <w:szCs w:val="21"/>
        </w:rPr>
        <w:t>监理工程师执业资格证书号：</w:t>
      </w:r>
      <w:r>
        <w:rPr>
          <w:rFonts w:hint="eastAsia" w:ascii="宋体" w:hAnsi="宋体" w:cs="宋体"/>
          <w:color w:val="auto"/>
          <w:szCs w:val="21"/>
          <w:u w:val="thick"/>
        </w:rPr>
        <w:t xml:space="preserve">               </w:t>
      </w:r>
      <w:r>
        <w:rPr>
          <w:rFonts w:hint="eastAsia" w:ascii="宋体" w:hAnsi="宋体" w:cs="宋体"/>
          <w:color w:val="auto"/>
          <w:szCs w:val="21"/>
        </w:rPr>
        <w:t>；</w:t>
      </w:r>
    </w:p>
    <w:p w14:paraId="310E57E7">
      <w:pPr>
        <w:spacing w:line="360" w:lineRule="auto"/>
        <w:rPr>
          <w:rFonts w:ascii="宋体" w:hAnsi="宋体" w:cs="宋体"/>
          <w:color w:val="auto"/>
          <w:szCs w:val="21"/>
        </w:rPr>
      </w:pPr>
      <w:r>
        <w:rPr>
          <w:rFonts w:hint="eastAsia" w:ascii="宋体" w:hAnsi="宋体" w:cs="宋体"/>
          <w:color w:val="auto"/>
          <w:szCs w:val="21"/>
        </w:rPr>
        <w:t>联系电话：</w:t>
      </w:r>
      <w:r>
        <w:rPr>
          <w:rFonts w:hint="eastAsia" w:ascii="宋体" w:hAnsi="宋体" w:cs="宋体"/>
          <w:color w:val="auto"/>
          <w:szCs w:val="21"/>
          <w:u w:val="thick"/>
        </w:rPr>
        <w:t xml:space="preserve">                               </w:t>
      </w:r>
      <w:r>
        <w:rPr>
          <w:rFonts w:hint="eastAsia" w:ascii="宋体" w:hAnsi="宋体" w:cs="宋体"/>
          <w:color w:val="auto"/>
          <w:szCs w:val="21"/>
        </w:rPr>
        <w:t>；</w:t>
      </w:r>
    </w:p>
    <w:p w14:paraId="4F9F0EAA">
      <w:pPr>
        <w:spacing w:line="360" w:lineRule="auto"/>
        <w:rPr>
          <w:rFonts w:ascii="宋体" w:hAnsi="宋体" w:cs="宋体"/>
          <w:color w:val="auto"/>
          <w:szCs w:val="21"/>
        </w:rPr>
      </w:pPr>
      <w:r>
        <w:rPr>
          <w:rFonts w:hint="eastAsia" w:ascii="宋体" w:hAnsi="宋体" w:cs="宋体"/>
          <w:color w:val="auto"/>
          <w:szCs w:val="21"/>
        </w:rPr>
        <w:t>电子信箱：</w:t>
      </w:r>
      <w:r>
        <w:rPr>
          <w:rFonts w:hint="eastAsia" w:ascii="宋体" w:hAnsi="宋体" w:cs="宋体"/>
          <w:color w:val="auto"/>
          <w:szCs w:val="21"/>
          <w:u w:val="thick"/>
        </w:rPr>
        <w:t xml:space="preserve">                               </w:t>
      </w:r>
      <w:r>
        <w:rPr>
          <w:rFonts w:hint="eastAsia" w:ascii="宋体" w:hAnsi="宋体" w:cs="宋体"/>
          <w:color w:val="auto"/>
          <w:szCs w:val="21"/>
        </w:rPr>
        <w:t>；</w:t>
      </w:r>
    </w:p>
    <w:p w14:paraId="10E9BFCB">
      <w:pPr>
        <w:spacing w:line="360" w:lineRule="auto"/>
        <w:rPr>
          <w:rFonts w:ascii="宋体" w:hAnsi="宋体" w:cs="宋体"/>
          <w:color w:val="auto"/>
          <w:szCs w:val="21"/>
        </w:rPr>
      </w:pPr>
      <w:r>
        <w:rPr>
          <w:rFonts w:hint="eastAsia" w:ascii="宋体" w:hAnsi="宋体" w:cs="宋体"/>
          <w:color w:val="auto"/>
          <w:szCs w:val="21"/>
        </w:rPr>
        <w:t>通信地址：</w:t>
      </w:r>
      <w:r>
        <w:rPr>
          <w:rFonts w:hint="eastAsia" w:ascii="宋体" w:hAnsi="宋体" w:cs="宋体"/>
          <w:color w:val="auto"/>
          <w:szCs w:val="21"/>
          <w:u w:val="thick"/>
        </w:rPr>
        <w:t xml:space="preserve">                               </w:t>
      </w:r>
      <w:r>
        <w:rPr>
          <w:rFonts w:hint="eastAsia" w:ascii="宋体" w:hAnsi="宋体" w:cs="宋体"/>
          <w:color w:val="auto"/>
          <w:szCs w:val="21"/>
        </w:rPr>
        <w:t>；</w:t>
      </w:r>
    </w:p>
    <w:p w14:paraId="4BEA3E8C">
      <w:pPr>
        <w:spacing w:line="360" w:lineRule="auto"/>
        <w:rPr>
          <w:rFonts w:ascii="宋体" w:hAnsi="宋体" w:cs="宋体"/>
          <w:color w:val="auto"/>
          <w:szCs w:val="21"/>
        </w:rPr>
      </w:pPr>
      <w:r>
        <w:rPr>
          <w:rFonts w:hint="eastAsia" w:ascii="宋体" w:hAnsi="宋体" w:cs="宋体"/>
          <w:color w:val="auto"/>
          <w:szCs w:val="21"/>
        </w:rPr>
        <w:t>关于监理人的其他约定：</w:t>
      </w:r>
      <w:r>
        <w:rPr>
          <w:rFonts w:hint="eastAsia" w:ascii="宋体" w:hAnsi="宋体" w:cs="宋体"/>
          <w:color w:val="auto"/>
          <w:szCs w:val="21"/>
          <w:u w:val="thick"/>
        </w:rPr>
        <w:t>执行通用合同条款</w:t>
      </w:r>
      <w:r>
        <w:rPr>
          <w:rFonts w:hint="eastAsia" w:ascii="宋体" w:hAnsi="宋体" w:cs="宋体"/>
          <w:color w:val="auto"/>
          <w:szCs w:val="21"/>
        </w:rPr>
        <w:t>。</w:t>
      </w:r>
    </w:p>
    <w:p w14:paraId="7544B2C7">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4.4 商定或确定</w:t>
      </w:r>
    </w:p>
    <w:p w14:paraId="27749BBF">
      <w:pPr>
        <w:spacing w:line="360" w:lineRule="auto"/>
        <w:rPr>
          <w:rFonts w:ascii="宋体" w:hAnsi="宋体" w:cs="宋体"/>
          <w:color w:val="auto"/>
          <w:szCs w:val="21"/>
        </w:rPr>
      </w:pPr>
      <w:bookmarkStart w:id="328" w:name="_Toc267251418"/>
      <w:r>
        <w:rPr>
          <w:rFonts w:hint="eastAsia" w:ascii="宋体" w:hAnsi="宋体" w:cs="宋体"/>
          <w:color w:val="auto"/>
          <w:szCs w:val="21"/>
        </w:rPr>
        <w:t>在发包人和承包人不能通过协商达成一致意见时，发包人授权监理人对以下事项进行确定：</w:t>
      </w:r>
    </w:p>
    <w:p w14:paraId="061055E1">
      <w:pPr>
        <w:spacing w:line="360" w:lineRule="auto"/>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thick"/>
        </w:rPr>
        <w:t>涉及承发包双方主要权利和义务的技术类问题</w:t>
      </w:r>
      <w:r>
        <w:rPr>
          <w:rFonts w:hint="eastAsia" w:ascii="宋体" w:hAnsi="宋体" w:cs="宋体"/>
          <w:color w:val="auto"/>
          <w:szCs w:val="21"/>
        </w:rPr>
        <w:t>；</w:t>
      </w:r>
    </w:p>
    <w:p w14:paraId="396BA2EA">
      <w:pPr>
        <w:spacing w:line="360" w:lineRule="auto"/>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thick"/>
        </w:rPr>
        <w:t>涉及承发包双方主要权利和义务的商务类问题</w:t>
      </w:r>
      <w:r>
        <w:rPr>
          <w:rFonts w:hint="eastAsia" w:ascii="宋体" w:hAnsi="宋体" w:cs="宋体"/>
          <w:color w:val="auto"/>
          <w:szCs w:val="21"/>
        </w:rPr>
        <w:t>；</w:t>
      </w:r>
    </w:p>
    <w:p w14:paraId="110C4DC0">
      <w:pPr>
        <w:spacing w:line="360" w:lineRule="auto"/>
        <w:rPr>
          <w:rFonts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u w:val="thick"/>
        </w:rPr>
        <w:t>涉及承发包双方利益的其他问题</w:t>
      </w:r>
      <w:r>
        <w:rPr>
          <w:rFonts w:hint="eastAsia" w:ascii="宋体" w:hAnsi="宋体" w:cs="宋体"/>
          <w:color w:val="auto"/>
          <w:szCs w:val="21"/>
        </w:rPr>
        <w:t>。</w:t>
      </w:r>
    </w:p>
    <w:p w14:paraId="16807D3E">
      <w:pPr>
        <w:spacing w:line="360" w:lineRule="auto"/>
        <w:rPr>
          <w:rFonts w:ascii="宋体" w:hAnsi="宋体" w:cs="宋体"/>
          <w:color w:val="auto"/>
          <w:szCs w:val="21"/>
          <w:shd w:val="pct10" w:color="auto" w:fill="FFFFFF"/>
        </w:rPr>
      </w:pPr>
      <w:bookmarkStart w:id="329" w:name="_Toc351203637"/>
      <w:r>
        <w:rPr>
          <w:rFonts w:hint="eastAsia" w:ascii="宋体" w:hAnsi="宋体" w:cs="宋体"/>
          <w:color w:val="auto"/>
          <w:szCs w:val="21"/>
          <w:shd w:val="pct10" w:color="auto" w:fill="FFFFFF"/>
        </w:rPr>
        <w:t>5</w:t>
      </w:r>
      <w:bookmarkEnd w:id="328"/>
      <w:bookmarkStart w:id="330" w:name="_Toc296944502"/>
      <w:bookmarkStart w:id="331" w:name="_Toc292559367"/>
      <w:bookmarkStart w:id="332" w:name="_Toc297120463"/>
      <w:bookmarkStart w:id="333" w:name="_Toc296503163"/>
      <w:bookmarkStart w:id="334" w:name="_Toc296890991"/>
      <w:bookmarkStart w:id="335" w:name="_Toc292559872"/>
      <w:bookmarkStart w:id="336" w:name="_Toc296891203"/>
      <w:bookmarkStart w:id="337" w:name="_Toc296346664"/>
      <w:bookmarkStart w:id="338" w:name="_Toc296347162"/>
      <w:bookmarkStart w:id="339" w:name="_Toc297048349"/>
      <w:r>
        <w:rPr>
          <w:rFonts w:hint="eastAsia" w:ascii="宋体" w:hAnsi="宋体" w:cs="宋体"/>
          <w:color w:val="auto"/>
          <w:szCs w:val="21"/>
          <w:shd w:val="pct10" w:color="auto" w:fill="FFFFFF"/>
        </w:rPr>
        <w:t>.工程质量</w:t>
      </w:r>
      <w:bookmarkEnd w:id="329"/>
    </w:p>
    <w:p w14:paraId="2176734D">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5.1 质量要求</w:t>
      </w:r>
    </w:p>
    <w:p w14:paraId="22C79B34">
      <w:pPr>
        <w:spacing w:line="360" w:lineRule="auto"/>
        <w:rPr>
          <w:rFonts w:ascii="宋体" w:hAnsi="宋体" w:cs="宋体"/>
          <w:color w:val="auto"/>
          <w:szCs w:val="21"/>
        </w:rPr>
      </w:pPr>
      <w:r>
        <w:rPr>
          <w:rFonts w:hint="eastAsia" w:ascii="宋体" w:hAnsi="宋体" w:cs="宋体"/>
          <w:color w:val="auto"/>
          <w:szCs w:val="21"/>
        </w:rPr>
        <w:t>5</w:t>
      </w:r>
      <w:bookmarkStart w:id="340" w:name="_Toc303539106"/>
      <w:bookmarkStart w:id="341" w:name="_Toc300934949"/>
      <w:bookmarkStart w:id="342" w:name="_Toc297123496"/>
      <w:bookmarkStart w:id="343" w:name="_Toc318581164"/>
      <w:bookmarkStart w:id="344" w:name="_Toc304295527"/>
      <w:bookmarkStart w:id="345" w:name="_Toc297216155"/>
      <w:bookmarkStart w:id="346" w:name="_Toc312677997"/>
      <w:r>
        <w:rPr>
          <w:rFonts w:hint="eastAsia" w:ascii="宋体" w:hAnsi="宋体" w:cs="宋体"/>
          <w:color w:val="auto"/>
          <w:szCs w:val="21"/>
        </w:rPr>
        <w:t>.1.1 特殊质量标准和要求：</w:t>
      </w:r>
      <w:r>
        <w:rPr>
          <w:rFonts w:hint="eastAsia" w:ascii="宋体" w:hAnsi="宋体" w:cs="宋体"/>
          <w:color w:val="auto"/>
          <w:szCs w:val="21"/>
          <w:u w:val="thick"/>
        </w:rPr>
        <w:t xml:space="preserve">   无     </w:t>
      </w:r>
      <w:r>
        <w:rPr>
          <w:rFonts w:hint="eastAsia" w:ascii="宋体" w:hAnsi="宋体" w:cs="宋体"/>
          <w:color w:val="auto"/>
          <w:szCs w:val="21"/>
        </w:rPr>
        <w:t>。</w:t>
      </w:r>
    </w:p>
    <w:p w14:paraId="4F71C7D8">
      <w:pPr>
        <w:spacing w:line="360" w:lineRule="auto"/>
        <w:rPr>
          <w:rFonts w:ascii="宋体" w:hAnsi="宋体" w:cs="宋体"/>
          <w:color w:val="auto"/>
          <w:szCs w:val="21"/>
        </w:rPr>
      </w:pPr>
      <w:r>
        <w:rPr>
          <w:rFonts w:hint="eastAsia" w:ascii="宋体" w:hAnsi="宋体" w:cs="宋体"/>
          <w:color w:val="auto"/>
          <w:szCs w:val="21"/>
        </w:rPr>
        <w:t>关于工程奖项的约定：</w:t>
      </w:r>
      <w:r>
        <w:rPr>
          <w:rFonts w:hint="eastAsia" w:ascii="宋体" w:hAnsi="宋体" w:cs="宋体"/>
          <w:color w:val="auto"/>
          <w:szCs w:val="21"/>
          <w:u w:val="thick"/>
        </w:rPr>
        <w:t xml:space="preserve">      无      </w:t>
      </w:r>
      <w:r>
        <w:rPr>
          <w:rFonts w:hint="eastAsia" w:ascii="宋体" w:hAnsi="宋体" w:cs="宋体"/>
          <w:color w:val="auto"/>
          <w:szCs w:val="21"/>
        </w:rPr>
        <w:t>。</w:t>
      </w:r>
    </w:p>
    <w:p w14:paraId="140E286B">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5.3 隐蔽工程检查</w:t>
      </w:r>
    </w:p>
    <w:p w14:paraId="2BE31753">
      <w:pPr>
        <w:spacing w:line="360" w:lineRule="auto"/>
        <w:rPr>
          <w:rFonts w:ascii="宋体" w:hAnsi="宋体" w:cs="宋体"/>
          <w:color w:val="auto"/>
          <w:szCs w:val="21"/>
        </w:rPr>
      </w:pPr>
      <w:r>
        <w:rPr>
          <w:rFonts w:hint="eastAsia" w:ascii="宋体" w:hAnsi="宋体" w:cs="宋体"/>
          <w:color w:val="auto"/>
          <w:szCs w:val="21"/>
        </w:rPr>
        <w:t>5.3.2承包人提前通知监理人隐蔽工程检查的期限的约定：</w:t>
      </w:r>
      <w:r>
        <w:rPr>
          <w:rFonts w:hint="eastAsia" w:ascii="宋体" w:hAnsi="宋体" w:cs="宋体"/>
          <w:color w:val="auto"/>
          <w:szCs w:val="21"/>
          <w:u w:val="thick"/>
        </w:rPr>
        <w:t>应在共同检查前48小时</w:t>
      </w:r>
      <w:r>
        <w:rPr>
          <w:rFonts w:hint="eastAsia" w:ascii="宋体" w:hAnsi="宋体" w:cs="宋体"/>
          <w:color w:val="auto"/>
          <w:szCs w:val="21"/>
        </w:rPr>
        <w:t>。</w:t>
      </w:r>
    </w:p>
    <w:p w14:paraId="1B59C1D2">
      <w:pPr>
        <w:spacing w:line="360" w:lineRule="auto"/>
        <w:rPr>
          <w:rFonts w:ascii="宋体" w:hAnsi="宋体" w:cs="宋体"/>
          <w:color w:val="auto"/>
          <w:szCs w:val="21"/>
        </w:rPr>
      </w:pPr>
      <w:r>
        <w:rPr>
          <w:rFonts w:hint="eastAsia" w:ascii="宋体" w:hAnsi="宋体" w:cs="宋体"/>
          <w:color w:val="auto"/>
          <w:szCs w:val="21"/>
        </w:rPr>
        <w:t>监理人不能按时进行检查时，应提前</w:t>
      </w:r>
      <w:r>
        <w:rPr>
          <w:rFonts w:hint="eastAsia" w:ascii="宋体" w:hAnsi="宋体" w:cs="宋体"/>
          <w:color w:val="auto"/>
          <w:szCs w:val="21"/>
          <w:u w:val="thick"/>
        </w:rPr>
        <w:t>24</w:t>
      </w:r>
      <w:r>
        <w:rPr>
          <w:rFonts w:hint="eastAsia" w:ascii="宋体" w:hAnsi="宋体" w:cs="宋体"/>
          <w:color w:val="auto"/>
          <w:szCs w:val="21"/>
        </w:rPr>
        <w:t>小时提交书面延期要求。</w:t>
      </w:r>
    </w:p>
    <w:p w14:paraId="6D7E0413">
      <w:pPr>
        <w:spacing w:line="360" w:lineRule="auto"/>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thick"/>
        </w:rPr>
        <w:t xml:space="preserve"> 48</w:t>
      </w:r>
      <w:r>
        <w:rPr>
          <w:rFonts w:hint="eastAsia" w:ascii="宋体" w:hAnsi="宋体" w:cs="宋体"/>
          <w:color w:val="auto"/>
          <w:szCs w:val="21"/>
        </w:rPr>
        <w:t>小时。</w:t>
      </w:r>
    </w:p>
    <w:p w14:paraId="53B1792B">
      <w:pPr>
        <w:spacing w:line="360" w:lineRule="auto"/>
        <w:rPr>
          <w:rFonts w:ascii="宋体" w:hAnsi="宋体" w:cs="宋体"/>
          <w:color w:val="auto"/>
          <w:szCs w:val="21"/>
          <w:shd w:val="pct10" w:color="auto" w:fill="FFFFFF"/>
        </w:rPr>
      </w:pPr>
      <w:bookmarkStart w:id="347" w:name="_Toc351203638"/>
      <w:r>
        <w:rPr>
          <w:rFonts w:hint="eastAsia" w:ascii="宋体" w:hAnsi="宋体" w:cs="宋体"/>
          <w:color w:val="auto"/>
          <w:szCs w:val="21"/>
          <w:shd w:val="pct10" w:color="auto" w:fill="FFFFFF"/>
        </w:rPr>
        <w:t>6.安全文明施工与环境保护</w:t>
      </w:r>
      <w:bookmarkEnd w:id="347"/>
    </w:p>
    <w:p w14:paraId="64464CC1">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6.1安全文明施工</w:t>
      </w:r>
    </w:p>
    <w:p w14:paraId="46CACBEF">
      <w:pPr>
        <w:spacing w:line="360" w:lineRule="auto"/>
        <w:rPr>
          <w:rFonts w:ascii="宋体" w:hAnsi="宋体" w:cs="宋体"/>
          <w:color w:val="auto"/>
          <w:szCs w:val="21"/>
        </w:rPr>
      </w:pPr>
      <w:r>
        <w:rPr>
          <w:rFonts w:hint="eastAsia" w:ascii="宋体" w:hAnsi="宋体" w:cs="宋体"/>
          <w:color w:val="auto"/>
          <w:szCs w:val="21"/>
        </w:rPr>
        <w:t>6.1.1 项目安全生产的达标目标及相应事项的约定</w:t>
      </w:r>
      <w:r>
        <w:rPr>
          <w:rFonts w:hint="eastAsia" w:ascii="宋体" w:hAnsi="宋体" w:cs="宋体"/>
          <w:color w:val="auto"/>
          <w:szCs w:val="21"/>
          <w:u w:val="thick"/>
        </w:rPr>
        <w:t xml:space="preserve">:                        </w:t>
      </w:r>
      <w:r>
        <w:rPr>
          <w:rFonts w:hint="eastAsia" w:ascii="宋体" w:hAnsi="宋体" w:cs="宋体"/>
          <w:color w:val="auto"/>
          <w:szCs w:val="21"/>
        </w:rPr>
        <w:t>。</w:t>
      </w:r>
    </w:p>
    <w:p w14:paraId="194B9CCE">
      <w:pPr>
        <w:spacing w:line="360" w:lineRule="auto"/>
        <w:rPr>
          <w:rFonts w:ascii="宋体" w:hAnsi="宋体" w:cs="宋体"/>
          <w:color w:val="auto"/>
          <w:szCs w:val="21"/>
        </w:rPr>
      </w:pPr>
      <w:r>
        <w:rPr>
          <w:rFonts w:hint="eastAsia" w:ascii="宋体" w:hAnsi="宋体" w:cs="宋体"/>
          <w:color w:val="auto"/>
          <w:szCs w:val="21"/>
        </w:rPr>
        <w:t>6.1.4 关于治安保卫的特别约定：</w:t>
      </w:r>
      <w:r>
        <w:rPr>
          <w:rFonts w:hint="eastAsia" w:ascii="宋体" w:hAnsi="宋体" w:cs="宋体"/>
          <w:color w:val="auto"/>
          <w:szCs w:val="21"/>
          <w:u w:val="thick"/>
        </w:rPr>
        <w:t>由承包人承担现场保安责任，由承包人负责保安管理，费用已包含在合同价款中</w:t>
      </w:r>
      <w:r>
        <w:rPr>
          <w:rFonts w:hint="eastAsia" w:ascii="宋体" w:hAnsi="宋体" w:cs="宋体"/>
          <w:color w:val="auto"/>
          <w:szCs w:val="21"/>
        </w:rPr>
        <w:t>。</w:t>
      </w:r>
    </w:p>
    <w:p w14:paraId="202D11DC">
      <w:pPr>
        <w:spacing w:line="360" w:lineRule="auto"/>
        <w:rPr>
          <w:rFonts w:ascii="宋体" w:hAnsi="宋体" w:cs="宋体"/>
          <w:color w:val="auto"/>
          <w:szCs w:val="21"/>
        </w:rPr>
      </w:pPr>
      <w:r>
        <w:rPr>
          <w:rFonts w:hint="eastAsia" w:ascii="宋体" w:hAnsi="宋体" w:cs="宋体"/>
          <w:color w:val="auto"/>
          <w:szCs w:val="21"/>
        </w:rPr>
        <w:t>关于编制施工场地治安管理计划的约定：</w:t>
      </w:r>
      <w:r>
        <w:rPr>
          <w:rFonts w:hint="eastAsia" w:ascii="宋体" w:hAnsi="宋体" w:cs="宋体"/>
          <w:color w:val="auto"/>
          <w:szCs w:val="21"/>
          <w:u w:val="thick"/>
        </w:rPr>
        <w:t>施工现场的所有范围均由承包人承担保安责任，制定保安制度，责任制度，报告制度，在进场后5日内，报送发包人审核、备案，发生安全事故和其他影响正常经营及工作的事件立即向发包人报告，否则发包人有权处以每次5000元至50000元罚款</w:t>
      </w:r>
      <w:r>
        <w:rPr>
          <w:rFonts w:hint="eastAsia" w:ascii="宋体" w:hAnsi="宋体" w:cs="宋体"/>
          <w:color w:val="auto"/>
          <w:szCs w:val="21"/>
        </w:rPr>
        <w:t xml:space="preserve">。 </w:t>
      </w:r>
    </w:p>
    <w:p w14:paraId="1261F163">
      <w:pPr>
        <w:spacing w:line="360" w:lineRule="auto"/>
        <w:rPr>
          <w:rFonts w:ascii="宋体" w:hAnsi="宋体" w:cs="宋体"/>
          <w:color w:val="auto"/>
          <w:szCs w:val="21"/>
        </w:rPr>
      </w:pPr>
      <w:r>
        <w:rPr>
          <w:rFonts w:hint="eastAsia" w:ascii="宋体" w:hAnsi="宋体" w:cs="宋体"/>
          <w:color w:val="auto"/>
          <w:szCs w:val="21"/>
        </w:rPr>
        <w:t>6.1.5 文明施工</w:t>
      </w:r>
    </w:p>
    <w:p w14:paraId="5163CF18">
      <w:pPr>
        <w:spacing w:line="360" w:lineRule="auto"/>
        <w:rPr>
          <w:rFonts w:ascii="宋体" w:hAnsi="宋体" w:cs="宋体"/>
          <w:color w:val="auto"/>
          <w:szCs w:val="21"/>
        </w:rPr>
      </w:pPr>
      <w:r>
        <w:rPr>
          <w:rFonts w:hint="eastAsia" w:ascii="宋体" w:hAnsi="宋体" w:cs="宋体"/>
          <w:color w:val="auto"/>
          <w:szCs w:val="21"/>
        </w:rPr>
        <w:t>合同当事人对文明施工的要求：</w:t>
      </w:r>
      <w:r>
        <w:rPr>
          <w:rFonts w:hint="eastAsia" w:ascii="宋体" w:hAnsi="宋体" w:cs="宋体"/>
          <w:color w:val="auto"/>
          <w:szCs w:val="21"/>
          <w:u w:val="thick"/>
        </w:rPr>
        <w:t>执行通用合同条款</w:t>
      </w:r>
      <w:r>
        <w:rPr>
          <w:rFonts w:hint="eastAsia" w:ascii="宋体" w:hAnsi="宋体" w:cs="宋体"/>
          <w:color w:val="auto"/>
          <w:szCs w:val="21"/>
        </w:rPr>
        <w:t xml:space="preserve">。 </w:t>
      </w:r>
    </w:p>
    <w:p w14:paraId="3005CF38">
      <w:pPr>
        <w:spacing w:line="360" w:lineRule="auto"/>
        <w:rPr>
          <w:rFonts w:ascii="宋体" w:hAnsi="宋体" w:cs="宋体"/>
          <w:color w:val="auto"/>
          <w:szCs w:val="21"/>
        </w:rPr>
      </w:pPr>
      <w:r>
        <w:rPr>
          <w:rFonts w:hint="eastAsia" w:ascii="宋体" w:hAnsi="宋体" w:cs="宋体"/>
          <w:color w:val="auto"/>
          <w:szCs w:val="21"/>
        </w:rPr>
        <w:t>6.1.6 关于安全文明施工费支付比例和支付期限的约定：</w:t>
      </w:r>
      <w:r>
        <w:rPr>
          <w:rFonts w:hint="eastAsia" w:ascii="宋体" w:hAnsi="宋体" w:cs="宋体"/>
          <w:color w:val="auto"/>
          <w:szCs w:val="21"/>
          <w:u w:val="thick"/>
        </w:rPr>
        <w:t>与工程进度款同步支付</w:t>
      </w:r>
      <w:r>
        <w:rPr>
          <w:rFonts w:hint="eastAsia" w:ascii="宋体" w:hAnsi="宋体" w:cs="宋体"/>
          <w:color w:val="auto"/>
          <w:szCs w:val="21"/>
        </w:rPr>
        <w:t>。</w:t>
      </w:r>
    </w:p>
    <w:bookmarkEnd w:id="340"/>
    <w:bookmarkEnd w:id="341"/>
    <w:bookmarkEnd w:id="342"/>
    <w:bookmarkEnd w:id="343"/>
    <w:bookmarkEnd w:id="344"/>
    <w:bookmarkEnd w:id="345"/>
    <w:bookmarkEnd w:id="346"/>
    <w:p w14:paraId="15A02BFC">
      <w:pPr>
        <w:spacing w:line="360" w:lineRule="auto"/>
        <w:rPr>
          <w:rFonts w:ascii="宋体" w:hAnsi="宋体" w:cs="宋体"/>
          <w:color w:val="auto"/>
          <w:szCs w:val="21"/>
          <w:shd w:val="pct10" w:color="auto" w:fill="FFFFFF"/>
        </w:rPr>
      </w:pPr>
      <w:bookmarkStart w:id="348" w:name="_Toc351203639"/>
      <w:r>
        <w:rPr>
          <w:rFonts w:hint="eastAsia" w:ascii="宋体" w:hAnsi="宋体" w:cs="宋体"/>
          <w:color w:val="auto"/>
          <w:szCs w:val="21"/>
          <w:shd w:val="pct10" w:color="auto" w:fill="FFFFFF"/>
        </w:rPr>
        <w:t>7.工期和进度</w:t>
      </w:r>
      <w:bookmarkEnd w:id="348"/>
    </w:p>
    <w:p w14:paraId="47C04D1F">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7.1 施工组织设计</w:t>
      </w:r>
    </w:p>
    <w:p w14:paraId="7E388FEC">
      <w:pPr>
        <w:spacing w:line="360" w:lineRule="auto"/>
        <w:rPr>
          <w:rFonts w:ascii="宋体" w:hAnsi="宋体" w:cs="宋体"/>
          <w:color w:val="auto"/>
          <w:szCs w:val="21"/>
        </w:rPr>
      </w:pPr>
      <w:r>
        <w:rPr>
          <w:rFonts w:hint="eastAsia" w:ascii="宋体" w:hAnsi="宋体" w:cs="宋体"/>
          <w:color w:val="auto"/>
          <w:szCs w:val="21"/>
        </w:rPr>
        <w:t>7.1.1 合同当事人约定的施工组织设计应包括的其他内容：</w:t>
      </w:r>
    </w:p>
    <w:p w14:paraId="3C7E1582">
      <w:pPr>
        <w:spacing w:line="360" w:lineRule="auto"/>
        <w:rPr>
          <w:rFonts w:ascii="宋体" w:hAnsi="宋体" w:cs="宋体"/>
          <w:color w:val="auto"/>
          <w:szCs w:val="21"/>
        </w:rPr>
      </w:pPr>
      <w:r>
        <w:rPr>
          <w:rFonts w:hint="eastAsia" w:ascii="宋体" w:hAnsi="宋体" w:cs="宋体"/>
          <w:color w:val="auto"/>
          <w:szCs w:val="21"/>
          <w:u w:val="thick"/>
        </w:rPr>
        <w:t>①专业性较强的专项工程安全施工组织设计</w:t>
      </w:r>
      <w:r>
        <w:rPr>
          <w:rFonts w:hint="eastAsia" w:ascii="宋体" w:hAnsi="宋体" w:cs="宋体"/>
          <w:color w:val="auto"/>
          <w:szCs w:val="21"/>
        </w:rPr>
        <w:t>；</w:t>
      </w:r>
    </w:p>
    <w:p w14:paraId="0980379B">
      <w:pPr>
        <w:spacing w:line="360" w:lineRule="auto"/>
        <w:rPr>
          <w:rFonts w:ascii="宋体" w:hAnsi="宋体" w:cs="宋体"/>
          <w:color w:val="auto"/>
          <w:szCs w:val="21"/>
        </w:rPr>
      </w:pPr>
      <w:r>
        <w:rPr>
          <w:rFonts w:hint="eastAsia" w:ascii="宋体" w:hAnsi="宋体" w:cs="宋体"/>
          <w:color w:val="auto"/>
          <w:szCs w:val="21"/>
          <w:u w:val="thick"/>
        </w:rPr>
        <w:t>②安全技术措施</w:t>
      </w:r>
      <w:r>
        <w:rPr>
          <w:rFonts w:hint="eastAsia" w:ascii="宋体" w:hAnsi="宋体" w:cs="宋体"/>
          <w:color w:val="auto"/>
          <w:szCs w:val="21"/>
        </w:rPr>
        <w:t>；</w:t>
      </w:r>
    </w:p>
    <w:p w14:paraId="2467AFDC">
      <w:pPr>
        <w:spacing w:line="360" w:lineRule="auto"/>
        <w:rPr>
          <w:rFonts w:ascii="宋体" w:hAnsi="宋体" w:cs="宋体"/>
          <w:color w:val="auto"/>
          <w:szCs w:val="21"/>
        </w:rPr>
      </w:pPr>
      <w:r>
        <w:rPr>
          <w:rFonts w:hint="eastAsia" w:ascii="宋体" w:hAnsi="宋体" w:cs="宋体"/>
          <w:color w:val="auto"/>
          <w:szCs w:val="21"/>
          <w:u w:val="thick"/>
        </w:rPr>
        <w:t>③施工现场临时用电方案</w:t>
      </w:r>
      <w:r>
        <w:rPr>
          <w:rFonts w:hint="eastAsia" w:ascii="宋体" w:hAnsi="宋体" w:cs="宋体"/>
          <w:color w:val="auto"/>
          <w:szCs w:val="21"/>
        </w:rPr>
        <w:t>；</w:t>
      </w:r>
    </w:p>
    <w:p w14:paraId="3E91C36A">
      <w:pPr>
        <w:spacing w:line="360" w:lineRule="auto"/>
        <w:rPr>
          <w:rFonts w:ascii="宋体" w:hAnsi="宋体" w:cs="宋体"/>
          <w:color w:val="auto"/>
          <w:szCs w:val="21"/>
        </w:rPr>
      </w:pPr>
      <w:r>
        <w:rPr>
          <w:rFonts w:hint="eastAsia" w:ascii="宋体" w:hAnsi="宋体" w:cs="宋体"/>
          <w:color w:val="auto"/>
          <w:szCs w:val="21"/>
          <w:u w:val="thick"/>
        </w:rPr>
        <w:t>④达到规定规模的危险性较大的作业方案等</w:t>
      </w:r>
      <w:r>
        <w:rPr>
          <w:rFonts w:hint="eastAsia" w:ascii="宋体" w:hAnsi="宋体" w:cs="宋体"/>
          <w:color w:val="auto"/>
          <w:szCs w:val="21"/>
        </w:rPr>
        <w:t>。</w:t>
      </w:r>
    </w:p>
    <w:p w14:paraId="483D4843">
      <w:pPr>
        <w:spacing w:line="360" w:lineRule="auto"/>
        <w:rPr>
          <w:rFonts w:ascii="宋体" w:hAnsi="宋体" w:cs="宋体"/>
          <w:color w:val="auto"/>
          <w:szCs w:val="21"/>
        </w:rPr>
      </w:pPr>
      <w:r>
        <w:rPr>
          <w:rFonts w:hint="eastAsia" w:ascii="宋体" w:hAnsi="宋体" w:cs="宋体"/>
          <w:color w:val="auto"/>
          <w:szCs w:val="21"/>
        </w:rPr>
        <w:t>7.1.2 施工组织设计的提交和修改</w:t>
      </w:r>
    </w:p>
    <w:p w14:paraId="0FB8BF00">
      <w:pPr>
        <w:spacing w:line="360" w:lineRule="auto"/>
        <w:rPr>
          <w:rFonts w:ascii="宋体" w:hAnsi="宋体" w:cs="宋体"/>
          <w:color w:val="auto"/>
          <w:szCs w:val="21"/>
        </w:rPr>
      </w:pPr>
      <w:r>
        <w:rPr>
          <w:rFonts w:hint="eastAsia" w:ascii="宋体" w:hAnsi="宋体" w:cs="宋体"/>
          <w:color w:val="auto"/>
          <w:szCs w:val="21"/>
        </w:rPr>
        <w:t>承包人提交详细施工组织设计的期限的约定：</w:t>
      </w:r>
      <w:r>
        <w:rPr>
          <w:rFonts w:hint="eastAsia" w:ascii="宋体" w:hAnsi="宋体" w:cs="宋体"/>
          <w:color w:val="auto"/>
          <w:szCs w:val="21"/>
          <w:u w:val="thick"/>
        </w:rPr>
        <w:t>签订合同后 7天内</w:t>
      </w:r>
      <w:r>
        <w:rPr>
          <w:rFonts w:hint="eastAsia" w:ascii="宋体" w:hAnsi="宋体" w:cs="宋体"/>
          <w:color w:val="auto"/>
          <w:szCs w:val="21"/>
        </w:rPr>
        <w:t xml:space="preserve">； </w:t>
      </w:r>
    </w:p>
    <w:p w14:paraId="74459CB2">
      <w:pPr>
        <w:spacing w:line="360" w:lineRule="auto"/>
        <w:rPr>
          <w:rFonts w:ascii="宋体" w:hAnsi="宋体" w:cs="宋体"/>
          <w:color w:val="auto"/>
          <w:szCs w:val="21"/>
        </w:rPr>
      </w:pPr>
      <w:r>
        <w:rPr>
          <w:rFonts w:hint="eastAsia" w:ascii="宋体" w:hAnsi="宋体" w:cs="宋体"/>
          <w:color w:val="auto"/>
          <w:szCs w:val="21"/>
        </w:rPr>
        <w:t>发包人和监理人在收到详细的施工组织设计后确认或提出修改意见的期限：</w:t>
      </w:r>
      <w:r>
        <w:rPr>
          <w:rFonts w:hint="eastAsia" w:ascii="宋体" w:hAnsi="宋体" w:cs="宋体"/>
          <w:color w:val="auto"/>
          <w:szCs w:val="21"/>
          <w:u w:val="thick"/>
        </w:rPr>
        <w:t>执行通用合同条款</w:t>
      </w:r>
      <w:r>
        <w:rPr>
          <w:rFonts w:hint="eastAsia" w:ascii="宋体" w:hAnsi="宋体" w:cs="宋体"/>
          <w:color w:val="auto"/>
          <w:szCs w:val="21"/>
        </w:rPr>
        <w:t>。</w:t>
      </w:r>
    </w:p>
    <w:p w14:paraId="37A73811">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7</w:t>
      </w:r>
      <w:bookmarkStart w:id="349" w:name="_Toc300934966"/>
      <w:bookmarkStart w:id="350" w:name="_Toc312678005"/>
      <w:bookmarkStart w:id="351" w:name="_Toc303539123"/>
      <w:bookmarkStart w:id="352" w:name="_Toc304295541"/>
      <w:bookmarkStart w:id="353" w:name="_Toc297123514"/>
      <w:bookmarkStart w:id="354" w:name="_Toc312677479"/>
      <w:bookmarkStart w:id="355" w:name="_Toc297216173"/>
      <w:r>
        <w:rPr>
          <w:rFonts w:hint="eastAsia" w:ascii="宋体" w:hAnsi="宋体" w:cs="宋体"/>
          <w:color w:val="auto"/>
          <w:szCs w:val="21"/>
          <w:shd w:val="pct10" w:color="auto" w:fill="FFFFFF"/>
        </w:rPr>
        <w:t>.2 施工进度计划</w:t>
      </w:r>
    </w:p>
    <w:p w14:paraId="648FFF9A">
      <w:pPr>
        <w:spacing w:line="360" w:lineRule="auto"/>
        <w:rPr>
          <w:rFonts w:ascii="宋体" w:hAnsi="宋体" w:cs="宋体"/>
          <w:color w:val="auto"/>
          <w:szCs w:val="21"/>
        </w:rPr>
      </w:pPr>
      <w:r>
        <w:rPr>
          <w:rFonts w:hint="eastAsia" w:ascii="宋体" w:hAnsi="宋体" w:cs="宋体"/>
          <w:color w:val="auto"/>
          <w:szCs w:val="21"/>
        </w:rPr>
        <w:t>7.2.2 施工进度计划的修订</w:t>
      </w:r>
    </w:p>
    <w:p w14:paraId="00DDEFFF">
      <w:pPr>
        <w:spacing w:line="360" w:lineRule="auto"/>
        <w:rPr>
          <w:rFonts w:ascii="宋体" w:hAnsi="宋体" w:cs="宋体"/>
          <w:color w:val="auto"/>
          <w:szCs w:val="21"/>
        </w:rPr>
      </w:pPr>
      <w:r>
        <w:rPr>
          <w:rFonts w:hint="eastAsia" w:ascii="宋体" w:hAnsi="宋体" w:cs="宋体"/>
          <w:color w:val="auto"/>
          <w:szCs w:val="21"/>
        </w:rPr>
        <w:t>发包人和监理人在收到修订的施工进度计划后确认或提出修改意见的期限：</w:t>
      </w:r>
      <w:r>
        <w:rPr>
          <w:rFonts w:hint="eastAsia" w:ascii="宋体" w:hAnsi="宋体" w:cs="宋体"/>
          <w:color w:val="auto"/>
          <w:szCs w:val="21"/>
          <w:u w:val="thick"/>
        </w:rPr>
        <w:t>执行通用合同条款</w:t>
      </w:r>
      <w:r>
        <w:rPr>
          <w:rFonts w:hint="eastAsia" w:ascii="宋体" w:hAnsi="宋体" w:cs="宋体"/>
          <w:color w:val="auto"/>
          <w:szCs w:val="21"/>
        </w:rPr>
        <w:t>。</w:t>
      </w:r>
    </w:p>
    <w:p w14:paraId="57B3869F">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7.3 开  工</w:t>
      </w:r>
    </w:p>
    <w:p w14:paraId="1014D3BF">
      <w:pPr>
        <w:spacing w:line="360" w:lineRule="auto"/>
        <w:rPr>
          <w:rFonts w:ascii="宋体" w:hAnsi="宋体" w:cs="宋体"/>
          <w:color w:val="auto"/>
          <w:szCs w:val="21"/>
        </w:rPr>
      </w:pPr>
      <w:r>
        <w:rPr>
          <w:rFonts w:hint="eastAsia" w:ascii="宋体" w:hAnsi="宋体" w:cs="宋体"/>
          <w:color w:val="auto"/>
          <w:szCs w:val="21"/>
        </w:rPr>
        <w:t>7.3.1 开工准备</w:t>
      </w:r>
    </w:p>
    <w:p w14:paraId="4A631C21">
      <w:pPr>
        <w:spacing w:line="360" w:lineRule="auto"/>
        <w:rPr>
          <w:rFonts w:ascii="宋体" w:hAnsi="宋体" w:cs="宋体"/>
          <w:color w:val="auto"/>
          <w:szCs w:val="21"/>
        </w:rPr>
      </w:pPr>
      <w:r>
        <w:rPr>
          <w:rFonts w:hint="eastAsia" w:ascii="宋体" w:hAnsi="宋体" w:cs="宋体"/>
          <w:color w:val="auto"/>
          <w:szCs w:val="21"/>
        </w:rPr>
        <w:t>关于承包人提交工程开工报审表的期限：</w:t>
      </w:r>
      <w:r>
        <w:rPr>
          <w:rFonts w:hint="eastAsia" w:ascii="宋体" w:hAnsi="宋体" w:cs="宋体"/>
          <w:color w:val="auto"/>
          <w:szCs w:val="21"/>
          <w:u w:val="thick"/>
        </w:rPr>
        <w:t>签订合同后 7天内</w:t>
      </w:r>
      <w:r>
        <w:rPr>
          <w:rFonts w:hint="eastAsia" w:ascii="宋体" w:hAnsi="宋体" w:cs="宋体"/>
          <w:color w:val="auto"/>
          <w:szCs w:val="21"/>
        </w:rPr>
        <w:t>。</w:t>
      </w:r>
    </w:p>
    <w:p w14:paraId="666486B7">
      <w:pPr>
        <w:spacing w:line="360" w:lineRule="auto"/>
        <w:rPr>
          <w:rFonts w:ascii="宋体" w:hAnsi="宋体" w:cs="宋体"/>
          <w:color w:val="auto"/>
          <w:szCs w:val="21"/>
        </w:rPr>
      </w:pPr>
      <w:r>
        <w:rPr>
          <w:rFonts w:hint="eastAsia" w:ascii="宋体" w:hAnsi="宋体" w:cs="宋体"/>
          <w:color w:val="auto"/>
          <w:szCs w:val="21"/>
        </w:rPr>
        <w:t>关于发包人应完成的其他开工准备工作及期限：</w:t>
      </w:r>
      <w:r>
        <w:rPr>
          <w:rFonts w:hint="eastAsia" w:ascii="宋体" w:hAnsi="宋体" w:cs="宋体"/>
          <w:color w:val="auto"/>
          <w:szCs w:val="21"/>
          <w:u w:val="thick"/>
        </w:rPr>
        <w:t>开工日期7天前</w:t>
      </w:r>
      <w:r>
        <w:rPr>
          <w:rFonts w:hint="eastAsia" w:ascii="宋体" w:hAnsi="宋体" w:cs="宋体"/>
          <w:color w:val="auto"/>
          <w:szCs w:val="21"/>
        </w:rPr>
        <w:t>。</w:t>
      </w:r>
    </w:p>
    <w:p w14:paraId="1BD04FA7">
      <w:pPr>
        <w:spacing w:line="360" w:lineRule="auto"/>
        <w:rPr>
          <w:rFonts w:ascii="宋体" w:hAnsi="宋体" w:cs="宋体"/>
          <w:color w:val="auto"/>
          <w:szCs w:val="21"/>
        </w:rPr>
      </w:pPr>
      <w:r>
        <w:rPr>
          <w:rFonts w:hint="eastAsia" w:ascii="宋体" w:hAnsi="宋体" w:cs="宋体"/>
          <w:color w:val="auto"/>
          <w:szCs w:val="21"/>
        </w:rPr>
        <w:t>关于承包人应完成的其他开工准备工作及期限：</w:t>
      </w:r>
      <w:r>
        <w:rPr>
          <w:rFonts w:hint="eastAsia" w:ascii="宋体" w:hAnsi="宋体" w:cs="宋体"/>
          <w:color w:val="auto"/>
          <w:szCs w:val="21"/>
          <w:u w:val="thick"/>
        </w:rPr>
        <w:t>开工日期7天前</w:t>
      </w:r>
      <w:r>
        <w:rPr>
          <w:rFonts w:hint="eastAsia" w:ascii="宋体" w:hAnsi="宋体" w:cs="宋体"/>
          <w:color w:val="auto"/>
          <w:szCs w:val="21"/>
        </w:rPr>
        <w:t>。</w:t>
      </w:r>
    </w:p>
    <w:p w14:paraId="5E1F7149">
      <w:pPr>
        <w:spacing w:line="360" w:lineRule="auto"/>
        <w:rPr>
          <w:rFonts w:ascii="宋体" w:hAnsi="宋体" w:cs="宋体"/>
          <w:color w:val="auto"/>
          <w:szCs w:val="21"/>
        </w:rPr>
      </w:pPr>
      <w:r>
        <w:rPr>
          <w:rFonts w:hint="eastAsia" w:ascii="宋体" w:hAnsi="宋体" w:cs="宋体"/>
          <w:color w:val="auto"/>
          <w:szCs w:val="21"/>
        </w:rPr>
        <w:t>7.3.2开工通知</w:t>
      </w:r>
    </w:p>
    <w:p w14:paraId="73E71A0B">
      <w:pPr>
        <w:spacing w:line="360" w:lineRule="auto"/>
        <w:rPr>
          <w:rFonts w:ascii="宋体" w:hAnsi="宋体" w:cs="宋体"/>
          <w:color w:val="auto"/>
          <w:szCs w:val="21"/>
        </w:rPr>
      </w:pPr>
      <w:r>
        <w:rPr>
          <w:rFonts w:hint="eastAsia" w:ascii="宋体" w:hAnsi="宋体" w:cs="宋体"/>
          <w:color w:val="auto"/>
          <w:szCs w:val="21"/>
        </w:rPr>
        <w:t>因发包人原因造成监理人未能在计划开工日期之日起</w:t>
      </w:r>
      <w:r>
        <w:rPr>
          <w:rFonts w:hint="eastAsia" w:ascii="宋体" w:hAnsi="宋体" w:cs="宋体"/>
          <w:color w:val="auto"/>
          <w:szCs w:val="21"/>
          <w:u w:val="thick"/>
        </w:rPr>
        <w:t xml:space="preserve"> 90 </w:t>
      </w:r>
      <w:r>
        <w:rPr>
          <w:rFonts w:hint="eastAsia" w:ascii="宋体" w:hAnsi="宋体" w:cs="宋体"/>
          <w:color w:val="auto"/>
          <w:szCs w:val="21"/>
        </w:rPr>
        <w:t>天内发出开工通知的，承包人有权提出价格调整要求，或者解除合同。</w:t>
      </w:r>
    </w:p>
    <w:bookmarkEnd w:id="349"/>
    <w:bookmarkEnd w:id="350"/>
    <w:bookmarkEnd w:id="351"/>
    <w:bookmarkEnd w:id="352"/>
    <w:bookmarkEnd w:id="353"/>
    <w:bookmarkEnd w:id="354"/>
    <w:bookmarkEnd w:id="355"/>
    <w:p w14:paraId="48D3C4BE">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7.4 测量放线</w:t>
      </w:r>
    </w:p>
    <w:p w14:paraId="3D80FDDB">
      <w:pPr>
        <w:spacing w:line="360" w:lineRule="auto"/>
        <w:rPr>
          <w:rFonts w:ascii="宋体" w:hAnsi="宋体" w:cs="宋体"/>
          <w:color w:val="auto"/>
          <w:szCs w:val="21"/>
        </w:rPr>
      </w:pPr>
      <w:r>
        <w:rPr>
          <w:rFonts w:hint="eastAsia" w:ascii="宋体" w:hAnsi="宋体" w:cs="宋体"/>
          <w:color w:val="auto"/>
          <w:szCs w:val="21"/>
        </w:rPr>
        <w:t>7.4.1发包人通过监理人向承包人提供测量基准点、基准线和水准点及其书面资料的期限：</w:t>
      </w:r>
      <w:r>
        <w:rPr>
          <w:rFonts w:hint="eastAsia" w:ascii="宋体" w:hAnsi="宋体" w:cs="宋体"/>
          <w:color w:val="auto"/>
          <w:szCs w:val="21"/>
          <w:u w:val="thick"/>
        </w:rPr>
        <w:t>最迟为约定开工日期前7天</w:t>
      </w:r>
      <w:r>
        <w:rPr>
          <w:rFonts w:hint="eastAsia" w:ascii="宋体" w:hAnsi="宋体" w:cs="宋体"/>
          <w:color w:val="auto"/>
          <w:szCs w:val="21"/>
        </w:rPr>
        <w:t>。</w:t>
      </w:r>
    </w:p>
    <w:p w14:paraId="31310039">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7</w:t>
      </w:r>
      <w:bookmarkStart w:id="356" w:name="_Toc297123516"/>
      <w:bookmarkStart w:id="357" w:name="_Toc300934968"/>
      <w:bookmarkStart w:id="358" w:name="_Toc312678010"/>
      <w:bookmarkStart w:id="359" w:name="_Toc312677484"/>
      <w:bookmarkStart w:id="360" w:name="_Toc303539125"/>
      <w:bookmarkStart w:id="361" w:name="_Toc304295546"/>
      <w:bookmarkStart w:id="362" w:name="_Toc297216175"/>
      <w:r>
        <w:rPr>
          <w:rFonts w:hint="eastAsia" w:ascii="宋体" w:hAnsi="宋体" w:cs="宋体"/>
          <w:color w:val="auto"/>
          <w:szCs w:val="21"/>
          <w:shd w:val="pct10" w:color="auto" w:fill="FFFFFF"/>
        </w:rPr>
        <w:t>.5 工期延误</w:t>
      </w:r>
    </w:p>
    <w:bookmarkEnd w:id="356"/>
    <w:bookmarkEnd w:id="357"/>
    <w:bookmarkEnd w:id="358"/>
    <w:bookmarkEnd w:id="359"/>
    <w:bookmarkEnd w:id="360"/>
    <w:bookmarkEnd w:id="361"/>
    <w:bookmarkEnd w:id="362"/>
    <w:p w14:paraId="0CF2E536">
      <w:pPr>
        <w:spacing w:line="360" w:lineRule="auto"/>
        <w:rPr>
          <w:rFonts w:ascii="宋体" w:hAnsi="宋体" w:cs="宋体"/>
          <w:color w:val="auto"/>
          <w:szCs w:val="21"/>
        </w:rPr>
      </w:pPr>
      <w:r>
        <w:rPr>
          <w:rFonts w:hint="eastAsia" w:ascii="宋体" w:hAnsi="宋体" w:cs="宋体"/>
          <w:color w:val="auto"/>
          <w:szCs w:val="21"/>
        </w:rPr>
        <w:t>7.5.1 因发包人原因导致工期延误</w:t>
      </w:r>
    </w:p>
    <w:p w14:paraId="1051AAF3">
      <w:pPr>
        <w:spacing w:line="360" w:lineRule="auto"/>
        <w:rPr>
          <w:rFonts w:ascii="宋体" w:hAnsi="宋体" w:cs="宋体"/>
          <w:color w:val="auto"/>
          <w:szCs w:val="21"/>
        </w:rPr>
      </w:pPr>
      <w:r>
        <w:rPr>
          <w:rFonts w:hint="eastAsia" w:ascii="宋体" w:hAnsi="宋体" w:cs="宋体"/>
          <w:color w:val="auto"/>
          <w:szCs w:val="21"/>
        </w:rPr>
        <w:t>(7)因发包人原因导致工期延误的其他情形</w:t>
      </w:r>
      <w:r>
        <w:rPr>
          <w:rFonts w:hint="eastAsia" w:ascii="宋体" w:hAnsi="宋体" w:cs="宋体"/>
          <w:color w:val="auto"/>
          <w:szCs w:val="21"/>
          <w:u w:val="thick"/>
        </w:rPr>
        <w:t>：                         。</w:t>
      </w:r>
    </w:p>
    <w:p w14:paraId="01890833">
      <w:pPr>
        <w:spacing w:line="360" w:lineRule="auto"/>
        <w:rPr>
          <w:rFonts w:ascii="宋体" w:hAnsi="宋体" w:cs="宋体"/>
          <w:color w:val="auto"/>
          <w:szCs w:val="21"/>
        </w:rPr>
      </w:pPr>
      <w:r>
        <w:rPr>
          <w:rFonts w:hint="eastAsia" w:ascii="宋体" w:hAnsi="宋体" w:cs="宋体"/>
          <w:color w:val="auto"/>
          <w:szCs w:val="21"/>
        </w:rPr>
        <w:t>7</w:t>
      </w:r>
      <w:bookmarkStart w:id="363" w:name="_Toc312677486"/>
      <w:bookmarkStart w:id="364" w:name="_Toc312678012"/>
      <w:bookmarkStart w:id="365" w:name="_Toc318581169"/>
      <w:bookmarkStart w:id="366" w:name="_Toc297216177"/>
      <w:bookmarkStart w:id="367" w:name="_Toc303539127"/>
      <w:bookmarkStart w:id="368" w:name="_Toc300934970"/>
      <w:bookmarkStart w:id="369" w:name="_Toc297123518"/>
      <w:bookmarkStart w:id="370" w:name="_Toc304295548"/>
      <w:r>
        <w:rPr>
          <w:rFonts w:hint="eastAsia" w:ascii="宋体" w:hAnsi="宋体" w:cs="宋体"/>
          <w:color w:val="auto"/>
          <w:szCs w:val="21"/>
        </w:rPr>
        <w:t>.5.2 因承包人原因导致工期延误</w:t>
      </w:r>
    </w:p>
    <w:bookmarkEnd w:id="363"/>
    <w:bookmarkEnd w:id="364"/>
    <w:bookmarkEnd w:id="365"/>
    <w:p w14:paraId="135A1FD6">
      <w:pPr>
        <w:spacing w:line="360" w:lineRule="auto"/>
        <w:rPr>
          <w:rFonts w:ascii="宋体" w:hAnsi="宋体" w:cs="宋体"/>
          <w:color w:val="auto"/>
          <w:szCs w:val="21"/>
        </w:rPr>
      </w:pPr>
      <w:r>
        <w:rPr>
          <w:rFonts w:hint="eastAsia" w:ascii="宋体" w:hAnsi="宋体" w:cs="宋体"/>
          <w:color w:val="auto"/>
          <w:szCs w:val="21"/>
        </w:rPr>
        <w:t>因</w:t>
      </w:r>
      <w:bookmarkStart w:id="371" w:name="_Toc312677487"/>
      <w:bookmarkStart w:id="372" w:name="_Toc312678013"/>
      <w:bookmarkStart w:id="373" w:name="_Toc318581170"/>
      <w:r>
        <w:rPr>
          <w:rFonts w:hint="eastAsia" w:ascii="宋体" w:hAnsi="宋体" w:cs="宋体"/>
          <w:color w:val="auto"/>
          <w:szCs w:val="21"/>
        </w:rPr>
        <w:t>承包人原因造成工期延误，逾期竣工违约金的计算方法为：</w:t>
      </w:r>
      <w:bookmarkEnd w:id="366"/>
      <w:bookmarkEnd w:id="367"/>
      <w:bookmarkEnd w:id="368"/>
      <w:bookmarkEnd w:id="369"/>
      <w:bookmarkEnd w:id="370"/>
      <w:bookmarkEnd w:id="371"/>
      <w:bookmarkEnd w:id="372"/>
      <w:r>
        <w:rPr>
          <w:rFonts w:hint="eastAsia" w:ascii="宋体" w:hAnsi="宋体" w:cs="宋体"/>
          <w:color w:val="auto"/>
          <w:szCs w:val="21"/>
          <w:u w:val="thick"/>
        </w:rPr>
        <w:t>承包人未按照本合同约定期限完成工程合同内容，承包人承担违约责任，工期每逾期一天，缴纳2000元的违约金，并赔偿因工期延期交付给发包人造成的损失，损失费用据实计算，在工程款中扣除</w:t>
      </w:r>
      <w:r>
        <w:rPr>
          <w:rFonts w:hint="eastAsia" w:ascii="宋体" w:hAnsi="宋体" w:cs="宋体"/>
          <w:color w:val="auto"/>
          <w:szCs w:val="21"/>
        </w:rPr>
        <w:t>。</w:t>
      </w:r>
    </w:p>
    <w:bookmarkEnd w:id="373"/>
    <w:p w14:paraId="445779DC">
      <w:pPr>
        <w:spacing w:line="360" w:lineRule="auto"/>
        <w:rPr>
          <w:rFonts w:ascii="宋体" w:hAnsi="宋体" w:cs="宋体"/>
          <w:color w:val="auto"/>
          <w:szCs w:val="21"/>
        </w:rPr>
      </w:pPr>
      <w:r>
        <w:rPr>
          <w:rFonts w:hint="eastAsia" w:ascii="宋体" w:hAnsi="宋体" w:cs="宋体"/>
          <w:color w:val="auto"/>
          <w:szCs w:val="21"/>
        </w:rPr>
        <w:t>因承包人原因造成工期延误，逾</w:t>
      </w:r>
      <w:bookmarkStart w:id="374" w:name="_Toc312678014"/>
      <w:bookmarkStart w:id="375" w:name="_Toc318581171"/>
      <w:r>
        <w:rPr>
          <w:rFonts w:hint="eastAsia" w:ascii="宋体" w:hAnsi="宋体" w:cs="宋体"/>
          <w:color w:val="auto"/>
          <w:szCs w:val="21"/>
        </w:rPr>
        <w:t>期竣工违约金的上限：</w:t>
      </w:r>
      <w:r>
        <w:rPr>
          <w:rFonts w:hint="eastAsia" w:ascii="宋体" w:hAnsi="宋体" w:cs="宋体"/>
          <w:color w:val="auto"/>
          <w:szCs w:val="21"/>
          <w:u w:val="thick"/>
        </w:rPr>
        <w:t xml:space="preserve"> 合同价款的10% </w:t>
      </w:r>
      <w:r>
        <w:rPr>
          <w:rFonts w:hint="eastAsia" w:ascii="宋体" w:hAnsi="宋体" w:cs="宋体"/>
          <w:color w:val="auto"/>
          <w:szCs w:val="21"/>
        </w:rPr>
        <w:t>。</w:t>
      </w:r>
    </w:p>
    <w:bookmarkEnd w:id="374"/>
    <w:bookmarkEnd w:id="375"/>
    <w:p w14:paraId="03A41D96">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7</w:t>
      </w:r>
      <w:bookmarkStart w:id="376" w:name="_Toc304295549"/>
      <w:bookmarkStart w:id="377" w:name="_Toc312678015"/>
      <w:bookmarkStart w:id="378" w:name="_Toc297216178"/>
      <w:bookmarkStart w:id="379" w:name="_Toc303539128"/>
      <w:bookmarkStart w:id="380" w:name="_Toc297123519"/>
      <w:bookmarkStart w:id="381" w:name="_Toc300934971"/>
      <w:r>
        <w:rPr>
          <w:rFonts w:hint="eastAsia" w:ascii="宋体" w:hAnsi="宋体" w:cs="宋体"/>
          <w:color w:val="auto"/>
          <w:szCs w:val="21"/>
          <w:shd w:val="pct10" w:color="auto" w:fill="FFFFFF"/>
        </w:rPr>
        <w:t>.6 不</w:t>
      </w:r>
      <w:bookmarkEnd w:id="376"/>
      <w:bookmarkEnd w:id="377"/>
      <w:bookmarkEnd w:id="378"/>
      <w:bookmarkEnd w:id="379"/>
      <w:bookmarkEnd w:id="380"/>
      <w:bookmarkEnd w:id="381"/>
      <w:r>
        <w:rPr>
          <w:rFonts w:hint="eastAsia" w:ascii="宋体" w:hAnsi="宋体" w:cs="宋体"/>
          <w:color w:val="auto"/>
          <w:szCs w:val="21"/>
          <w:shd w:val="pct10" w:color="auto" w:fill="FFFFFF"/>
        </w:rPr>
        <w:t>利物质条件</w:t>
      </w:r>
    </w:p>
    <w:p w14:paraId="47685CD0">
      <w:pPr>
        <w:spacing w:line="360" w:lineRule="auto"/>
        <w:rPr>
          <w:rFonts w:ascii="宋体" w:hAnsi="宋体" w:cs="宋体"/>
          <w:color w:val="auto"/>
          <w:szCs w:val="21"/>
        </w:rPr>
      </w:pPr>
      <w:bookmarkStart w:id="382" w:name="_Toc297123520"/>
      <w:bookmarkStart w:id="383" w:name="_Toc318581172"/>
      <w:bookmarkStart w:id="384" w:name="_Toc304295550"/>
      <w:bookmarkStart w:id="385" w:name="_Toc300934972"/>
      <w:bookmarkStart w:id="386" w:name="_Toc303539129"/>
      <w:bookmarkStart w:id="387" w:name="_Toc297216179"/>
      <w:bookmarkStart w:id="388" w:name="_Toc312678016"/>
      <w:r>
        <w:rPr>
          <w:rFonts w:hint="eastAsia" w:ascii="宋体" w:hAnsi="宋体" w:cs="宋体"/>
          <w:color w:val="auto"/>
          <w:szCs w:val="21"/>
        </w:rPr>
        <w:t>不利物质条件的其他情形和有关约定：</w:t>
      </w:r>
      <w:r>
        <w:rPr>
          <w:rFonts w:hint="eastAsia" w:ascii="宋体" w:hAnsi="宋体" w:cs="宋体"/>
          <w:color w:val="auto"/>
          <w:szCs w:val="21"/>
          <w:u w:val="thick"/>
        </w:rPr>
        <w:t>埋藏在地下的未引爆的炸弹、地勘过程中未发现的特殊岩层构造、地下管道、有毒的土壤或异常的地下水位等其他发包人、承包人、监理人三方共同认定为不利物质条件的情形</w:t>
      </w:r>
      <w:r>
        <w:rPr>
          <w:rFonts w:hint="eastAsia" w:ascii="宋体" w:hAnsi="宋体" w:cs="宋体"/>
          <w:color w:val="auto"/>
          <w:szCs w:val="21"/>
        </w:rPr>
        <w:t>。</w:t>
      </w:r>
    </w:p>
    <w:bookmarkEnd w:id="382"/>
    <w:bookmarkEnd w:id="383"/>
    <w:bookmarkEnd w:id="384"/>
    <w:bookmarkEnd w:id="385"/>
    <w:bookmarkEnd w:id="386"/>
    <w:bookmarkEnd w:id="387"/>
    <w:bookmarkEnd w:id="388"/>
    <w:p w14:paraId="7A1C189F">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7</w:t>
      </w:r>
      <w:bookmarkStart w:id="389" w:name="_Toc303539130"/>
      <w:bookmarkStart w:id="390" w:name="_Toc312678017"/>
      <w:bookmarkStart w:id="391" w:name="_Toc297123521"/>
      <w:bookmarkStart w:id="392" w:name="_Toc297216180"/>
      <w:bookmarkStart w:id="393" w:name="_Toc300934973"/>
      <w:bookmarkStart w:id="394" w:name="_Toc304295551"/>
      <w:r>
        <w:rPr>
          <w:rFonts w:hint="eastAsia" w:ascii="宋体" w:hAnsi="宋体" w:cs="宋体"/>
          <w:color w:val="auto"/>
          <w:szCs w:val="21"/>
          <w:shd w:val="pct10" w:color="auto" w:fill="FFFFFF"/>
        </w:rPr>
        <w:t>.7异常恶劣的气候条件</w:t>
      </w:r>
    </w:p>
    <w:bookmarkEnd w:id="389"/>
    <w:bookmarkEnd w:id="390"/>
    <w:bookmarkEnd w:id="391"/>
    <w:bookmarkEnd w:id="392"/>
    <w:bookmarkEnd w:id="393"/>
    <w:bookmarkEnd w:id="394"/>
    <w:p w14:paraId="7F17DD92">
      <w:pPr>
        <w:spacing w:line="360" w:lineRule="auto"/>
        <w:rPr>
          <w:rFonts w:ascii="宋体" w:hAnsi="宋体" w:cs="宋体"/>
          <w:color w:val="auto"/>
          <w:szCs w:val="21"/>
        </w:rPr>
      </w:pPr>
      <w:r>
        <w:rPr>
          <w:rFonts w:hint="eastAsia" w:ascii="宋体" w:hAnsi="宋体" w:cs="宋体"/>
          <w:color w:val="auto"/>
          <w:szCs w:val="21"/>
        </w:rPr>
        <w:t>发包人和承包人同意以下情形视为异常恶劣的气候条件：</w:t>
      </w:r>
    </w:p>
    <w:p w14:paraId="5D959A41">
      <w:pPr>
        <w:spacing w:line="360" w:lineRule="auto"/>
        <w:rPr>
          <w:rFonts w:ascii="宋体" w:hAnsi="宋体" w:cs="宋体"/>
          <w:color w:val="auto"/>
          <w:szCs w:val="21"/>
        </w:rPr>
      </w:pPr>
      <w:r>
        <w:rPr>
          <w:rFonts w:hint="eastAsia" w:ascii="宋体" w:hAnsi="宋体" w:cs="宋体"/>
          <w:color w:val="auto"/>
          <w:szCs w:val="21"/>
          <w:u w:val="thick"/>
        </w:rPr>
        <w:t>根据项目所在地历史气象资料中的气象数据，由发包人、承包人、监理人共同认定为异常恶劣的气候条件</w:t>
      </w:r>
      <w:r>
        <w:rPr>
          <w:rFonts w:hint="eastAsia" w:ascii="宋体" w:hAnsi="宋体" w:cs="宋体"/>
          <w:color w:val="auto"/>
          <w:szCs w:val="21"/>
        </w:rPr>
        <w:t>。如：</w:t>
      </w:r>
    </w:p>
    <w:p w14:paraId="1B0D189C">
      <w:pPr>
        <w:spacing w:line="360" w:lineRule="auto"/>
        <w:rPr>
          <w:rFonts w:ascii="宋体" w:hAnsi="宋体" w:cs="宋体"/>
          <w:color w:val="auto"/>
          <w:szCs w:val="21"/>
          <w:u w:val="thick"/>
        </w:rPr>
      </w:pPr>
      <w:r>
        <w:rPr>
          <w:rFonts w:hint="eastAsia" w:ascii="宋体" w:hAnsi="宋体" w:cs="宋体"/>
          <w:color w:val="auto"/>
          <w:szCs w:val="21"/>
          <w:u w:val="thick"/>
        </w:rPr>
        <w:fldChar w:fldCharType="begin"/>
      </w:r>
      <w:r>
        <w:rPr>
          <w:rFonts w:hint="eastAsia" w:ascii="宋体" w:hAnsi="宋体" w:cs="宋体"/>
          <w:color w:val="auto"/>
          <w:szCs w:val="21"/>
          <w:u w:val="thick"/>
        </w:rPr>
        <w:instrText xml:space="preserve"> = 1 \* GB3 </w:instrText>
      </w:r>
      <w:r>
        <w:rPr>
          <w:rFonts w:hint="eastAsia" w:ascii="宋体" w:hAnsi="宋体" w:cs="宋体"/>
          <w:color w:val="auto"/>
          <w:szCs w:val="21"/>
          <w:u w:val="thick"/>
        </w:rPr>
        <w:fldChar w:fldCharType="separate"/>
      </w:r>
      <w:r>
        <w:rPr>
          <w:rFonts w:hint="eastAsia" w:ascii="宋体" w:hAnsi="宋体" w:cs="宋体"/>
          <w:color w:val="auto"/>
          <w:szCs w:val="21"/>
          <w:u w:val="thick"/>
        </w:rPr>
        <w:t>①</w:t>
      </w:r>
      <w:r>
        <w:rPr>
          <w:rFonts w:hint="eastAsia" w:ascii="宋体" w:hAnsi="宋体" w:cs="宋体"/>
          <w:color w:val="auto"/>
          <w:szCs w:val="21"/>
          <w:u w:val="thick"/>
        </w:rPr>
        <w:fldChar w:fldCharType="end"/>
      </w:r>
      <w:r>
        <w:rPr>
          <w:rFonts w:hint="eastAsia" w:ascii="宋体" w:hAnsi="宋体" w:cs="宋体"/>
          <w:color w:val="auto"/>
          <w:szCs w:val="21"/>
          <w:u w:val="thick"/>
        </w:rPr>
        <w:t>5级以上的地震；</w:t>
      </w:r>
    </w:p>
    <w:p w14:paraId="7D00819B">
      <w:pPr>
        <w:spacing w:line="360" w:lineRule="auto"/>
        <w:rPr>
          <w:rFonts w:ascii="宋体" w:hAnsi="宋体" w:cs="宋体"/>
          <w:color w:val="auto"/>
          <w:szCs w:val="21"/>
          <w:u w:val="thick"/>
        </w:rPr>
      </w:pPr>
      <w:r>
        <w:rPr>
          <w:rFonts w:hint="eastAsia" w:ascii="宋体" w:hAnsi="宋体" w:cs="宋体"/>
          <w:color w:val="auto"/>
          <w:szCs w:val="21"/>
          <w:u w:val="thick"/>
        </w:rPr>
        <w:fldChar w:fldCharType="begin"/>
      </w:r>
      <w:r>
        <w:rPr>
          <w:rFonts w:hint="eastAsia" w:ascii="宋体" w:hAnsi="宋体" w:cs="宋体"/>
          <w:color w:val="auto"/>
          <w:szCs w:val="21"/>
          <w:u w:val="thick"/>
        </w:rPr>
        <w:instrText xml:space="preserve"> = 2 \* GB3 </w:instrText>
      </w:r>
      <w:r>
        <w:rPr>
          <w:rFonts w:hint="eastAsia" w:ascii="宋体" w:hAnsi="宋体" w:cs="宋体"/>
          <w:color w:val="auto"/>
          <w:szCs w:val="21"/>
          <w:u w:val="thick"/>
        </w:rPr>
        <w:fldChar w:fldCharType="separate"/>
      </w:r>
      <w:r>
        <w:rPr>
          <w:rFonts w:hint="eastAsia" w:ascii="宋体" w:hAnsi="宋体" w:cs="宋体"/>
          <w:color w:val="auto"/>
          <w:szCs w:val="21"/>
          <w:u w:val="thick"/>
        </w:rPr>
        <w:t>②</w:t>
      </w:r>
      <w:r>
        <w:rPr>
          <w:rFonts w:hint="eastAsia" w:ascii="宋体" w:hAnsi="宋体" w:cs="宋体"/>
          <w:color w:val="auto"/>
          <w:szCs w:val="21"/>
          <w:u w:val="thick"/>
        </w:rPr>
        <w:fldChar w:fldCharType="end"/>
      </w:r>
      <w:r>
        <w:rPr>
          <w:rFonts w:hint="eastAsia" w:ascii="宋体" w:hAnsi="宋体" w:cs="宋体"/>
          <w:color w:val="auto"/>
          <w:szCs w:val="21"/>
          <w:u w:val="thick"/>
        </w:rPr>
        <w:t>100mm以上的持续2天的大雨</w:t>
      </w:r>
      <w:r>
        <w:rPr>
          <w:rFonts w:hint="eastAsia" w:ascii="宋体" w:hAnsi="宋体" w:cs="宋体"/>
          <w:color w:val="auto"/>
          <w:szCs w:val="21"/>
        </w:rPr>
        <w:t>；</w:t>
      </w:r>
    </w:p>
    <w:p w14:paraId="51232083">
      <w:pPr>
        <w:spacing w:line="360" w:lineRule="auto"/>
        <w:rPr>
          <w:rFonts w:ascii="宋体" w:hAnsi="宋体" w:cs="宋体"/>
          <w:color w:val="auto"/>
          <w:szCs w:val="21"/>
          <w:u w:val="thick"/>
        </w:rPr>
      </w:pPr>
      <w:r>
        <w:rPr>
          <w:rFonts w:hint="eastAsia" w:ascii="宋体" w:hAnsi="宋体" w:cs="宋体"/>
          <w:color w:val="auto"/>
          <w:szCs w:val="21"/>
          <w:u w:val="thick"/>
        </w:rPr>
        <w:fldChar w:fldCharType="begin"/>
      </w:r>
      <w:r>
        <w:rPr>
          <w:rFonts w:hint="eastAsia" w:ascii="宋体" w:hAnsi="宋体" w:cs="宋体"/>
          <w:color w:val="auto"/>
          <w:szCs w:val="21"/>
          <w:u w:val="thick"/>
        </w:rPr>
        <w:instrText xml:space="preserve"> = 3 \* GB3 </w:instrText>
      </w:r>
      <w:r>
        <w:rPr>
          <w:rFonts w:hint="eastAsia" w:ascii="宋体" w:hAnsi="宋体" w:cs="宋体"/>
          <w:color w:val="auto"/>
          <w:szCs w:val="21"/>
          <w:u w:val="thick"/>
        </w:rPr>
        <w:fldChar w:fldCharType="separate"/>
      </w:r>
      <w:r>
        <w:rPr>
          <w:rFonts w:hint="eastAsia" w:ascii="宋体" w:hAnsi="宋体" w:cs="宋体"/>
          <w:color w:val="auto"/>
          <w:szCs w:val="21"/>
          <w:u w:val="thick"/>
        </w:rPr>
        <w:t>③</w:t>
      </w:r>
      <w:r>
        <w:rPr>
          <w:rFonts w:hint="eastAsia" w:ascii="宋体" w:hAnsi="宋体" w:cs="宋体"/>
          <w:color w:val="auto"/>
          <w:szCs w:val="21"/>
          <w:u w:val="thick"/>
        </w:rPr>
        <w:fldChar w:fldCharType="end"/>
      </w:r>
      <w:r>
        <w:rPr>
          <w:rFonts w:hint="eastAsia" w:ascii="宋体" w:hAnsi="宋体" w:cs="宋体"/>
          <w:color w:val="auto"/>
          <w:szCs w:val="21"/>
          <w:u w:val="thick"/>
        </w:rPr>
        <w:t>30年以上未发生过的雹灾、洪水</w:t>
      </w:r>
      <w:r>
        <w:rPr>
          <w:rFonts w:hint="eastAsia" w:ascii="宋体" w:hAnsi="宋体" w:cs="宋体"/>
          <w:color w:val="auto"/>
          <w:szCs w:val="21"/>
        </w:rPr>
        <w:t>；</w:t>
      </w:r>
    </w:p>
    <w:p w14:paraId="077FB46A">
      <w:pPr>
        <w:spacing w:line="360" w:lineRule="auto"/>
        <w:rPr>
          <w:rFonts w:ascii="宋体" w:hAnsi="宋体" w:cs="宋体"/>
          <w:color w:val="auto"/>
          <w:szCs w:val="21"/>
        </w:rPr>
      </w:pPr>
      <w:r>
        <w:rPr>
          <w:rFonts w:hint="eastAsia" w:ascii="宋体" w:hAnsi="宋体" w:cs="宋体"/>
          <w:color w:val="auto"/>
          <w:szCs w:val="21"/>
          <w:u w:val="thick"/>
        </w:rPr>
        <w:fldChar w:fldCharType="begin"/>
      </w:r>
      <w:r>
        <w:rPr>
          <w:rFonts w:hint="eastAsia" w:ascii="宋体" w:hAnsi="宋体" w:cs="宋体"/>
          <w:color w:val="auto"/>
          <w:szCs w:val="21"/>
          <w:u w:val="thick"/>
        </w:rPr>
        <w:instrText xml:space="preserve"> = 4 \* GB3 </w:instrText>
      </w:r>
      <w:r>
        <w:rPr>
          <w:rFonts w:hint="eastAsia" w:ascii="宋体" w:hAnsi="宋体" w:cs="宋体"/>
          <w:color w:val="auto"/>
          <w:szCs w:val="21"/>
          <w:u w:val="thick"/>
        </w:rPr>
        <w:fldChar w:fldCharType="separate"/>
      </w:r>
      <w:r>
        <w:rPr>
          <w:rFonts w:hint="eastAsia" w:ascii="宋体" w:hAnsi="宋体" w:cs="宋体"/>
          <w:color w:val="auto"/>
          <w:szCs w:val="21"/>
          <w:u w:val="thick"/>
        </w:rPr>
        <w:t>④</w:t>
      </w:r>
      <w:r>
        <w:rPr>
          <w:rFonts w:hint="eastAsia" w:ascii="宋体" w:hAnsi="宋体" w:cs="宋体"/>
          <w:color w:val="auto"/>
          <w:szCs w:val="21"/>
          <w:u w:val="thick"/>
        </w:rPr>
        <w:fldChar w:fldCharType="end"/>
      </w:r>
      <w:r>
        <w:rPr>
          <w:rFonts w:hint="eastAsia" w:ascii="宋体" w:hAnsi="宋体" w:cs="宋体"/>
          <w:color w:val="auto"/>
          <w:szCs w:val="21"/>
          <w:u w:val="thick"/>
        </w:rPr>
        <w:t>10 级以上的持续1天的大风</w:t>
      </w:r>
      <w:r>
        <w:rPr>
          <w:rFonts w:hint="eastAsia" w:ascii="宋体" w:hAnsi="宋体" w:cs="宋体"/>
          <w:color w:val="auto"/>
          <w:szCs w:val="21"/>
        </w:rPr>
        <w:t>。</w:t>
      </w:r>
    </w:p>
    <w:p w14:paraId="78E28EE4">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7.9 提前竣工的奖励</w:t>
      </w:r>
    </w:p>
    <w:p w14:paraId="20B9CB77">
      <w:pPr>
        <w:spacing w:line="360" w:lineRule="auto"/>
        <w:rPr>
          <w:rFonts w:ascii="宋体" w:hAnsi="宋体" w:cs="宋体"/>
          <w:color w:val="auto"/>
          <w:szCs w:val="21"/>
        </w:rPr>
      </w:pPr>
      <w:r>
        <w:rPr>
          <w:rFonts w:hint="eastAsia" w:ascii="宋体" w:hAnsi="宋体" w:cs="宋体"/>
          <w:color w:val="auto"/>
          <w:szCs w:val="21"/>
        </w:rPr>
        <w:t>7.9.2提前竣工的奖励：</w:t>
      </w:r>
      <w:r>
        <w:rPr>
          <w:rFonts w:hint="eastAsia" w:ascii="宋体" w:hAnsi="宋体" w:cs="宋体"/>
          <w:color w:val="auto"/>
          <w:szCs w:val="21"/>
          <w:u w:val="thick"/>
        </w:rPr>
        <w:t>提前竣工无奖励</w:t>
      </w:r>
      <w:r>
        <w:rPr>
          <w:rFonts w:hint="eastAsia" w:ascii="宋体" w:hAnsi="宋体" w:cs="宋体"/>
          <w:color w:val="auto"/>
          <w:szCs w:val="21"/>
        </w:rPr>
        <w:t>。</w:t>
      </w:r>
    </w:p>
    <w:p w14:paraId="1B3E3345">
      <w:pPr>
        <w:spacing w:line="360" w:lineRule="auto"/>
        <w:rPr>
          <w:rFonts w:ascii="宋体" w:hAnsi="宋体" w:cs="宋体"/>
          <w:color w:val="auto"/>
          <w:szCs w:val="21"/>
          <w:shd w:val="pct10" w:color="auto" w:fill="FFFFFF"/>
        </w:rPr>
      </w:pPr>
      <w:bookmarkStart w:id="395" w:name="_Toc351203640"/>
      <w:r>
        <w:rPr>
          <w:rFonts w:hint="eastAsia" w:ascii="宋体" w:hAnsi="宋体" w:cs="宋体"/>
          <w:color w:val="auto"/>
          <w:szCs w:val="21"/>
          <w:shd w:val="pct10" w:color="auto" w:fill="FFFFFF"/>
        </w:rPr>
        <w:t>8.材料与设备</w:t>
      </w:r>
      <w:bookmarkEnd w:id="395"/>
    </w:p>
    <w:bookmarkEnd w:id="330"/>
    <w:bookmarkEnd w:id="331"/>
    <w:bookmarkEnd w:id="332"/>
    <w:bookmarkEnd w:id="333"/>
    <w:bookmarkEnd w:id="334"/>
    <w:bookmarkEnd w:id="335"/>
    <w:bookmarkEnd w:id="336"/>
    <w:bookmarkEnd w:id="337"/>
    <w:bookmarkEnd w:id="338"/>
    <w:bookmarkEnd w:id="339"/>
    <w:p w14:paraId="3B2E3585">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8</w:t>
      </w:r>
      <w:bookmarkStart w:id="396" w:name="_Toc312677493"/>
      <w:bookmarkStart w:id="397" w:name="_Toc297120467"/>
      <w:bookmarkStart w:id="398" w:name="_Toc296503167"/>
      <w:bookmarkStart w:id="399" w:name="_Toc297123527"/>
      <w:bookmarkStart w:id="400" w:name="_Toc304295556"/>
      <w:bookmarkStart w:id="401" w:name="_Toc297216186"/>
      <w:bookmarkStart w:id="402" w:name="_Toc312678019"/>
      <w:bookmarkStart w:id="403" w:name="_Toc303539136"/>
      <w:bookmarkStart w:id="404" w:name="_Toc292559372"/>
      <w:bookmarkStart w:id="405" w:name="_Toc297048353"/>
      <w:bookmarkStart w:id="406" w:name="_Toc280868654"/>
      <w:bookmarkStart w:id="407" w:name="_Toc296944506"/>
      <w:bookmarkStart w:id="408" w:name="_Toc292559877"/>
      <w:bookmarkStart w:id="409" w:name="_Toc296890995"/>
      <w:bookmarkStart w:id="410" w:name="_Toc296347166"/>
      <w:bookmarkStart w:id="411" w:name="_Toc296891207"/>
      <w:bookmarkStart w:id="412" w:name="_Toc296346668"/>
      <w:bookmarkStart w:id="413" w:name="_Toc300934979"/>
      <w:bookmarkStart w:id="414" w:name="_Toc280868655"/>
      <w:bookmarkStart w:id="415" w:name="_Toc267251424"/>
      <w:bookmarkStart w:id="416" w:name="_Toc280868656"/>
      <w:r>
        <w:rPr>
          <w:rFonts w:hint="eastAsia" w:ascii="宋体" w:hAnsi="宋体" w:cs="宋体"/>
          <w:color w:val="auto"/>
          <w:szCs w:val="21"/>
          <w:shd w:val="pct10" w:color="auto" w:fill="FFFFFF"/>
        </w:rPr>
        <w:t>.4材料与工程设备的保管与使用</w:t>
      </w: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14:paraId="660E43EC">
      <w:pPr>
        <w:spacing w:line="360" w:lineRule="auto"/>
        <w:rPr>
          <w:rFonts w:ascii="宋体" w:hAnsi="宋体" w:cs="宋体"/>
          <w:color w:val="auto"/>
          <w:szCs w:val="21"/>
        </w:rPr>
      </w:pPr>
      <w:r>
        <w:rPr>
          <w:rFonts w:hint="eastAsia" w:ascii="宋体" w:hAnsi="宋体" w:cs="宋体"/>
          <w:color w:val="auto"/>
          <w:szCs w:val="21"/>
        </w:rPr>
        <w:t>8</w:t>
      </w:r>
      <w:bookmarkStart w:id="417" w:name="_Toc292559373"/>
      <w:bookmarkStart w:id="418" w:name="_Toc292559878"/>
      <w:bookmarkStart w:id="419" w:name="_Toc312678020"/>
      <w:bookmarkStart w:id="420" w:name="_Toc312677494"/>
      <w:bookmarkStart w:id="421" w:name="_Toc296944507"/>
      <w:bookmarkStart w:id="422" w:name="_Toc296890996"/>
      <w:bookmarkStart w:id="423" w:name="_Toc303539137"/>
      <w:bookmarkStart w:id="424" w:name="_Toc296891208"/>
      <w:bookmarkStart w:id="425" w:name="_Toc296503168"/>
      <w:bookmarkStart w:id="426" w:name="_Toc304295557"/>
      <w:bookmarkStart w:id="427" w:name="_Toc300934980"/>
      <w:bookmarkStart w:id="428" w:name="_Toc297123528"/>
      <w:bookmarkStart w:id="429" w:name="_Toc297216187"/>
      <w:bookmarkStart w:id="430" w:name="_Toc297048354"/>
      <w:bookmarkStart w:id="431" w:name="_Toc296346669"/>
      <w:bookmarkStart w:id="432" w:name="_Toc318581173"/>
      <w:bookmarkStart w:id="433" w:name="_Toc296347167"/>
      <w:bookmarkStart w:id="434" w:name="_Toc297120468"/>
      <w:r>
        <w:rPr>
          <w:rFonts w:hint="eastAsia" w:ascii="宋体" w:hAnsi="宋体" w:cs="宋体"/>
          <w:color w:val="auto"/>
          <w:szCs w:val="21"/>
        </w:rPr>
        <w:t>.4.1发包人供应的材料设备的保管费用的承担：</w:t>
      </w:r>
      <w:r>
        <w:rPr>
          <w:rFonts w:hint="eastAsia" w:ascii="宋体" w:hAnsi="宋体" w:cs="宋体"/>
          <w:color w:val="auto"/>
          <w:szCs w:val="21"/>
          <w:u w:val="thick"/>
        </w:rPr>
        <w:t>执行通用条款第8.4条</w:t>
      </w:r>
    </w:p>
    <w:p w14:paraId="1715CEF9">
      <w:pPr>
        <w:spacing w:line="360" w:lineRule="auto"/>
        <w:rPr>
          <w:rFonts w:ascii="宋体" w:hAnsi="宋体" w:cs="宋体"/>
          <w:color w:val="auto"/>
          <w:szCs w:val="21"/>
        </w:rPr>
      </w:pPr>
      <w:r>
        <w:rPr>
          <w:rFonts w:hint="eastAsia" w:ascii="宋体" w:hAnsi="宋体" w:cs="宋体"/>
          <w:color w:val="auto"/>
          <w:szCs w:val="21"/>
        </w:rPr>
        <w:t>8.4.2工程所需材料设备均由承包人按照要求购买，承包人在选择本工程涉及材料、设备时，应结合本工程情况，选用质量、性能、品牌属于中高档且为新型环保的产品，不得选用性能差的低档次产品。承包人采购的材料，其质量、品牌须由发包人书面认可后，方可进工地， 承包人在没有征得发包人同意不得先行购进。承包人应对材料、设备的质量负责，因质量不符合要求，发包人有权退回，清出施工现场，其损失由承包人承担。同时不得因此拖延工期和增加费用。</w:t>
      </w:r>
    </w:p>
    <w:p w14:paraId="3A1E7F36">
      <w:pPr>
        <w:spacing w:line="360" w:lineRule="auto"/>
        <w:rPr>
          <w:rFonts w:ascii="宋体" w:hAnsi="宋体" w:cs="宋体"/>
          <w:color w:val="auto"/>
          <w:szCs w:val="21"/>
        </w:rPr>
      </w:pPr>
      <w:r>
        <w:rPr>
          <w:rFonts w:hint="eastAsia" w:ascii="宋体" w:hAnsi="宋体" w:cs="宋体"/>
          <w:color w:val="auto"/>
          <w:szCs w:val="21"/>
        </w:rPr>
        <w:t>8.4.3承包人采购的材料，由承包人负责签订供货合同并履行合同，货款由承包人直接支付给供货商；若发现承包人不及时支付货款，则由发包人从承包人的工程款中扣除，直接支付给供货商。承包人采购的材料由承包人负责运输、装卸、试验及保管等。承包人采购所有材料必须保证质量，并附有材质证明、进货厂家、质量证明及价格，到货后还应提供合格证、化验单等有关质量文件。</w:t>
      </w:r>
    </w:p>
    <w:p w14:paraId="675D8D0A">
      <w:pPr>
        <w:spacing w:line="360" w:lineRule="auto"/>
        <w:rPr>
          <w:rFonts w:ascii="宋体" w:hAnsi="宋体" w:cs="宋体"/>
          <w:color w:val="auto"/>
          <w:szCs w:val="21"/>
        </w:rPr>
      </w:pPr>
      <w:r>
        <w:rPr>
          <w:rFonts w:hint="eastAsia" w:ascii="宋体" w:hAnsi="宋体" w:cs="宋体"/>
          <w:color w:val="auto"/>
          <w:szCs w:val="21"/>
        </w:rPr>
        <w:t>8.4.4如发包人发现承包人购买的材料标准、质量严重违约，招标人保留对材料(设备)的选购决定权。甲方购买的材料应由承包人负责卸车、试验及保管等，费用不再增加。购买后将按照实际购买价在工程款拨付时扣款，其原综合单价不变。</w:t>
      </w:r>
    </w:p>
    <w:bookmarkEnd w:id="417"/>
    <w:bookmarkEnd w:id="418"/>
    <w:p w14:paraId="7491DBCB">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8.6 样品</w:t>
      </w:r>
    </w:p>
    <w:p w14:paraId="10DDEDA7">
      <w:pPr>
        <w:spacing w:line="360" w:lineRule="auto"/>
        <w:rPr>
          <w:rFonts w:ascii="宋体" w:hAnsi="宋体" w:cs="宋体"/>
          <w:color w:val="auto"/>
          <w:szCs w:val="21"/>
        </w:rPr>
      </w:pPr>
      <w:r>
        <w:rPr>
          <w:rFonts w:hint="eastAsia" w:ascii="宋体" w:hAnsi="宋体" w:cs="宋体"/>
          <w:color w:val="auto"/>
          <w:szCs w:val="21"/>
        </w:rPr>
        <w:t>8.6.1样品的报送与封存</w:t>
      </w:r>
    </w:p>
    <w:p w14:paraId="57EFD110">
      <w:pPr>
        <w:spacing w:line="360" w:lineRule="auto"/>
        <w:rPr>
          <w:rFonts w:ascii="宋体" w:hAnsi="宋体" w:cs="宋体"/>
          <w:color w:val="auto"/>
          <w:szCs w:val="21"/>
        </w:rPr>
      </w:pPr>
      <w:r>
        <w:rPr>
          <w:rFonts w:hint="eastAsia" w:ascii="宋体" w:hAnsi="宋体" w:cs="宋体"/>
          <w:color w:val="auto"/>
          <w:szCs w:val="21"/>
        </w:rPr>
        <w:t>需要承包人报送样品的材料或工程设备，样品的种类、名称、规格、数量要求：</w:t>
      </w:r>
      <w:r>
        <w:rPr>
          <w:rFonts w:hint="eastAsia" w:ascii="宋体" w:hAnsi="宋体" w:cs="宋体"/>
          <w:color w:val="auto"/>
          <w:szCs w:val="21"/>
          <w:u w:val="thick"/>
        </w:rPr>
        <w:t>承包人自行采购的材料及设备需先提供样品和检验报告，并由发包人、监理单位共同认可后方可采购使用。若提供的样品不能满足设计需求，发包人将不予批复，超过两次不予批复后，发包人有权自行采购，但由此造成的相关费用，由承包人承担。对不符合要求的材料、设备，发包人有权责令不予使用并清除现场</w:t>
      </w:r>
      <w:r>
        <w:rPr>
          <w:rFonts w:hint="eastAsia" w:ascii="宋体" w:hAnsi="宋体" w:cs="宋体"/>
          <w:color w:val="auto"/>
          <w:szCs w:val="21"/>
        </w:rPr>
        <w:t>。</w:t>
      </w:r>
    </w:p>
    <w:p w14:paraId="05BA737D">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8.8 施工设备和临时设施</w:t>
      </w:r>
    </w:p>
    <w:p w14:paraId="7C1A0F08">
      <w:pPr>
        <w:spacing w:line="360" w:lineRule="auto"/>
        <w:rPr>
          <w:rFonts w:ascii="宋体" w:hAnsi="宋体" w:cs="宋体"/>
          <w:color w:val="auto"/>
          <w:szCs w:val="21"/>
        </w:rPr>
      </w:pPr>
      <w:r>
        <w:rPr>
          <w:rFonts w:hint="eastAsia" w:ascii="宋体" w:hAnsi="宋体" w:cs="宋体"/>
          <w:color w:val="auto"/>
          <w:szCs w:val="21"/>
        </w:rPr>
        <w:t>8.8.1 承包人提供的施工设备和临时设施</w:t>
      </w:r>
    </w:p>
    <w:p w14:paraId="5ACEE14C">
      <w:pPr>
        <w:spacing w:line="360" w:lineRule="auto"/>
        <w:rPr>
          <w:rFonts w:ascii="宋体" w:hAnsi="宋体" w:cs="宋体"/>
          <w:color w:val="auto"/>
          <w:szCs w:val="21"/>
        </w:rPr>
      </w:pPr>
      <w:r>
        <w:rPr>
          <w:rFonts w:hint="eastAsia" w:ascii="宋体" w:hAnsi="宋体" w:cs="宋体"/>
          <w:color w:val="auto"/>
          <w:szCs w:val="21"/>
        </w:rPr>
        <w:t>关于修建临时设施费用承担的约定：</w:t>
      </w:r>
      <w:r>
        <w:rPr>
          <w:rFonts w:hint="eastAsia" w:ascii="宋体" w:hAnsi="宋体" w:cs="宋体"/>
          <w:color w:val="auto"/>
          <w:szCs w:val="21"/>
          <w:u w:val="single"/>
        </w:rPr>
        <w:t>由承包人向发包人提供临时办公室，配备必须的办公设备及用品、办公家具，必须的项目标志性牌设施，该费用已包含在该工程的投标报价中</w:t>
      </w:r>
      <w:r>
        <w:rPr>
          <w:rFonts w:hint="eastAsia" w:ascii="宋体" w:hAnsi="宋体" w:cs="宋体"/>
          <w:color w:val="auto"/>
          <w:szCs w:val="21"/>
        </w:rPr>
        <w:t>。</w:t>
      </w:r>
    </w:p>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14:paraId="306FDF43">
      <w:pPr>
        <w:spacing w:line="360" w:lineRule="auto"/>
        <w:rPr>
          <w:rFonts w:ascii="宋体" w:hAnsi="宋体" w:cs="宋体"/>
          <w:color w:val="auto"/>
          <w:szCs w:val="21"/>
          <w:shd w:val="pct10" w:color="auto" w:fill="FFFFFF"/>
        </w:rPr>
      </w:pPr>
      <w:bookmarkStart w:id="435" w:name="_Toc351203641"/>
      <w:r>
        <w:rPr>
          <w:rFonts w:hint="eastAsia" w:ascii="宋体" w:hAnsi="宋体" w:cs="宋体"/>
          <w:color w:val="auto"/>
          <w:szCs w:val="21"/>
          <w:shd w:val="pct10" w:color="auto" w:fill="FFFFFF"/>
        </w:rPr>
        <w:t>9</w:t>
      </w:r>
      <w:bookmarkEnd w:id="414"/>
      <w:bookmarkEnd w:id="415"/>
      <w:bookmarkEnd w:id="416"/>
      <w:bookmarkStart w:id="436" w:name="_Toc300934982"/>
      <w:bookmarkStart w:id="437" w:name="_Toc303539139"/>
      <w:bookmarkStart w:id="438" w:name="_Toc312677495"/>
      <w:bookmarkStart w:id="439" w:name="_Toc297123533"/>
      <w:bookmarkStart w:id="440" w:name="_Toc297216192"/>
      <w:bookmarkStart w:id="441" w:name="_Toc312678021"/>
      <w:bookmarkStart w:id="442" w:name="_Toc304295559"/>
      <w:bookmarkStart w:id="443" w:name="_Toc296891001"/>
      <w:bookmarkStart w:id="444" w:name="_Toc267251428"/>
      <w:bookmarkStart w:id="445" w:name="_Toc292559378"/>
      <w:bookmarkStart w:id="446" w:name="_Toc292559883"/>
      <w:bookmarkStart w:id="447" w:name="_Toc296346674"/>
      <w:bookmarkStart w:id="448" w:name="_Toc267251427"/>
      <w:bookmarkStart w:id="449" w:name="_Toc297120473"/>
      <w:bookmarkStart w:id="450" w:name="_Toc297048359"/>
      <w:bookmarkStart w:id="451" w:name="_Toc296503173"/>
      <w:bookmarkStart w:id="452" w:name="_Toc296891213"/>
      <w:bookmarkStart w:id="453" w:name="_Toc296347172"/>
      <w:bookmarkStart w:id="454" w:name="_Toc296944512"/>
      <w:r>
        <w:rPr>
          <w:rFonts w:hint="eastAsia" w:ascii="宋体" w:hAnsi="宋体" w:cs="宋体"/>
          <w:color w:val="auto"/>
          <w:szCs w:val="21"/>
          <w:shd w:val="pct10" w:color="auto" w:fill="FFFFFF"/>
        </w:rPr>
        <w:t>.试验与检验</w:t>
      </w:r>
      <w:bookmarkEnd w:id="435"/>
    </w:p>
    <w:bookmarkEnd w:id="436"/>
    <w:bookmarkEnd w:id="437"/>
    <w:bookmarkEnd w:id="438"/>
    <w:bookmarkEnd w:id="439"/>
    <w:bookmarkEnd w:id="440"/>
    <w:bookmarkEnd w:id="441"/>
    <w:bookmarkEnd w:id="442"/>
    <w:p w14:paraId="1485A406">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9</w:t>
      </w:r>
      <w:bookmarkStart w:id="455" w:name="_Toc297123534"/>
      <w:bookmarkStart w:id="456" w:name="_Toc304295560"/>
      <w:bookmarkStart w:id="457" w:name="_Toc303539140"/>
      <w:bookmarkStart w:id="458" w:name="_Toc312677496"/>
      <w:bookmarkStart w:id="459" w:name="_Toc300934983"/>
      <w:bookmarkStart w:id="460" w:name="_Toc312678022"/>
      <w:bookmarkStart w:id="461" w:name="_Toc297216193"/>
      <w:r>
        <w:rPr>
          <w:rFonts w:hint="eastAsia" w:ascii="宋体" w:hAnsi="宋体" w:cs="宋体"/>
          <w:color w:val="auto"/>
          <w:szCs w:val="21"/>
          <w:shd w:val="pct10" w:color="auto" w:fill="FFFFFF"/>
        </w:rPr>
        <w:t>.1试验设备与试验人员</w:t>
      </w:r>
    </w:p>
    <w:bookmarkEnd w:id="455"/>
    <w:bookmarkEnd w:id="456"/>
    <w:bookmarkEnd w:id="457"/>
    <w:bookmarkEnd w:id="458"/>
    <w:bookmarkEnd w:id="459"/>
    <w:bookmarkEnd w:id="460"/>
    <w:bookmarkEnd w:id="461"/>
    <w:p w14:paraId="0834C189">
      <w:pPr>
        <w:spacing w:line="360" w:lineRule="auto"/>
        <w:rPr>
          <w:rFonts w:ascii="宋体" w:hAnsi="宋体" w:cs="宋体"/>
          <w:color w:val="auto"/>
          <w:szCs w:val="21"/>
        </w:rPr>
      </w:pPr>
      <w:r>
        <w:rPr>
          <w:rFonts w:hint="eastAsia" w:ascii="宋体" w:hAnsi="宋体" w:cs="宋体"/>
          <w:color w:val="auto"/>
          <w:szCs w:val="21"/>
        </w:rPr>
        <w:t>9</w:t>
      </w:r>
      <w:bookmarkStart w:id="462" w:name="_Toc312677497"/>
      <w:bookmarkStart w:id="463" w:name="_Toc300934984"/>
      <w:bookmarkStart w:id="464" w:name="_Toc297216194"/>
      <w:bookmarkStart w:id="465" w:name="_Toc297123535"/>
      <w:bookmarkStart w:id="466" w:name="_Toc303539141"/>
      <w:bookmarkStart w:id="467" w:name="_Toc312678023"/>
      <w:bookmarkStart w:id="468" w:name="_Toc304295561"/>
      <w:bookmarkStart w:id="469" w:name="_Toc318581174"/>
      <w:r>
        <w:rPr>
          <w:rFonts w:hint="eastAsia" w:ascii="宋体" w:hAnsi="宋体" w:cs="宋体"/>
          <w:color w:val="auto"/>
          <w:szCs w:val="21"/>
        </w:rPr>
        <w:t>.1.2 试验设备</w:t>
      </w:r>
    </w:p>
    <w:p w14:paraId="49D8800C">
      <w:pPr>
        <w:spacing w:line="360" w:lineRule="auto"/>
        <w:rPr>
          <w:rFonts w:ascii="宋体" w:hAnsi="宋体" w:cs="宋体"/>
          <w:color w:val="auto"/>
          <w:szCs w:val="21"/>
        </w:rPr>
      </w:pPr>
      <w:r>
        <w:rPr>
          <w:rFonts w:hint="eastAsia" w:ascii="宋体" w:hAnsi="宋体" w:cs="宋体"/>
          <w:color w:val="auto"/>
          <w:szCs w:val="21"/>
        </w:rPr>
        <w:t>施工现场需要配置的试验场所：</w:t>
      </w:r>
      <w:bookmarkEnd w:id="462"/>
      <w:bookmarkEnd w:id="463"/>
      <w:bookmarkEnd w:id="464"/>
      <w:bookmarkEnd w:id="465"/>
      <w:bookmarkEnd w:id="466"/>
      <w:bookmarkEnd w:id="467"/>
      <w:bookmarkEnd w:id="468"/>
      <w:bookmarkStart w:id="470" w:name="_Toc304295562"/>
      <w:bookmarkStart w:id="471" w:name="_Toc312677498"/>
      <w:bookmarkStart w:id="472" w:name="_Toc303539142"/>
      <w:bookmarkStart w:id="473" w:name="_Toc297216195"/>
      <w:bookmarkStart w:id="474" w:name="_Toc300934985"/>
      <w:bookmarkStart w:id="475" w:name="_Toc297123536"/>
      <w:bookmarkStart w:id="476" w:name="_Toc312678024"/>
      <w:r>
        <w:rPr>
          <w:rFonts w:hint="eastAsia" w:ascii="宋体" w:hAnsi="宋体" w:cs="宋体"/>
          <w:color w:val="auto"/>
          <w:szCs w:val="21"/>
          <w:u w:val="thick"/>
        </w:rPr>
        <w:t>承包人自行承担实验场所建设费用，实验场所应满足工程需要</w:t>
      </w:r>
      <w:r>
        <w:rPr>
          <w:rFonts w:hint="eastAsia" w:ascii="宋体" w:hAnsi="宋体" w:cs="宋体"/>
          <w:color w:val="auto"/>
          <w:szCs w:val="21"/>
        </w:rPr>
        <w:t>。</w:t>
      </w:r>
    </w:p>
    <w:p w14:paraId="46933AF2">
      <w:pPr>
        <w:spacing w:line="360" w:lineRule="auto"/>
        <w:rPr>
          <w:rFonts w:ascii="宋体" w:hAnsi="宋体" w:cs="宋体"/>
          <w:color w:val="auto"/>
          <w:szCs w:val="21"/>
        </w:rPr>
      </w:pPr>
      <w:r>
        <w:rPr>
          <w:rFonts w:hint="eastAsia" w:ascii="宋体" w:hAnsi="宋体" w:cs="宋体"/>
          <w:color w:val="auto"/>
          <w:szCs w:val="21"/>
        </w:rPr>
        <w:t>施工现场需要配备的试验设备：</w:t>
      </w:r>
      <w:r>
        <w:rPr>
          <w:rFonts w:hint="eastAsia" w:ascii="宋体" w:hAnsi="宋体" w:cs="宋体"/>
          <w:color w:val="auto"/>
          <w:szCs w:val="21"/>
          <w:u w:val="thick"/>
        </w:rPr>
        <w:t>按工程要求配置等</w:t>
      </w:r>
      <w:r>
        <w:rPr>
          <w:rFonts w:hint="eastAsia" w:ascii="宋体" w:hAnsi="宋体" w:cs="宋体"/>
          <w:color w:val="auto"/>
          <w:szCs w:val="21"/>
        </w:rPr>
        <w:t>。</w:t>
      </w:r>
    </w:p>
    <w:p w14:paraId="3A90D5AA">
      <w:pPr>
        <w:spacing w:line="360" w:lineRule="auto"/>
        <w:rPr>
          <w:rFonts w:ascii="宋体" w:hAnsi="宋体" w:cs="宋体"/>
          <w:color w:val="auto"/>
          <w:szCs w:val="21"/>
        </w:rPr>
      </w:pPr>
      <w:r>
        <w:rPr>
          <w:rFonts w:hint="eastAsia" w:ascii="宋体" w:hAnsi="宋体" w:cs="宋体"/>
          <w:color w:val="auto"/>
          <w:szCs w:val="21"/>
        </w:rPr>
        <w:t>施工现场需要具备的其他试验条件：</w:t>
      </w:r>
      <w:r>
        <w:rPr>
          <w:rFonts w:hint="eastAsia" w:ascii="宋体" w:hAnsi="宋体" w:cs="宋体"/>
          <w:color w:val="auto"/>
          <w:szCs w:val="21"/>
          <w:u w:val="thick"/>
        </w:rPr>
        <w:t xml:space="preserve">   /   </w:t>
      </w:r>
      <w:r>
        <w:rPr>
          <w:rFonts w:hint="eastAsia" w:ascii="宋体" w:hAnsi="宋体" w:cs="宋体"/>
          <w:color w:val="auto"/>
          <w:szCs w:val="21"/>
        </w:rPr>
        <w:t>。</w:t>
      </w:r>
    </w:p>
    <w:p w14:paraId="5502EE3C">
      <w:pPr>
        <w:spacing w:line="360" w:lineRule="auto"/>
        <w:rPr>
          <w:rFonts w:ascii="宋体" w:hAnsi="宋体" w:cs="宋体"/>
          <w:color w:val="auto"/>
          <w:szCs w:val="21"/>
        </w:rPr>
      </w:pPr>
      <w:r>
        <w:rPr>
          <w:rFonts w:hint="eastAsia" w:ascii="宋体" w:hAnsi="宋体" w:cs="宋体"/>
          <w:color w:val="auto"/>
          <w:szCs w:val="21"/>
        </w:rPr>
        <w:t xml:space="preserve">9.4 现场工艺试验 </w:t>
      </w:r>
    </w:p>
    <w:p w14:paraId="4EC44397">
      <w:pPr>
        <w:spacing w:line="360" w:lineRule="auto"/>
        <w:rPr>
          <w:rFonts w:ascii="宋体" w:hAnsi="宋体" w:cs="宋体"/>
          <w:color w:val="auto"/>
          <w:szCs w:val="21"/>
        </w:rPr>
      </w:pPr>
      <w:r>
        <w:rPr>
          <w:rFonts w:hint="eastAsia" w:ascii="宋体" w:hAnsi="宋体" w:cs="宋体"/>
          <w:color w:val="auto"/>
          <w:szCs w:val="21"/>
        </w:rPr>
        <w:t>现场工艺试验的有关约定：</w:t>
      </w:r>
      <w:r>
        <w:rPr>
          <w:rFonts w:hint="eastAsia" w:ascii="宋体" w:hAnsi="宋体" w:cs="宋体"/>
          <w:color w:val="auto"/>
          <w:szCs w:val="21"/>
          <w:u w:val="thick"/>
        </w:rPr>
        <w:t xml:space="preserve">  由双方另行协商   </w:t>
      </w:r>
      <w:r>
        <w:rPr>
          <w:rFonts w:hint="eastAsia" w:ascii="宋体" w:hAnsi="宋体" w:cs="宋体"/>
          <w:color w:val="auto"/>
          <w:szCs w:val="21"/>
        </w:rPr>
        <w:t>。</w:t>
      </w:r>
    </w:p>
    <w:bookmarkEnd w:id="469"/>
    <w:bookmarkEnd w:id="470"/>
    <w:bookmarkEnd w:id="471"/>
    <w:bookmarkEnd w:id="472"/>
    <w:bookmarkEnd w:id="473"/>
    <w:bookmarkEnd w:id="474"/>
    <w:bookmarkEnd w:id="475"/>
    <w:bookmarkEnd w:id="476"/>
    <w:p w14:paraId="29EB1D12">
      <w:pPr>
        <w:spacing w:line="360" w:lineRule="auto"/>
        <w:rPr>
          <w:rFonts w:ascii="宋体" w:hAnsi="宋体" w:cs="宋体"/>
          <w:color w:val="auto"/>
          <w:szCs w:val="21"/>
          <w:shd w:val="pct10" w:color="auto" w:fill="FFFFFF"/>
        </w:rPr>
      </w:pPr>
      <w:bookmarkStart w:id="477" w:name="_Toc351203642"/>
      <w:r>
        <w:rPr>
          <w:rFonts w:hint="eastAsia" w:ascii="宋体" w:hAnsi="宋体" w:cs="宋体"/>
          <w:color w:val="auto"/>
          <w:szCs w:val="21"/>
          <w:shd w:val="pct10" w:color="auto" w:fill="FFFFFF"/>
        </w:rPr>
        <w:t>1</w:t>
      </w:r>
      <w:bookmarkEnd w:id="443"/>
      <w:bookmarkEnd w:id="444"/>
      <w:bookmarkEnd w:id="445"/>
      <w:bookmarkEnd w:id="446"/>
      <w:bookmarkEnd w:id="447"/>
      <w:bookmarkEnd w:id="448"/>
      <w:bookmarkEnd w:id="449"/>
      <w:bookmarkEnd w:id="450"/>
      <w:bookmarkEnd w:id="451"/>
      <w:bookmarkEnd w:id="452"/>
      <w:bookmarkEnd w:id="453"/>
      <w:bookmarkEnd w:id="454"/>
      <w:bookmarkStart w:id="478" w:name="_Toc292559398"/>
      <w:bookmarkStart w:id="479" w:name="_Toc292559903"/>
      <w:bookmarkStart w:id="480" w:name="_Toc296944532"/>
      <w:bookmarkStart w:id="481" w:name="_Toc296891021"/>
      <w:bookmarkStart w:id="482" w:name="_Toc296891233"/>
      <w:bookmarkStart w:id="483" w:name="_Toc296347192"/>
      <w:bookmarkStart w:id="484" w:name="_Toc303539146"/>
      <w:bookmarkStart w:id="485" w:name="_Toc296346694"/>
      <w:bookmarkStart w:id="486" w:name="_Toc300934989"/>
      <w:bookmarkStart w:id="487" w:name="_Toc296503193"/>
      <w:bookmarkStart w:id="488" w:name="_Toc297048379"/>
      <w:bookmarkStart w:id="489" w:name="_Toc297216199"/>
      <w:bookmarkStart w:id="490" w:name="_Toc297120493"/>
      <w:bookmarkStart w:id="491" w:name="_Toc304295566"/>
      <w:bookmarkStart w:id="492" w:name="_Toc297123540"/>
      <w:bookmarkStart w:id="493" w:name="_Toc312678025"/>
      <w:bookmarkStart w:id="494" w:name="_Toc312677499"/>
      <w:bookmarkStart w:id="495" w:name="_Toc267251435"/>
      <w:bookmarkStart w:id="496" w:name="_Toc267251439"/>
      <w:bookmarkStart w:id="497" w:name="_Toc267251437"/>
      <w:bookmarkStart w:id="498" w:name="_Toc267251433"/>
      <w:bookmarkStart w:id="499" w:name="_Toc267251440"/>
      <w:bookmarkStart w:id="500" w:name="_Toc267251441"/>
      <w:bookmarkStart w:id="501" w:name="_Toc267251442"/>
      <w:r>
        <w:rPr>
          <w:rFonts w:hint="eastAsia" w:ascii="宋体" w:hAnsi="宋体" w:cs="宋体"/>
          <w:color w:val="auto"/>
          <w:szCs w:val="21"/>
          <w:shd w:val="pct10" w:color="auto" w:fill="FFFFFF"/>
        </w:rPr>
        <w:t>0.变更</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bookmarkEnd w:id="493"/>
    <w:bookmarkEnd w:id="494"/>
    <w:p w14:paraId="0A2D0C0A">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w:t>
      </w:r>
      <w:bookmarkStart w:id="502" w:name="_Toc312677500"/>
      <w:bookmarkStart w:id="503" w:name="_Toc297123541"/>
      <w:bookmarkStart w:id="504" w:name="_Toc300934990"/>
      <w:bookmarkStart w:id="505" w:name="_Toc296891022"/>
      <w:bookmarkStart w:id="506" w:name="_Toc296346695"/>
      <w:bookmarkStart w:id="507" w:name="_Toc296891234"/>
      <w:bookmarkStart w:id="508" w:name="_Toc303539147"/>
      <w:bookmarkStart w:id="509" w:name="_Toc296503194"/>
      <w:bookmarkStart w:id="510" w:name="_Toc312678026"/>
      <w:bookmarkStart w:id="511" w:name="_Toc296944533"/>
      <w:bookmarkStart w:id="512" w:name="_Toc304295567"/>
      <w:bookmarkStart w:id="513" w:name="_Toc297048380"/>
      <w:bookmarkStart w:id="514" w:name="_Toc297120494"/>
      <w:bookmarkStart w:id="515" w:name="_Toc292559399"/>
      <w:bookmarkStart w:id="516" w:name="_Toc296347193"/>
      <w:bookmarkStart w:id="517" w:name="_Toc292559904"/>
      <w:bookmarkStart w:id="518" w:name="_Toc297216200"/>
      <w:r>
        <w:rPr>
          <w:rFonts w:hint="eastAsia" w:ascii="宋体" w:hAnsi="宋体" w:cs="宋体"/>
          <w:color w:val="auto"/>
          <w:szCs w:val="21"/>
          <w:shd w:val="pct10" w:color="auto" w:fill="FFFFFF"/>
        </w:rPr>
        <w:t>0.1变更的范围</w:t>
      </w:r>
    </w:p>
    <w:p w14:paraId="1269641A">
      <w:pPr>
        <w:spacing w:line="360" w:lineRule="auto"/>
        <w:rPr>
          <w:rFonts w:ascii="宋体" w:hAnsi="宋体" w:cs="宋体"/>
          <w:color w:val="auto"/>
          <w:szCs w:val="21"/>
        </w:rPr>
      </w:pPr>
      <w:r>
        <w:rPr>
          <w:rFonts w:hint="eastAsia" w:ascii="宋体" w:hAnsi="宋体" w:cs="宋体"/>
          <w:color w:val="auto"/>
          <w:szCs w:val="21"/>
        </w:rPr>
        <w:t>关于变更的范围的约定：</w:t>
      </w:r>
      <w:r>
        <w:rPr>
          <w:rFonts w:hint="eastAsia" w:ascii="宋体" w:hAnsi="宋体" w:cs="宋体"/>
          <w:color w:val="auto"/>
          <w:szCs w:val="21"/>
          <w:u w:val="thick"/>
        </w:rPr>
        <w:t>设计变更、现场签证及本合同通用条款下的五种情形</w:t>
      </w:r>
      <w:r>
        <w:rPr>
          <w:rFonts w:hint="eastAsia" w:ascii="宋体" w:hAnsi="宋体" w:cs="宋体"/>
          <w:color w:val="auto"/>
          <w:szCs w:val="21"/>
        </w:rPr>
        <w:t>。</w:t>
      </w:r>
    </w:p>
    <w:p w14:paraId="4952D888">
      <w:pPr>
        <w:spacing w:line="360" w:lineRule="auto"/>
        <w:rPr>
          <w:rFonts w:ascii="宋体" w:hAnsi="宋体" w:cs="宋体"/>
          <w:color w:val="auto"/>
          <w:szCs w:val="21"/>
        </w:rPr>
      </w:pPr>
      <w:r>
        <w:rPr>
          <w:rFonts w:hint="eastAsia" w:ascii="宋体" w:hAnsi="宋体" w:cs="宋体"/>
          <w:color w:val="auto"/>
          <w:szCs w:val="21"/>
          <w:u w:val="thick"/>
        </w:rPr>
        <w:t>所发生的工程设计变更，应由发包人驻工地代表与设计单位等相关部门签字认可后执行，发生的工程量变更由发包人驻工地代表和现场的监理工程师承包方等相关部门共同签字认可</w:t>
      </w:r>
      <w:r>
        <w:rPr>
          <w:rFonts w:hint="eastAsia" w:ascii="宋体" w:hAnsi="宋体" w:cs="宋体"/>
          <w:color w:val="auto"/>
          <w:szCs w:val="21"/>
        </w:rPr>
        <w:t>。</w:t>
      </w:r>
    </w:p>
    <w:p w14:paraId="3276F002">
      <w:pPr>
        <w:spacing w:line="360" w:lineRule="auto"/>
        <w:rPr>
          <w:rFonts w:ascii="宋体" w:hAnsi="宋体" w:cs="宋体"/>
          <w:color w:val="auto"/>
          <w:szCs w:val="21"/>
        </w:rPr>
      </w:pPr>
      <w:r>
        <w:rPr>
          <w:rFonts w:hint="eastAsia" w:ascii="宋体" w:hAnsi="宋体" w:cs="宋体"/>
          <w:color w:val="auto"/>
          <w:szCs w:val="21"/>
          <w:u w:val="thick"/>
        </w:rPr>
        <w:t>合同履行中承包人不得要求变更工程质量标准及发生其他实质性变更。发包人根据工程实际情况，可以对工程中个别工程内容进行增减</w:t>
      </w:r>
      <w:r>
        <w:rPr>
          <w:rFonts w:hint="eastAsia" w:ascii="宋体" w:hAnsi="宋体" w:cs="宋体"/>
          <w:color w:val="auto"/>
          <w:szCs w:val="21"/>
        </w:rPr>
        <w:t>。</w:t>
      </w:r>
    </w:p>
    <w:p w14:paraId="6C9F6B57">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10.4 变更估价</w:t>
      </w:r>
    </w:p>
    <w:p w14:paraId="3DEEF56E">
      <w:pPr>
        <w:spacing w:line="360" w:lineRule="auto"/>
        <w:rPr>
          <w:rFonts w:ascii="宋体" w:hAnsi="宋体" w:cs="宋体"/>
          <w:color w:val="auto"/>
          <w:szCs w:val="21"/>
          <w:shd w:val="pct10" w:color="auto" w:fill="FFFFFF"/>
        </w:rPr>
      </w:pPr>
      <w:r>
        <w:rPr>
          <w:rFonts w:hint="eastAsia" w:ascii="宋体" w:hAnsi="宋体" w:cs="宋体"/>
          <w:color w:val="auto"/>
          <w:szCs w:val="21"/>
        </w:rPr>
        <w:t>10.4.1 变更估价原则</w:t>
      </w:r>
    </w:p>
    <w:p w14:paraId="6C471D9C">
      <w:pPr>
        <w:spacing w:line="360" w:lineRule="auto"/>
        <w:rPr>
          <w:rFonts w:ascii="宋体" w:hAnsi="宋体" w:cs="宋体"/>
          <w:color w:val="auto"/>
          <w:szCs w:val="21"/>
        </w:rPr>
      </w:pPr>
      <w:r>
        <w:rPr>
          <w:rFonts w:hint="eastAsia" w:ascii="宋体" w:hAnsi="宋体" w:cs="宋体"/>
          <w:color w:val="auto"/>
          <w:szCs w:val="21"/>
        </w:rPr>
        <w:t>关于变更估价的约定:</w:t>
      </w:r>
      <w:r>
        <w:rPr>
          <w:rFonts w:hint="eastAsia" w:ascii="宋体" w:hAnsi="宋体" w:cs="宋体"/>
          <w:color w:val="auto"/>
          <w:szCs w:val="21"/>
          <w:u w:val="thick"/>
        </w:rPr>
        <w:t>工程设计变更的计算，工程量按规定的程序经监理工程师及发包人工程师确认后执行，对应项目的综合单价按以下原则确定</w:t>
      </w:r>
      <w:r>
        <w:rPr>
          <w:rFonts w:hint="eastAsia" w:ascii="宋体" w:hAnsi="宋体" w:cs="宋体"/>
          <w:color w:val="auto"/>
          <w:szCs w:val="21"/>
        </w:rPr>
        <w:t>：</w:t>
      </w:r>
    </w:p>
    <w:p w14:paraId="087EAA99">
      <w:pPr>
        <w:spacing w:line="360" w:lineRule="auto"/>
        <w:rPr>
          <w:rFonts w:ascii="宋体" w:hAnsi="宋体" w:cs="宋体"/>
          <w:color w:val="auto"/>
          <w:szCs w:val="21"/>
        </w:rPr>
      </w:pPr>
      <w:r>
        <w:rPr>
          <w:rFonts w:hint="eastAsia" w:ascii="宋体" w:hAnsi="宋体" w:cs="宋体"/>
          <w:color w:val="auto"/>
          <w:szCs w:val="21"/>
          <w:u w:val="thick"/>
        </w:rPr>
        <w:t>(1)合同中已有适用工程项目综合单价的，按合同中已有的综合单价确定</w:t>
      </w:r>
      <w:r>
        <w:rPr>
          <w:rFonts w:hint="eastAsia" w:ascii="宋体" w:hAnsi="宋体" w:cs="宋体"/>
          <w:color w:val="auto"/>
          <w:szCs w:val="21"/>
        </w:rPr>
        <w:t>；</w:t>
      </w:r>
    </w:p>
    <w:p w14:paraId="45410AF9">
      <w:pPr>
        <w:spacing w:line="360" w:lineRule="auto"/>
        <w:rPr>
          <w:rFonts w:ascii="宋体" w:hAnsi="宋体" w:cs="宋体"/>
          <w:color w:val="auto"/>
          <w:szCs w:val="21"/>
        </w:rPr>
      </w:pPr>
      <w:r>
        <w:rPr>
          <w:rFonts w:hint="eastAsia" w:ascii="宋体" w:hAnsi="宋体" w:cs="宋体"/>
          <w:color w:val="auto"/>
          <w:szCs w:val="21"/>
          <w:u w:val="thick"/>
        </w:rPr>
        <w:t>(2)合同中有类似工程项目综合单价的，可以参照合同中类似项目综合单价组价原则确定</w:t>
      </w:r>
      <w:r>
        <w:rPr>
          <w:rFonts w:hint="eastAsia" w:ascii="宋体" w:hAnsi="宋体" w:cs="宋体"/>
          <w:color w:val="auto"/>
          <w:szCs w:val="21"/>
        </w:rPr>
        <w:t>；</w:t>
      </w:r>
    </w:p>
    <w:p w14:paraId="0CF09BF9">
      <w:pPr>
        <w:spacing w:line="360" w:lineRule="auto"/>
        <w:rPr>
          <w:rFonts w:ascii="宋体" w:hAnsi="宋体" w:cs="宋体"/>
          <w:color w:val="auto"/>
          <w:szCs w:val="21"/>
        </w:rPr>
      </w:pPr>
      <w:r>
        <w:rPr>
          <w:rFonts w:hint="eastAsia" w:ascii="宋体" w:hAnsi="宋体" w:cs="宋体"/>
          <w:color w:val="auto"/>
          <w:szCs w:val="21"/>
          <w:u w:val="thick"/>
        </w:rPr>
        <w:t>(3)当报价中无类似分部分项工程名称时，结算按投标时的工程量计算规则计算工程量和人工、材料、机械消耗量，人工、材料、机械单价和取费费率按中标人的投标价格编制预算，编制的预算经由发包人审定后确认调整。</w:t>
      </w:r>
    </w:p>
    <w:p w14:paraId="06D675B1">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Start w:id="519" w:name="_Toc297120497"/>
      <w:bookmarkStart w:id="520" w:name="_Toc296891237"/>
      <w:bookmarkStart w:id="521" w:name="_Toc292559402"/>
      <w:bookmarkStart w:id="522" w:name="_Toc296347196"/>
      <w:bookmarkStart w:id="523" w:name="_Toc303539150"/>
      <w:bookmarkStart w:id="524" w:name="_Toc296891025"/>
      <w:bookmarkStart w:id="525" w:name="_Toc297123544"/>
      <w:bookmarkStart w:id="526" w:name="_Toc296944536"/>
      <w:bookmarkStart w:id="527" w:name="_Toc296346698"/>
      <w:bookmarkStart w:id="528" w:name="_Toc297048383"/>
      <w:bookmarkStart w:id="529" w:name="_Toc292559907"/>
      <w:bookmarkStart w:id="530" w:name="_Toc297216203"/>
      <w:bookmarkStart w:id="531" w:name="_Toc296503197"/>
      <w:bookmarkStart w:id="532" w:name="_Toc300934993"/>
      <w:bookmarkStart w:id="533" w:name="_Toc312678029"/>
      <w:bookmarkStart w:id="534" w:name="_Toc304295570"/>
      <w:bookmarkStart w:id="535" w:name="_Toc312677503"/>
      <w:r>
        <w:rPr>
          <w:rFonts w:hint="eastAsia" w:ascii="宋体" w:hAnsi="宋体" w:cs="宋体"/>
          <w:color w:val="auto"/>
          <w:szCs w:val="21"/>
          <w:shd w:val="pct10" w:color="auto" w:fill="FFFFFF"/>
        </w:rPr>
        <w:t>0.5承</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Start w:id="536" w:name="_Toc300934994"/>
      <w:bookmarkStart w:id="537" w:name="_Toc296347202"/>
      <w:bookmarkStart w:id="538" w:name="_Toc297048389"/>
      <w:bookmarkStart w:id="539" w:name="_Toc292559408"/>
      <w:bookmarkStart w:id="540" w:name="_Toc303539151"/>
      <w:bookmarkStart w:id="541" w:name="_Toc296891031"/>
      <w:bookmarkStart w:id="542" w:name="_Toc296346704"/>
      <w:bookmarkStart w:id="543" w:name="_Toc297216204"/>
      <w:bookmarkStart w:id="544" w:name="_Toc297123545"/>
      <w:bookmarkStart w:id="545" w:name="_Toc296891243"/>
      <w:bookmarkStart w:id="546" w:name="_Toc292559913"/>
      <w:bookmarkStart w:id="547" w:name="_Toc296944542"/>
      <w:bookmarkStart w:id="548" w:name="_Toc297120503"/>
      <w:bookmarkStart w:id="549" w:name="_Toc296503203"/>
      <w:r>
        <w:rPr>
          <w:rFonts w:hint="eastAsia" w:ascii="宋体" w:hAnsi="宋体" w:cs="宋体"/>
          <w:color w:val="auto"/>
          <w:szCs w:val="21"/>
          <w:shd w:val="pct10" w:color="auto" w:fill="FFFFFF"/>
        </w:rPr>
        <w:t>包人的合理化建议</w:t>
      </w:r>
    </w:p>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5C4C9CC9">
      <w:pPr>
        <w:spacing w:line="360" w:lineRule="auto"/>
        <w:rPr>
          <w:rFonts w:ascii="宋体" w:hAnsi="宋体" w:cs="宋体"/>
          <w:color w:val="auto"/>
          <w:szCs w:val="21"/>
        </w:rPr>
      </w:pPr>
      <w:r>
        <w:rPr>
          <w:rFonts w:hint="eastAsia" w:ascii="宋体" w:hAnsi="宋体" w:cs="宋体"/>
          <w:color w:val="auto"/>
          <w:szCs w:val="21"/>
        </w:rPr>
        <w:t>监理人审查承包人合理化建议的期限：</w:t>
      </w:r>
      <w:r>
        <w:rPr>
          <w:rFonts w:hint="eastAsia" w:ascii="宋体" w:hAnsi="宋体" w:cs="宋体"/>
          <w:color w:val="auto"/>
          <w:szCs w:val="21"/>
          <w:u w:val="thick"/>
        </w:rPr>
        <w:t>执行通用合同条款</w:t>
      </w:r>
      <w:r>
        <w:rPr>
          <w:rFonts w:hint="eastAsia" w:ascii="宋体" w:hAnsi="宋体" w:cs="宋体"/>
          <w:color w:val="auto"/>
          <w:szCs w:val="21"/>
        </w:rPr>
        <w:t>。</w:t>
      </w:r>
    </w:p>
    <w:p w14:paraId="57383C58">
      <w:pPr>
        <w:spacing w:line="360" w:lineRule="auto"/>
        <w:rPr>
          <w:rFonts w:ascii="宋体" w:hAnsi="宋体" w:cs="宋体"/>
          <w:color w:val="auto"/>
          <w:szCs w:val="21"/>
        </w:rPr>
      </w:pPr>
      <w:r>
        <w:rPr>
          <w:rFonts w:hint="eastAsia" w:ascii="宋体" w:hAnsi="宋体" w:cs="宋体"/>
          <w:color w:val="auto"/>
          <w:szCs w:val="21"/>
        </w:rPr>
        <w:t>发包人审批承包人合理化建议的期限：</w:t>
      </w:r>
      <w:r>
        <w:rPr>
          <w:rFonts w:hint="eastAsia" w:ascii="宋体" w:hAnsi="宋体" w:cs="宋体"/>
          <w:color w:val="auto"/>
          <w:szCs w:val="21"/>
          <w:u w:val="thick"/>
        </w:rPr>
        <w:t>执行通用合同条款</w:t>
      </w:r>
      <w:r>
        <w:rPr>
          <w:rFonts w:hint="eastAsia" w:ascii="宋体" w:hAnsi="宋体" w:cs="宋体"/>
          <w:color w:val="auto"/>
          <w:szCs w:val="21"/>
        </w:rPr>
        <w:t>。</w:t>
      </w:r>
    </w:p>
    <w:p w14:paraId="25B07DBF">
      <w:pPr>
        <w:spacing w:line="360" w:lineRule="auto"/>
        <w:ind w:firstLine="420" w:firstLineChars="200"/>
        <w:rPr>
          <w:rFonts w:ascii="宋体" w:hAnsi="宋体" w:cs="宋体"/>
          <w:color w:val="auto"/>
          <w:szCs w:val="21"/>
        </w:rPr>
      </w:pPr>
      <w:r>
        <w:rPr>
          <w:rFonts w:hint="eastAsia" w:ascii="宋体" w:hAnsi="宋体" w:cs="宋体"/>
          <w:color w:val="auto"/>
          <w:szCs w:val="21"/>
        </w:rPr>
        <w:t>承</w:t>
      </w:r>
      <w:bookmarkStart w:id="550" w:name="_Toc292559409"/>
      <w:bookmarkStart w:id="551" w:name="_Toc303539152"/>
      <w:bookmarkStart w:id="552" w:name="_Toc297120504"/>
      <w:bookmarkStart w:id="553" w:name="_Toc297048390"/>
      <w:bookmarkStart w:id="554" w:name="_Toc318581175"/>
      <w:bookmarkStart w:id="555" w:name="_Toc296891244"/>
      <w:bookmarkStart w:id="556" w:name="_Toc300934995"/>
      <w:bookmarkStart w:id="557" w:name="_Toc312678030"/>
      <w:bookmarkStart w:id="558" w:name="_Toc292559914"/>
      <w:bookmarkStart w:id="559" w:name="_Toc296503204"/>
      <w:bookmarkStart w:id="560" w:name="_Toc312677504"/>
      <w:bookmarkStart w:id="561" w:name="_Toc296891032"/>
      <w:bookmarkStart w:id="562" w:name="_Toc297216205"/>
      <w:bookmarkStart w:id="563" w:name="_Toc296944543"/>
      <w:bookmarkStart w:id="564" w:name="_Toc304295571"/>
      <w:bookmarkStart w:id="565" w:name="_Toc296346705"/>
      <w:bookmarkStart w:id="566" w:name="_Toc296347203"/>
      <w:bookmarkStart w:id="567" w:name="_Toc297123546"/>
      <w:r>
        <w:rPr>
          <w:rFonts w:hint="eastAsia" w:ascii="宋体" w:hAnsi="宋体" w:cs="宋体"/>
          <w:color w:val="auto"/>
          <w:szCs w:val="21"/>
        </w:rPr>
        <w:t>包人提出的合理化建议降低了合同价格或者提高了工程经济效益的奖励的方法和金额为：</w:t>
      </w:r>
      <w:r>
        <w:rPr>
          <w:rFonts w:hint="eastAsia" w:ascii="宋体" w:hAnsi="宋体" w:cs="宋体"/>
          <w:color w:val="auto"/>
          <w:szCs w:val="21"/>
          <w:u w:val="thick"/>
        </w:rPr>
        <w:t>发包人将根据该建议对项目降低成本、提高质量、延长使用寿命、降低运行效率等多方面综合考虑后，给予施工方奖励</w:t>
      </w:r>
      <w:r>
        <w:rPr>
          <w:rFonts w:hint="eastAsia" w:ascii="宋体" w:hAnsi="宋体" w:cs="宋体"/>
          <w:color w:val="auto"/>
          <w:szCs w:val="21"/>
        </w:rPr>
        <w:t>。</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p w14:paraId="1B1C053E">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w:t>
      </w:r>
      <w:bookmarkStart w:id="568" w:name="_Toc297048385"/>
      <w:bookmarkStart w:id="569" w:name="_Toc296891027"/>
      <w:bookmarkStart w:id="570" w:name="_Toc303539154"/>
      <w:bookmarkStart w:id="571" w:name="_Toc296944538"/>
      <w:bookmarkStart w:id="572" w:name="_Toc296503199"/>
      <w:bookmarkStart w:id="573" w:name="_Toc297120499"/>
      <w:bookmarkStart w:id="574" w:name="_Toc312678033"/>
      <w:bookmarkStart w:id="575" w:name="_Toc292559404"/>
      <w:bookmarkStart w:id="576" w:name="_Toc296891239"/>
      <w:bookmarkStart w:id="577" w:name="_Toc297123548"/>
      <w:bookmarkStart w:id="578" w:name="_Toc292559909"/>
      <w:bookmarkStart w:id="579" w:name="_Toc296347198"/>
      <w:bookmarkStart w:id="580" w:name="_Toc304295574"/>
      <w:bookmarkStart w:id="581" w:name="_Toc296346700"/>
      <w:bookmarkStart w:id="582" w:name="_Toc312677507"/>
      <w:bookmarkStart w:id="583" w:name="_Toc300934997"/>
      <w:bookmarkStart w:id="584" w:name="_Toc297216207"/>
      <w:r>
        <w:rPr>
          <w:rFonts w:hint="eastAsia" w:ascii="宋体" w:hAnsi="宋体" w:cs="宋体"/>
          <w:color w:val="auto"/>
          <w:szCs w:val="21"/>
          <w:shd w:val="pct10" w:color="auto" w:fill="FFFFFF"/>
        </w:rPr>
        <w:t>0.7 暂估价</w:t>
      </w:r>
    </w:p>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14:paraId="5E1EE8E8">
      <w:pPr>
        <w:spacing w:line="360" w:lineRule="auto"/>
        <w:rPr>
          <w:rFonts w:ascii="宋体" w:hAnsi="宋体" w:cs="宋体"/>
          <w:color w:val="auto"/>
          <w:szCs w:val="21"/>
        </w:rPr>
      </w:pPr>
      <w:r>
        <w:rPr>
          <w:rFonts w:hint="eastAsia" w:ascii="宋体" w:hAnsi="宋体" w:cs="宋体"/>
          <w:color w:val="auto"/>
          <w:szCs w:val="21"/>
        </w:rPr>
        <w:t>暂</w:t>
      </w:r>
      <w:bookmarkStart w:id="585" w:name="_Toc318581176"/>
      <w:bookmarkStart w:id="586" w:name="_Toc312678034"/>
      <w:bookmarkStart w:id="587" w:name="_Toc312677508"/>
      <w:r>
        <w:rPr>
          <w:rFonts w:hint="eastAsia" w:ascii="宋体" w:hAnsi="宋体" w:cs="宋体"/>
          <w:color w:val="auto"/>
          <w:szCs w:val="21"/>
        </w:rPr>
        <w:t>估价材料和工程设备的明细详见附件11：《暂估价一览表》。</w:t>
      </w:r>
    </w:p>
    <w:bookmarkEnd w:id="585"/>
    <w:bookmarkEnd w:id="586"/>
    <w:bookmarkEnd w:id="587"/>
    <w:p w14:paraId="517D7A65">
      <w:pPr>
        <w:spacing w:line="360" w:lineRule="auto"/>
        <w:rPr>
          <w:rFonts w:ascii="宋体" w:hAnsi="宋体" w:cs="宋体"/>
          <w:color w:val="auto"/>
          <w:szCs w:val="21"/>
        </w:rPr>
      </w:pPr>
      <w:r>
        <w:rPr>
          <w:rFonts w:hint="eastAsia" w:ascii="宋体" w:hAnsi="宋体" w:cs="宋体"/>
          <w:color w:val="auto"/>
          <w:szCs w:val="21"/>
        </w:rPr>
        <w:t>1</w:t>
      </w:r>
      <w:bookmarkStart w:id="588" w:name="_Toc312677509"/>
      <w:bookmarkStart w:id="589" w:name="_Toc312678035"/>
      <w:bookmarkStart w:id="590" w:name="_Toc318581177"/>
      <w:r>
        <w:rPr>
          <w:rFonts w:hint="eastAsia" w:ascii="宋体" w:hAnsi="宋体" w:cs="宋体"/>
          <w:color w:val="auto"/>
          <w:szCs w:val="21"/>
        </w:rPr>
        <w:t>0.7.1 依法必须招标的暂估价项目</w:t>
      </w:r>
    </w:p>
    <w:bookmarkEnd w:id="588"/>
    <w:bookmarkEnd w:id="589"/>
    <w:bookmarkEnd w:id="590"/>
    <w:p w14:paraId="5E131841">
      <w:pPr>
        <w:spacing w:line="360" w:lineRule="auto"/>
        <w:rPr>
          <w:rFonts w:ascii="宋体" w:hAnsi="宋体" w:cs="宋体"/>
          <w:color w:val="auto"/>
          <w:szCs w:val="21"/>
        </w:rPr>
      </w:pPr>
      <w:r>
        <w:rPr>
          <w:rFonts w:hint="eastAsia" w:ascii="宋体" w:hAnsi="宋体" w:cs="宋体"/>
          <w:color w:val="auto"/>
          <w:szCs w:val="21"/>
        </w:rPr>
        <w:t>对于依法必须招标的暂估价项目的确认和批准采取</w:t>
      </w:r>
      <w:r>
        <w:rPr>
          <w:rFonts w:hint="eastAsia" w:ascii="宋体" w:hAnsi="宋体" w:cs="宋体"/>
          <w:color w:val="auto"/>
          <w:szCs w:val="21"/>
          <w:u w:val="thick"/>
        </w:rPr>
        <w:t>第2种方式</w:t>
      </w:r>
      <w:r>
        <w:rPr>
          <w:rFonts w:hint="eastAsia" w:ascii="宋体" w:hAnsi="宋体" w:cs="宋体"/>
          <w:color w:val="auto"/>
          <w:szCs w:val="21"/>
        </w:rPr>
        <w:t>确定。</w:t>
      </w:r>
    </w:p>
    <w:p w14:paraId="171B9DF2">
      <w:pPr>
        <w:spacing w:line="360" w:lineRule="auto"/>
        <w:rPr>
          <w:rFonts w:ascii="宋体" w:hAnsi="宋体" w:cs="宋体"/>
          <w:color w:val="auto"/>
          <w:szCs w:val="21"/>
        </w:rPr>
      </w:pPr>
      <w:r>
        <w:rPr>
          <w:rFonts w:hint="eastAsia" w:ascii="宋体" w:hAnsi="宋体" w:cs="宋体"/>
          <w:color w:val="auto"/>
          <w:szCs w:val="21"/>
        </w:rPr>
        <w:t>10.7.2 不属于依法必须招标的暂估价项目</w:t>
      </w:r>
    </w:p>
    <w:p w14:paraId="2BF43600">
      <w:pPr>
        <w:spacing w:line="360" w:lineRule="auto"/>
        <w:rPr>
          <w:rFonts w:ascii="宋体" w:hAnsi="宋体" w:cs="宋体"/>
          <w:color w:val="auto"/>
          <w:szCs w:val="21"/>
        </w:rPr>
      </w:pPr>
      <w:r>
        <w:rPr>
          <w:rFonts w:hint="eastAsia" w:ascii="宋体" w:hAnsi="宋体" w:cs="宋体"/>
          <w:color w:val="auto"/>
          <w:szCs w:val="21"/>
        </w:rPr>
        <w:t>对于不属于依法必须招标的暂估价项目的确认和批准采取</w:t>
      </w:r>
      <w:r>
        <w:rPr>
          <w:rFonts w:hint="eastAsia" w:ascii="宋体" w:hAnsi="宋体" w:cs="宋体"/>
          <w:color w:val="auto"/>
          <w:szCs w:val="21"/>
          <w:u w:val="thick"/>
        </w:rPr>
        <w:t>发包人考察采购</w:t>
      </w:r>
      <w:r>
        <w:rPr>
          <w:rFonts w:hint="eastAsia" w:ascii="宋体" w:hAnsi="宋体" w:cs="宋体"/>
          <w:color w:val="auto"/>
          <w:szCs w:val="21"/>
        </w:rPr>
        <w:t>方式确定。</w:t>
      </w:r>
    </w:p>
    <w:p w14:paraId="62053F6F">
      <w:pPr>
        <w:spacing w:line="360" w:lineRule="auto"/>
        <w:rPr>
          <w:rFonts w:ascii="宋体" w:hAnsi="宋体" w:cs="宋体"/>
          <w:color w:val="auto"/>
          <w:szCs w:val="21"/>
        </w:rPr>
      </w:pPr>
      <w:r>
        <w:rPr>
          <w:rFonts w:hint="eastAsia" w:ascii="宋体" w:hAnsi="宋体" w:cs="宋体"/>
          <w:color w:val="auto"/>
          <w:szCs w:val="21"/>
        </w:rPr>
        <w:t>第3种方式：承包人直接实施的暂估价项目</w:t>
      </w:r>
    </w:p>
    <w:p w14:paraId="03C0B7D0">
      <w:pPr>
        <w:spacing w:line="360" w:lineRule="auto"/>
        <w:rPr>
          <w:rFonts w:ascii="宋体" w:hAnsi="宋体" w:cs="宋体"/>
          <w:color w:val="auto"/>
          <w:szCs w:val="21"/>
        </w:rPr>
      </w:pPr>
      <w:r>
        <w:rPr>
          <w:rFonts w:hint="eastAsia" w:ascii="宋体" w:hAnsi="宋体" w:cs="宋体"/>
          <w:color w:val="auto"/>
          <w:szCs w:val="21"/>
        </w:rPr>
        <w:t>承包人直接实施的暂估价项目的约定：</w:t>
      </w:r>
      <w:r>
        <w:rPr>
          <w:rFonts w:hint="eastAsia" w:ascii="宋体" w:hAnsi="宋体" w:cs="宋体"/>
          <w:color w:val="auto"/>
          <w:szCs w:val="21"/>
          <w:u w:val="thick"/>
        </w:rPr>
        <w:t xml:space="preserve">   /   </w:t>
      </w:r>
      <w:r>
        <w:rPr>
          <w:rFonts w:hint="eastAsia" w:ascii="宋体" w:hAnsi="宋体" w:cs="宋体"/>
          <w:color w:val="auto"/>
          <w:szCs w:val="21"/>
        </w:rPr>
        <w:t>。</w:t>
      </w:r>
    </w:p>
    <w:p w14:paraId="0B9607EF">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10.8 暂列金额</w:t>
      </w:r>
    </w:p>
    <w:p w14:paraId="24D8B928">
      <w:pPr>
        <w:spacing w:line="360" w:lineRule="auto"/>
        <w:rPr>
          <w:rFonts w:ascii="宋体" w:hAnsi="宋体" w:cs="宋体"/>
          <w:color w:val="auto"/>
          <w:szCs w:val="21"/>
        </w:rPr>
      </w:pPr>
      <w:r>
        <w:rPr>
          <w:rFonts w:hint="eastAsia" w:ascii="宋体" w:hAnsi="宋体" w:cs="宋体"/>
          <w:color w:val="auto"/>
          <w:szCs w:val="21"/>
        </w:rPr>
        <w:t>合同当事人关于暂列金额使用的约定：</w:t>
      </w:r>
      <w:r>
        <w:rPr>
          <w:rFonts w:hint="eastAsia" w:ascii="宋体" w:hAnsi="宋体" w:cs="宋体"/>
          <w:color w:val="auto"/>
          <w:szCs w:val="21"/>
          <w:u w:val="thick"/>
        </w:rPr>
        <w:t>应由发包人掌握使用，含在已签合同总价款内，使用后余额为发包人所有；用于支付工程签订时不确定或不可预见的所有材料、工程设备、服务的采购、发生的变更约定调整因素的合同价调整、索赔、现场签证等</w:t>
      </w:r>
      <w:r>
        <w:rPr>
          <w:rFonts w:hint="eastAsia" w:ascii="宋体" w:hAnsi="宋体" w:cs="宋体"/>
          <w:color w:val="auto"/>
          <w:szCs w:val="21"/>
        </w:rPr>
        <w:t xml:space="preserve">。 </w:t>
      </w:r>
    </w:p>
    <w:p w14:paraId="1FD783FA">
      <w:pPr>
        <w:spacing w:line="360" w:lineRule="auto"/>
        <w:rPr>
          <w:rFonts w:ascii="宋体" w:hAnsi="宋体" w:cs="宋体"/>
          <w:color w:val="auto"/>
          <w:szCs w:val="21"/>
          <w:u w:val="thick"/>
        </w:rPr>
      </w:pPr>
      <w:r>
        <w:rPr>
          <w:rFonts w:hint="eastAsia" w:ascii="宋体" w:hAnsi="宋体" w:cs="宋体"/>
          <w:color w:val="auto"/>
          <w:szCs w:val="21"/>
          <w:u w:val="thick"/>
        </w:rPr>
        <w:t>暂列金额虽包含在投标总价中(即中标人合同价中)，但并不属于承包人所有和支配，仍由招标人掌握使用。工程款支付时仍以合同价扣除暂列金额为基础按比例支付。工程未使用完的暂列金额连同其相应规费、税金等在工程竣工结算时从中一并扣除</w:t>
      </w:r>
      <w:r>
        <w:rPr>
          <w:rFonts w:hint="eastAsia" w:ascii="宋体" w:hAnsi="宋体" w:cs="宋体"/>
          <w:color w:val="auto"/>
          <w:szCs w:val="21"/>
        </w:rPr>
        <w:t>。</w:t>
      </w:r>
    </w:p>
    <w:p w14:paraId="7A813546">
      <w:pPr>
        <w:spacing w:line="360" w:lineRule="auto"/>
        <w:rPr>
          <w:rFonts w:ascii="宋体" w:hAnsi="宋体" w:cs="宋体"/>
          <w:color w:val="auto"/>
          <w:szCs w:val="21"/>
          <w:shd w:val="pct10" w:color="auto" w:fill="FFFFFF"/>
        </w:rPr>
      </w:pPr>
      <w:bookmarkStart w:id="591" w:name="_Toc351203643"/>
      <w:r>
        <w:rPr>
          <w:rFonts w:hint="eastAsia" w:ascii="宋体" w:hAnsi="宋体" w:cs="宋体"/>
          <w:color w:val="auto"/>
          <w:szCs w:val="21"/>
          <w:shd w:val="pct10" w:color="auto" w:fill="FFFFFF"/>
        </w:rPr>
        <w:t>11.价格调整</w:t>
      </w:r>
      <w:bookmarkEnd w:id="591"/>
    </w:p>
    <w:p w14:paraId="320F535F">
      <w:pPr>
        <w:spacing w:line="360" w:lineRule="auto"/>
        <w:rPr>
          <w:rFonts w:ascii="宋体" w:hAnsi="宋体" w:cs="宋体"/>
          <w:color w:val="auto"/>
          <w:szCs w:val="21"/>
          <w:shd w:val="pct10" w:color="auto" w:fill="FFFFFF"/>
        </w:rPr>
      </w:pPr>
      <w:bookmarkStart w:id="592" w:name="_Toc296347200"/>
      <w:bookmarkStart w:id="593" w:name="_Toc296891029"/>
      <w:bookmarkStart w:id="594" w:name="_Toc297120501"/>
      <w:bookmarkStart w:id="595" w:name="_Toc296944540"/>
      <w:bookmarkStart w:id="596" w:name="_Toc292559406"/>
      <w:bookmarkStart w:id="597" w:name="_Toc300935000"/>
      <w:bookmarkStart w:id="598" w:name="_Toc296891241"/>
      <w:bookmarkStart w:id="599" w:name="_Toc292559911"/>
      <w:bookmarkStart w:id="600" w:name="_Toc312678039"/>
      <w:bookmarkStart w:id="601" w:name="_Toc296346702"/>
      <w:bookmarkStart w:id="602" w:name="_Toc303539157"/>
      <w:bookmarkStart w:id="603" w:name="_Toc304295577"/>
      <w:bookmarkStart w:id="604" w:name="_Toc297216209"/>
      <w:bookmarkStart w:id="605" w:name="_Toc297048387"/>
      <w:bookmarkStart w:id="606" w:name="_Toc296503201"/>
      <w:bookmarkStart w:id="607" w:name="_Toc297123550"/>
      <w:r>
        <w:rPr>
          <w:rFonts w:hint="eastAsia" w:ascii="宋体" w:hAnsi="宋体" w:cs="宋体"/>
          <w:color w:val="auto"/>
          <w:szCs w:val="21"/>
          <w:shd w:val="pct10" w:color="auto" w:fill="FFFFFF"/>
        </w:rPr>
        <w:t>11.1 市场价格波动引起的调整</w:t>
      </w:r>
    </w:p>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14:paraId="3F3EBCDA">
      <w:pPr>
        <w:spacing w:line="360" w:lineRule="auto"/>
        <w:rPr>
          <w:rFonts w:ascii="宋体" w:hAnsi="宋体" w:cs="宋体"/>
          <w:color w:val="auto"/>
          <w:szCs w:val="21"/>
        </w:rPr>
      </w:pPr>
      <w:r>
        <w:rPr>
          <w:rFonts w:hint="eastAsia" w:ascii="宋体" w:hAnsi="宋体" w:cs="宋体"/>
          <w:color w:val="auto"/>
          <w:szCs w:val="21"/>
        </w:rPr>
        <w:t>市场价格波动是否调整合同价格的约定：</w:t>
      </w:r>
    </w:p>
    <w:p w14:paraId="7621A24F">
      <w:pPr>
        <w:spacing w:line="360" w:lineRule="auto"/>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thick"/>
        </w:rPr>
        <w:t xml:space="preserve"> 2 </w:t>
      </w:r>
      <w:r>
        <w:rPr>
          <w:rFonts w:hint="eastAsia" w:ascii="宋体" w:hAnsi="宋体" w:cs="宋体"/>
          <w:color w:val="auto"/>
          <w:szCs w:val="21"/>
        </w:rPr>
        <w:t>种方式对合同价格进行调整</w:t>
      </w:r>
    </w:p>
    <w:p w14:paraId="51849350">
      <w:pPr>
        <w:spacing w:line="360" w:lineRule="auto"/>
        <w:rPr>
          <w:rFonts w:ascii="宋体" w:hAnsi="宋体" w:cs="宋体"/>
          <w:color w:val="auto"/>
          <w:szCs w:val="21"/>
        </w:rPr>
      </w:pPr>
      <w:r>
        <w:rPr>
          <w:rFonts w:hint="eastAsia" w:ascii="宋体" w:hAnsi="宋体" w:cs="宋体"/>
          <w:color w:val="auto"/>
          <w:szCs w:val="21"/>
        </w:rPr>
        <w:t>因市场价格波动调整合同价格，采用以下第</w:t>
      </w:r>
      <w:r>
        <w:rPr>
          <w:rFonts w:hint="eastAsia" w:ascii="宋体" w:hAnsi="宋体" w:cs="宋体"/>
          <w:color w:val="auto"/>
          <w:szCs w:val="21"/>
          <w:u w:val="thick"/>
        </w:rPr>
        <w:t xml:space="preserve"> / </w:t>
      </w:r>
      <w:r>
        <w:rPr>
          <w:rFonts w:hint="eastAsia" w:ascii="宋体" w:hAnsi="宋体" w:cs="宋体"/>
          <w:color w:val="auto"/>
          <w:szCs w:val="21"/>
        </w:rPr>
        <w:t>种方式对合同价格进行调整：</w:t>
      </w:r>
    </w:p>
    <w:p w14:paraId="34090D21">
      <w:pPr>
        <w:spacing w:line="360" w:lineRule="auto"/>
        <w:rPr>
          <w:rFonts w:ascii="宋体" w:hAnsi="宋体" w:cs="宋体"/>
          <w:color w:val="auto"/>
          <w:szCs w:val="21"/>
        </w:rPr>
      </w:pPr>
      <w:r>
        <w:rPr>
          <w:rFonts w:hint="eastAsia" w:ascii="宋体" w:hAnsi="宋体" w:cs="宋体"/>
          <w:color w:val="auto"/>
          <w:szCs w:val="21"/>
        </w:rPr>
        <w:t>第2种方式：采用实际施工期间造价信息的平均价格进行价格调整。</w:t>
      </w:r>
    </w:p>
    <w:p w14:paraId="5DE0C95F">
      <w:pPr>
        <w:spacing w:line="360" w:lineRule="auto"/>
        <w:rPr>
          <w:rFonts w:ascii="宋体" w:hAnsi="宋体" w:cs="宋体"/>
          <w:color w:val="auto"/>
          <w:szCs w:val="21"/>
        </w:rPr>
      </w:pPr>
      <w:r>
        <w:rPr>
          <w:rFonts w:hint="eastAsia" w:ascii="宋体" w:hAnsi="宋体" w:cs="宋体"/>
          <w:color w:val="auto"/>
          <w:szCs w:val="21"/>
        </w:rPr>
        <w:t>(2)关于基准价格的约定：</w:t>
      </w:r>
      <w:r>
        <w:rPr>
          <w:rFonts w:hint="eastAsia" w:ascii="宋体" w:hAnsi="宋体" w:cs="宋体"/>
          <w:color w:val="auto"/>
          <w:szCs w:val="21"/>
          <w:u w:val="thick"/>
        </w:rPr>
        <w:t xml:space="preserve"> 承包人在已标价工程量清单或预算书中载明的材料单价等于基准单价   </w:t>
      </w:r>
      <w:r>
        <w:rPr>
          <w:rFonts w:hint="eastAsia" w:ascii="宋体" w:hAnsi="宋体" w:cs="宋体"/>
          <w:color w:val="auto"/>
          <w:szCs w:val="21"/>
        </w:rPr>
        <w:t>。</w:t>
      </w:r>
    </w:p>
    <w:p w14:paraId="1BC40986">
      <w:pPr>
        <w:spacing w:line="360" w:lineRule="auto"/>
        <w:rPr>
          <w:rFonts w:ascii="宋体" w:hAnsi="宋体" w:cs="宋体"/>
          <w:color w:val="auto"/>
          <w:szCs w:val="21"/>
        </w:rPr>
      </w:pPr>
      <w:r>
        <w:rPr>
          <w:rFonts w:hint="eastAsia" w:ascii="宋体" w:hAnsi="宋体" w:cs="宋体"/>
          <w:color w:val="auto"/>
          <w:szCs w:val="21"/>
        </w:rPr>
        <w:t>专用合同条款①承包人在已标价工程量清单或预算书中载明的材料单价低于基准价格的：专用合同条款合同履行期间材料单价涨幅以基准价格为基础超过</w:t>
      </w:r>
      <w:r>
        <w:rPr>
          <w:rFonts w:hint="eastAsia" w:ascii="宋体" w:hAnsi="宋体" w:cs="宋体"/>
          <w:color w:val="auto"/>
          <w:szCs w:val="21"/>
          <w:u w:val="thick"/>
        </w:rPr>
        <w:t xml:space="preserve">  5  </w:t>
      </w:r>
      <w:r>
        <w:rPr>
          <w:rFonts w:hint="eastAsia" w:ascii="宋体" w:hAnsi="宋体" w:cs="宋体"/>
          <w:color w:val="auto"/>
          <w:szCs w:val="21"/>
        </w:rPr>
        <w:t>%时，或材料单价跌幅以已标价工程量清单或预算书中载明材料单价为基础超过</w:t>
      </w:r>
      <w:r>
        <w:rPr>
          <w:rFonts w:hint="eastAsia" w:ascii="宋体" w:hAnsi="宋体" w:cs="宋体"/>
          <w:color w:val="auto"/>
          <w:szCs w:val="21"/>
          <w:u w:val="thick"/>
        </w:rPr>
        <w:t xml:space="preserve">  5  </w:t>
      </w:r>
      <w:r>
        <w:rPr>
          <w:rFonts w:hint="eastAsia" w:ascii="宋体" w:hAnsi="宋体" w:cs="宋体"/>
          <w:color w:val="auto"/>
          <w:szCs w:val="21"/>
        </w:rPr>
        <w:t>%时，其超过部分据实调整。</w:t>
      </w:r>
    </w:p>
    <w:p w14:paraId="5E47FE8C">
      <w:pPr>
        <w:spacing w:line="360" w:lineRule="auto"/>
        <w:rPr>
          <w:rFonts w:ascii="宋体" w:hAnsi="宋体" w:cs="宋体"/>
          <w:color w:val="auto"/>
          <w:szCs w:val="21"/>
        </w:rPr>
      </w:pPr>
      <w:r>
        <w:rPr>
          <w:rFonts w:hint="eastAsia" w:ascii="宋体" w:hAnsi="宋体" w:cs="宋体"/>
          <w:color w:val="auto"/>
          <w:szCs w:val="21"/>
        </w:rPr>
        <w:t>②承包人在已标价工程量清单或预算书中载明的材料单价高于基准价格的：专用合同条款合同履行期间材料单价跌幅以基准价格为基础超过</w:t>
      </w:r>
      <w:r>
        <w:rPr>
          <w:rFonts w:hint="eastAsia" w:ascii="宋体" w:hAnsi="宋体" w:cs="宋体"/>
          <w:color w:val="auto"/>
          <w:szCs w:val="21"/>
          <w:u w:val="thick"/>
        </w:rPr>
        <w:t xml:space="preserve">  5 </w:t>
      </w:r>
      <w:r>
        <w:rPr>
          <w:rFonts w:hint="eastAsia" w:ascii="宋体" w:hAnsi="宋体" w:cs="宋体"/>
          <w:color w:val="auto"/>
          <w:szCs w:val="21"/>
        </w:rPr>
        <w:t>%时，材料单价涨幅以已标价工程量清单或预算书中载明材料单价为基础超过</w:t>
      </w:r>
      <w:r>
        <w:rPr>
          <w:rFonts w:hint="eastAsia" w:ascii="宋体" w:hAnsi="宋体" w:cs="宋体"/>
          <w:color w:val="auto"/>
          <w:szCs w:val="21"/>
          <w:u w:val="thick"/>
        </w:rPr>
        <w:t xml:space="preserve">  5 </w:t>
      </w:r>
      <w:r>
        <w:rPr>
          <w:rFonts w:hint="eastAsia" w:ascii="宋体" w:hAnsi="宋体" w:cs="宋体"/>
          <w:color w:val="auto"/>
          <w:szCs w:val="21"/>
        </w:rPr>
        <w:t>%时，其超过部分据实调整。</w:t>
      </w:r>
    </w:p>
    <w:p w14:paraId="40387C5F">
      <w:pPr>
        <w:spacing w:line="360" w:lineRule="auto"/>
        <w:rPr>
          <w:rFonts w:ascii="宋体" w:hAnsi="宋体" w:cs="宋体"/>
          <w:color w:val="auto"/>
          <w:szCs w:val="21"/>
        </w:rPr>
      </w:pPr>
      <w:r>
        <w:rPr>
          <w:rFonts w:hint="eastAsia" w:ascii="宋体" w:hAnsi="宋体" w:cs="宋体"/>
          <w:color w:val="auto"/>
          <w:szCs w:val="21"/>
        </w:rPr>
        <w:t>③承包人在已标价工程量清单或预算书中载明的材料单价等于基准单价的：专用合同条款合同履行期间材料单价涨跌幅以基准单价为基础超过</w:t>
      </w:r>
      <w:r>
        <w:rPr>
          <w:rFonts w:hint="eastAsia" w:ascii="宋体" w:hAnsi="宋体" w:cs="宋体"/>
          <w:color w:val="auto"/>
          <w:szCs w:val="21"/>
          <w:u w:val="thick"/>
        </w:rPr>
        <w:t xml:space="preserve">   ±5  </w:t>
      </w:r>
      <w:r>
        <w:rPr>
          <w:rFonts w:hint="eastAsia" w:ascii="宋体" w:hAnsi="宋体" w:cs="宋体"/>
          <w:color w:val="auto"/>
          <w:szCs w:val="21"/>
        </w:rPr>
        <w:t>%时，其超过部分据实调整。</w:t>
      </w:r>
    </w:p>
    <w:p w14:paraId="693EF60B">
      <w:pPr>
        <w:spacing w:line="360" w:lineRule="auto"/>
        <w:rPr>
          <w:rFonts w:ascii="宋体" w:hAnsi="宋体" w:cs="宋体"/>
          <w:color w:val="auto"/>
          <w:szCs w:val="21"/>
        </w:rPr>
      </w:pPr>
      <w:r>
        <w:rPr>
          <w:rFonts w:hint="eastAsia" w:ascii="宋体" w:hAnsi="宋体" w:cs="宋体"/>
          <w:color w:val="auto"/>
          <w:szCs w:val="21"/>
        </w:rPr>
        <w:t>第3种方式：其他价格调整方式：</w:t>
      </w:r>
      <w:r>
        <w:rPr>
          <w:rFonts w:hint="eastAsia" w:ascii="宋体" w:hAnsi="宋体" w:cs="宋体"/>
          <w:color w:val="auto"/>
          <w:szCs w:val="21"/>
          <w:u w:val="thick"/>
        </w:rPr>
        <w:t xml:space="preserve">  /  </w:t>
      </w:r>
      <w:r>
        <w:rPr>
          <w:rFonts w:hint="eastAsia" w:ascii="宋体" w:hAnsi="宋体" w:cs="宋体"/>
          <w:color w:val="auto"/>
          <w:szCs w:val="21"/>
        </w:rPr>
        <w:t>。</w:t>
      </w:r>
    </w:p>
    <w:bookmarkEnd w:id="495"/>
    <w:bookmarkEnd w:id="496"/>
    <w:bookmarkEnd w:id="497"/>
    <w:bookmarkEnd w:id="498"/>
    <w:bookmarkEnd w:id="499"/>
    <w:bookmarkEnd w:id="500"/>
    <w:p w14:paraId="0FA05589">
      <w:pPr>
        <w:spacing w:line="360" w:lineRule="auto"/>
        <w:rPr>
          <w:rFonts w:ascii="宋体" w:hAnsi="宋体" w:cs="宋体"/>
          <w:color w:val="auto"/>
          <w:szCs w:val="21"/>
          <w:shd w:val="pct10" w:color="auto" w:fill="FFFFFF"/>
        </w:rPr>
      </w:pPr>
      <w:bookmarkStart w:id="608" w:name="_Toc292559915"/>
      <w:bookmarkStart w:id="609" w:name="_Toc296891033"/>
      <w:bookmarkStart w:id="610" w:name="_Toc297120505"/>
      <w:bookmarkStart w:id="611" w:name="_Toc297048391"/>
      <w:bookmarkStart w:id="612" w:name="_Toc296503205"/>
      <w:bookmarkStart w:id="613" w:name="_Toc296944544"/>
      <w:bookmarkStart w:id="614" w:name="_Toc292559410"/>
      <w:bookmarkStart w:id="615" w:name="_Toc296347204"/>
      <w:bookmarkStart w:id="616" w:name="_Toc296891245"/>
      <w:bookmarkStart w:id="617" w:name="_Toc296346706"/>
      <w:bookmarkStart w:id="618" w:name="_Toc351203644"/>
      <w:bookmarkStart w:id="619" w:name="_Toc304295579"/>
      <w:bookmarkStart w:id="620" w:name="_Toc297216211"/>
      <w:bookmarkStart w:id="621" w:name="_Toc297123552"/>
      <w:bookmarkStart w:id="622" w:name="_Toc300935002"/>
      <w:bookmarkStart w:id="623" w:name="_Toc303539159"/>
      <w:bookmarkStart w:id="624" w:name="_Toc312678040"/>
      <w:r>
        <w:rPr>
          <w:rFonts w:hint="eastAsia" w:ascii="宋体" w:hAnsi="宋体" w:cs="宋体"/>
          <w:color w:val="auto"/>
          <w:szCs w:val="21"/>
          <w:shd w:val="pct10" w:color="auto" w:fill="FFFFFF"/>
        </w:rPr>
        <w:t>12.</w:t>
      </w:r>
      <w:bookmarkEnd w:id="608"/>
      <w:bookmarkEnd w:id="609"/>
      <w:bookmarkEnd w:id="610"/>
      <w:bookmarkEnd w:id="611"/>
      <w:bookmarkEnd w:id="612"/>
      <w:bookmarkEnd w:id="613"/>
      <w:bookmarkEnd w:id="614"/>
      <w:bookmarkEnd w:id="615"/>
      <w:bookmarkEnd w:id="616"/>
      <w:bookmarkEnd w:id="617"/>
      <w:r>
        <w:rPr>
          <w:rFonts w:hint="eastAsia" w:ascii="宋体" w:hAnsi="宋体" w:cs="宋体"/>
          <w:color w:val="auto"/>
          <w:szCs w:val="21"/>
          <w:shd w:val="pct10" w:color="auto" w:fill="FFFFFF"/>
        </w:rPr>
        <w:t>合同价格、计量与支付</w:t>
      </w:r>
      <w:bookmarkEnd w:id="618"/>
    </w:p>
    <w:bookmarkEnd w:id="619"/>
    <w:bookmarkEnd w:id="620"/>
    <w:bookmarkEnd w:id="621"/>
    <w:bookmarkEnd w:id="622"/>
    <w:bookmarkEnd w:id="623"/>
    <w:bookmarkEnd w:id="624"/>
    <w:p w14:paraId="175DCD49">
      <w:pPr>
        <w:spacing w:line="360" w:lineRule="auto"/>
        <w:rPr>
          <w:rFonts w:ascii="宋体" w:hAnsi="宋体" w:cs="宋体"/>
          <w:color w:val="auto"/>
          <w:szCs w:val="21"/>
          <w:shd w:val="pct10" w:color="auto" w:fill="FFFFFF"/>
        </w:rPr>
      </w:pPr>
      <w:bookmarkStart w:id="625" w:name="_Toc267251461"/>
      <w:bookmarkStart w:id="626" w:name="_Toc292559411"/>
      <w:bookmarkStart w:id="627" w:name="_Toc292559916"/>
      <w:bookmarkStart w:id="628" w:name="_Toc296346707"/>
      <w:bookmarkStart w:id="629" w:name="_Toc296503206"/>
      <w:bookmarkStart w:id="630" w:name="_Toc296944545"/>
      <w:bookmarkStart w:id="631" w:name="_Toc297120506"/>
      <w:bookmarkStart w:id="632" w:name="_Toc296891034"/>
      <w:bookmarkStart w:id="633" w:name="_Toc296347205"/>
      <w:bookmarkStart w:id="634" w:name="_Toc297048392"/>
      <w:bookmarkStart w:id="635" w:name="_Toc296891246"/>
      <w:bookmarkStart w:id="636" w:name="_Toc303539160"/>
      <w:bookmarkStart w:id="637" w:name="_Toc304295580"/>
      <w:bookmarkStart w:id="638" w:name="_Toc297123553"/>
      <w:bookmarkStart w:id="639" w:name="_Toc300935003"/>
      <w:bookmarkStart w:id="640" w:name="_Toc297216212"/>
      <w:bookmarkStart w:id="641" w:name="_Toc312678041"/>
      <w:r>
        <w:rPr>
          <w:rFonts w:hint="eastAsia" w:ascii="宋体" w:hAnsi="宋体" w:cs="宋体"/>
          <w:color w:val="auto"/>
          <w:szCs w:val="21"/>
          <w:shd w:val="pct10" w:color="auto" w:fill="FFFFFF"/>
        </w:rPr>
        <w:t>12.1合</w:t>
      </w:r>
      <w:bookmarkEnd w:id="625"/>
      <w:bookmarkEnd w:id="626"/>
      <w:bookmarkEnd w:id="627"/>
      <w:r>
        <w:rPr>
          <w:rFonts w:hint="eastAsia" w:ascii="宋体" w:hAnsi="宋体" w:cs="宋体"/>
          <w:color w:val="auto"/>
          <w:szCs w:val="21"/>
          <w:shd w:val="pct10" w:color="auto" w:fill="FFFFFF"/>
        </w:rPr>
        <w:t>同价</w:t>
      </w:r>
      <w:bookmarkEnd w:id="628"/>
      <w:bookmarkEnd w:id="629"/>
      <w:bookmarkEnd w:id="630"/>
      <w:bookmarkEnd w:id="631"/>
      <w:bookmarkEnd w:id="632"/>
      <w:bookmarkEnd w:id="633"/>
      <w:bookmarkEnd w:id="634"/>
      <w:bookmarkEnd w:id="635"/>
      <w:r>
        <w:rPr>
          <w:rFonts w:hint="eastAsia" w:ascii="宋体" w:hAnsi="宋体" w:cs="宋体"/>
          <w:color w:val="auto"/>
          <w:szCs w:val="21"/>
          <w:shd w:val="pct10" w:color="auto" w:fill="FFFFFF"/>
        </w:rPr>
        <w:t>格形式</w:t>
      </w:r>
    </w:p>
    <w:bookmarkEnd w:id="636"/>
    <w:bookmarkEnd w:id="637"/>
    <w:bookmarkEnd w:id="638"/>
    <w:bookmarkEnd w:id="639"/>
    <w:bookmarkEnd w:id="640"/>
    <w:bookmarkEnd w:id="641"/>
    <w:p w14:paraId="03ACBF86">
      <w:pPr>
        <w:numPr>
          <w:ilvl w:val="0"/>
          <w:numId w:val="5"/>
        </w:numPr>
        <w:spacing w:line="360" w:lineRule="auto"/>
        <w:rPr>
          <w:rFonts w:ascii="宋体" w:hAnsi="宋体" w:cs="宋体"/>
          <w:color w:val="auto"/>
          <w:szCs w:val="21"/>
        </w:rPr>
      </w:pPr>
      <w:bookmarkStart w:id="642" w:name="_Toc297123554"/>
      <w:bookmarkStart w:id="643" w:name="_Toc312678042"/>
      <w:bookmarkStart w:id="644" w:name="_Toc303539161"/>
      <w:bookmarkStart w:id="645" w:name="_Toc300935004"/>
      <w:bookmarkStart w:id="646" w:name="_Toc297216213"/>
      <w:bookmarkStart w:id="647" w:name="_Toc304295581"/>
      <w:bookmarkStart w:id="648" w:name="_Toc297048393"/>
      <w:bookmarkStart w:id="649" w:name="_Toc296347206"/>
      <w:bookmarkStart w:id="650" w:name="_Toc296891035"/>
      <w:bookmarkStart w:id="651" w:name="_Toc296891247"/>
      <w:bookmarkStart w:id="652" w:name="_Toc297120507"/>
      <w:bookmarkStart w:id="653" w:name="_Toc296944546"/>
      <w:bookmarkStart w:id="654" w:name="_Toc292559412"/>
      <w:bookmarkStart w:id="655" w:name="_Toc292559917"/>
      <w:bookmarkStart w:id="656" w:name="_Toc296503207"/>
      <w:bookmarkStart w:id="657" w:name="_Toc296346708"/>
      <w:r>
        <w:rPr>
          <w:rFonts w:hint="eastAsia" w:ascii="宋体" w:hAnsi="宋体" w:cs="宋体"/>
          <w:color w:val="auto"/>
          <w:szCs w:val="21"/>
        </w:rPr>
        <w:t>本合同价款采用</w:t>
      </w:r>
      <w:r>
        <w:rPr>
          <w:rFonts w:hint="eastAsia" w:ascii="宋体" w:hAnsi="宋体" w:cs="宋体"/>
          <w:color w:val="auto"/>
          <w:szCs w:val="21"/>
          <w:u w:val="single"/>
          <w:lang w:val="en-US" w:eastAsia="zh-CN"/>
        </w:rPr>
        <w:t>固定单价</w:t>
      </w:r>
      <w:r>
        <w:rPr>
          <w:rFonts w:hint="eastAsia" w:ascii="宋体" w:hAnsi="宋体" w:cs="宋体"/>
          <w:color w:val="auto"/>
          <w:szCs w:val="21"/>
          <w:u w:val="single"/>
        </w:rPr>
        <w:t>合同</w:t>
      </w:r>
      <w:r>
        <w:rPr>
          <w:rFonts w:hint="eastAsia" w:ascii="宋体" w:hAnsi="宋体" w:cs="宋体"/>
          <w:color w:val="auto"/>
          <w:szCs w:val="21"/>
        </w:rPr>
        <w:t>方式确定。</w:t>
      </w:r>
    </w:p>
    <w:p w14:paraId="4BB0BE73">
      <w:pPr>
        <w:spacing w:line="360" w:lineRule="auto"/>
        <w:rPr>
          <w:rFonts w:ascii="宋体" w:hAnsi="宋体" w:cs="宋体"/>
          <w:b/>
          <w:bCs/>
          <w:color w:val="auto"/>
          <w:szCs w:val="21"/>
          <w:u w:val="single"/>
        </w:rPr>
      </w:pPr>
      <w:r>
        <w:rPr>
          <w:rFonts w:hint="eastAsia" w:ascii="宋体" w:hAnsi="宋体" w:cs="宋体"/>
          <w:color w:val="auto"/>
          <w:szCs w:val="21"/>
        </w:rPr>
        <w:t>按承包人投标书中的所报投标总价，采用</w:t>
      </w:r>
      <w:r>
        <w:rPr>
          <w:rFonts w:hint="eastAsia" w:ascii="宋体" w:hAnsi="宋体" w:cs="宋体"/>
          <w:color w:val="auto"/>
          <w:szCs w:val="21"/>
          <w:u w:val="single"/>
          <w:lang w:val="en-US" w:eastAsia="zh-CN"/>
        </w:rPr>
        <w:t>固定单价</w:t>
      </w:r>
      <w:r>
        <w:rPr>
          <w:rFonts w:hint="eastAsia" w:ascii="宋体" w:hAnsi="宋体" w:cs="宋体"/>
          <w:color w:val="auto"/>
          <w:szCs w:val="21"/>
          <w:u w:val="single"/>
        </w:rPr>
        <w:t>合同</w:t>
      </w:r>
      <w:r>
        <w:rPr>
          <w:rFonts w:hint="eastAsia" w:ascii="宋体" w:hAnsi="宋体" w:cs="宋体"/>
          <w:color w:val="auto"/>
          <w:szCs w:val="21"/>
        </w:rPr>
        <w:t>形式</w:t>
      </w:r>
      <w:r>
        <w:rPr>
          <w:rFonts w:hint="eastAsia" w:ascii="宋体" w:hAnsi="宋体" w:cs="宋体"/>
          <w:b/>
          <w:bCs/>
          <w:color w:val="auto"/>
          <w:szCs w:val="21"/>
          <w:u w:val="single"/>
        </w:rPr>
        <w:t>；最终据实结算。</w:t>
      </w:r>
    </w:p>
    <w:p w14:paraId="47E8291A">
      <w:pPr>
        <w:spacing w:line="360" w:lineRule="auto"/>
        <w:rPr>
          <w:rFonts w:ascii="宋体" w:hAnsi="宋体" w:cs="宋体"/>
          <w:color w:val="auto"/>
          <w:szCs w:val="21"/>
        </w:rPr>
      </w:pPr>
      <w:r>
        <w:rPr>
          <w:rFonts w:hint="eastAsia" w:ascii="宋体" w:hAnsi="宋体" w:cs="宋体"/>
          <w:color w:val="auto"/>
          <w:szCs w:val="21"/>
        </w:rPr>
        <w:t>备注：1）合同价格采用2003年《山东省建筑工程消耗量定额》、2003年《山东省安装工程消耗量定额》、2016年《山东省建筑工程消耗量定额价目表》，2016年《山东省安装工程消耗量定额价目表》及相关补充定额、规定计取与调整。</w:t>
      </w:r>
    </w:p>
    <w:p w14:paraId="2EDE4C0F">
      <w:pPr>
        <w:spacing w:line="360" w:lineRule="auto"/>
        <w:rPr>
          <w:rFonts w:ascii="宋体" w:hAnsi="宋体" w:cs="宋体"/>
          <w:color w:val="auto"/>
          <w:szCs w:val="21"/>
        </w:rPr>
      </w:pPr>
      <w:r>
        <w:rPr>
          <w:rFonts w:hint="eastAsia" w:ascii="宋体" w:hAnsi="宋体" w:cs="宋体"/>
          <w:color w:val="auto"/>
          <w:szCs w:val="21"/>
        </w:rPr>
        <w:t>因相关因素影响引起的合同价款需要调整时，调整因素及方法：</w:t>
      </w:r>
    </w:p>
    <w:p w14:paraId="1A6AFD20">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①发包人提出或确认的设计变更和材料变更，因施工质量安全要求提高由现场监理工程师或发包人现场项目负责人确认的单价、工程量签证单、技术核定单、因变更造成承包人废弃已施工部分工作量或待进场及已进场的原材料等作为结算价款的依据；</w:t>
      </w:r>
    </w:p>
    <w:p w14:paraId="66EA59B7">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②因发包人原因未完成相应工作或造成的工期延误所造成的承包人经济损失；监理、发包人书面认定的现场签证的工程量增减以及由此引起的措施费变更；</w:t>
      </w:r>
    </w:p>
    <w:p w14:paraId="0FE8FEFB">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2）变更签证工程量需以监理工程师核准、审计单位审计确定、发包人认可。（凡是列有暂定价的项目及材料，最终价格经发包人、承包人、审计单位、监理单位共同确认价格调整。）</w:t>
      </w:r>
    </w:p>
    <w:p w14:paraId="4834C879">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3）施工期间材料价格调整执行合同第11.1条。</w:t>
      </w:r>
    </w:p>
    <w:p w14:paraId="6F80AB3A">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4）暂定价的调整方法：在项目施工前承包人向发包人报送暂定项价格，双方确认后于结算时进行调整。</w:t>
      </w:r>
    </w:p>
    <w:p w14:paraId="3CC3F381">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12.2 预付款</w:t>
      </w:r>
    </w:p>
    <w:bookmarkEnd w:id="642"/>
    <w:bookmarkEnd w:id="643"/>
    <w:bookmarkEnd w:id="644"/>
    <w:bookmarkEnd w:id="645"/>
    <w:bookmarkEnd w:id="646"/>
    <w:bookmarkEnd w:id="647"/>
    <w:p w14:paraId="4D20B626">
      <w:pPr>
        <w:spacing w:line="360" w:lineRule="auto"/>
        <w:rPr>
          <w:rFonts w:ascii="宋体" w:hAnsi="宋体" w:cs="宋体"/>
          <w:color w:val="auto"/>
          <w:szCs w:val="21"/>
        </w:rPr>
      </w:pPr>
      <w:r>
        <w:rPr>
          <w:rFonts w:hint="eastAsia" w:ascii="宋体" w:hAnsi="宋体" w:cs="宋体"/>
          <w:color w:val="auto"/>
          <w:szCs w:val="21"/>
        </w:rPr>
        <w:t>12.2.1 预付款的支付</w:t>
      </w:r>
    </w:p>
    <w:p w14:paraId="6F7CF9C8">
      <w:pPr>
        <w:spacing w:line="360" w:lineRule="auto"/>
        <w:rPr>
          <w:rFonts w:ascii="宋体" w:hAnsi="宋体" w:cs="宋体"/>
          <w:color w:val="auto"/>
          <w:szCs w:val="21"/>
        </w:rPr>
      </w:pPr>
      <w:r>
        <w:rPr>
          <w:rFonts w:hint="eastAsia" w:ascii="宋体" w:hAnsi="宋体" w:cs="宋体"/>
          <w:color w:val="auto"/>
          <w:szCs w:val="21"/>
        </w:rPr>
        <w:t>预付款支付比例或金额：</w:t>
      </w:r>
      <w:r>
        <w:rPr>
          <w:rFonts w:hint="eastAsia" w:ascii="宋体" w:hAnsi="宋体" w:cs="宋体"/>
          <w:color w:val="auto"/>
          <w:szCs w:val="21"/>
          <w:u w:val="thick"/>
        </w:rPr>
        <w:t>本工程发包人不提供预付款</w:t>
      </w:r>
      <w:r>
        <w:rPr>
          <w:rFonts w:hint="eastAsia" w:ascii="宋体" w:hAnsi="宋体" w:cs="宋体"/>
          <w:color w:val="auto"/>
          <w:szCs w:val="21"/>
        </w:rPr>
        <w:t>。</w:t>
      </w:r>
    </w:p>
    <w:p w14:paraId="2D983B05">
      <w:pPr>
        <w:spacing w:line="360" w:lineRule="auto"/>
        <w:rPr>
          <w:rFonts w:ascii="宋体" w:hAnsi="宋体" w:cs="宋体"/>
          <w:color w:val="auto"/>
          <w:szCs w:val="21"/>
        </w:rPr>
      </w:pPr>
      <w:r>
        <w:rPr>
          <w:rFonts w:hint="eastAsia" w:ascii="宋体" w:hAnsi="宋体" w:cs="宋体"/>
          <w:color w:val="auto"/>
          <w:szCs w:val="21"/>
        </w:rPr>
        <w:t>预付款支付期限：</w:t>
      </w:r>
      <w:r>
        <w:rPr>
          <w:rFonts w:hint="eastAsia" w:ascii="宋体" w:hAnsi="宋体" w:cs="宋体"/>
          <w:color w:val="auto"/>
          <w:szCs w:val="21"/>
          <w:u w:val="thick"/>
        </w:rPr>
        <w:t xml:space="preserve">   /  </w:t>
      </w:r>
      <w:r>
        <w:rPr>
          <w:rFonts w:hint="eastAsia" w:ascii="宋体" w:hAnsi="宋体" w:cs="宋体"/>
          <w:color w:val="auto"/>
          <w:szCs w:val="21"/>
        </w:rPr>
        <w:t>。</w:t>
      </w:r>
    </w:p>
    <w:p w14:paraId="45054799">
      <w:pPr>
        <w:spacing w:line="360" w:lineRule="auto"/>
        <w:rPr>
          <w:rFonts w:ascii="宋体" w:hAnsi="宋体" w:cs="宋体"/>
          <w:color w:val="auto"/>
          <w:szCs w:val="21"/>
        </w:rPr>
      </w:pPr>
      <w:r>
        <w:rPr>
          <w:rFonts w:hint="eastAsia" w:ascii="宋体" w:hAnsi="宋体" w:cs="宋体"/>
          <w:color w:val="auto"/>
          <w:szCs w:val="21"/>
        </w:rPr>
        <w:t>预付款扣回的方式：</w:t>
      </w:r>
      <w:r>
        <w:rPr>
          <w:rFonts w:hint="eastAsia" w:ascii="宋体" w:hAnsi="宋体" w:cs="宋体"/>
          <w:color w:val="auto"/>
          <w:szCs w:val="21"/>
          <w:u w:val="thick"/>
        </w:rPr>
        <w:t xml:space="preserve">   /  </w:t>
      </w:r>
      <w:r>
        <w:rPr>
          <w:rFonts w:hint="eastAsia" w:ascii="宋体" w:hAnsi="宋体" w:cs="宋体"/>
          <w:color w:val="auto"/>
          <w:szCs w:val="21"/>
        </w:rPr>
        <w:t>。</w:t>
      </w:r>
    </w:p>
    <w:p w14:paraId="3A20B4BA">
      <w:pPr>
        <w:spacing w:line="360" w:lineRule="auto"/>
        <w:rPr>
          <w:rFonts w:ascii="宋体" w:hAnsi="宋体" w:cs="宋体"/>
          <w:color w:val="auto"/>
          <w:szCs w:val="21"/>
        </w:rPr>
      </w:pPr>
      <w:r>
        <w:rPr>
          <w:rFonts w:hint="eastAsia" w:ascii="宋体" w:hAnsi="宋体" w:cs="宋体"/>
          <w:color w:val="auto"/>
          <w:szCs w:val="21"/>
        </w:rPr>
        <w:t>12.2.2 预付款担保</w:t>
      </w:r>
    </w:p>
    <w:p w14:paraId="24967465">
      <w:pPr>
        <w:spacing w:line="360" w:lineRule="auto"/>
        <w:rPr>
          <w:rFonts w:ascii="宋体" w:hAnsi="宋体" w:cs="宋体"/>
          <w:color w:val="auto"/>
          <w:szCs w:val="21"/>
        </w:rPr>
      </w:pPr>
      <w:r>
        <w:rPr>
          <w:rFonts w:hint="eastAsia" w:ascii="宋体" w:hAnsi="宋体" w:cs="宋体"/>
          <w:color w:val="auto"/>
          <w:szCs w:val="21"/>
        </w:rPr>
        <w:t>承包人提交预付款担保的期限：</w:t>
      </w:r>
      <w:r>
        <w:rPr>
          <w:rFonts w:hint="eastAsia" w:ascii="宋体" w:hAnsi="宋体" w:cs="宋体"/>
          <w:color w:val="auto"/>
          <w:szCs w:val="21"/>
          <w:u w:val="thick"/>
        </w:rPr>
        <w:t xml:space="preserve">   /   </w:t>
      </w:r>
      <w:r>
        <w:rPr>
          <w:rFonts w:hint="eastAsia" w:ascii="宋体" w:hAnsi="宋体" w:cs="宋体"/>
          <w:color w:val="auto"/>
          <w:szCs w:val="21"/>
        </w:rPr>
        <w:t>。</w:t>
      </w:r>
    </w:p>
    <w:p w14:paraId="1CFE0628">
      <w:pPr>
        <w:spacing w:line="360" w:lineRule="auto"/>
        <w:rPr>
          <w:rFonts w:ascii="宋体" w:hAnsi="宋体" w:cs="宋体"/>
          <w:color w:val="auto"/>
          <w:szCs w:val="21"/>
        </w:rPr>
      </w:pPr>
      <w:r>
        <w:rPr>
          <w:rFonts w:hint="eastAsia" w:ascii="宋体" w:hAnsi="宋体" w:cs="宋体"/>
          <w:color w:val="auto"/>
          <w:szCs w:val="21"/>
        </w:rPr>
        <w:t>预付款担保的形式为：</w:t>
      </w:r>
      <w:r>
        <w:rPr>
          <w:rFonts w:hint="eastAsia" w:ascii="宋体" w:hAnsi="宋体" w:cs="宋体"/>
          <w:color w:val="auto"/>
          <w:szCs w:val="21"/>
          <w:u w:val="thick"/>
        </w:rPr>
        <w:t xml:space="preserve">   /   </w:t>
      </w:r>
      <w:r>
        <w:rPr>
          <w:rFonts w:hint="eastAsia" w:ascii="宋体" w:hAnsi="宋体" w:cs="宋体"/>
          <w:color w:val="auto"/>
          <w:szCs w:val="21"/>
        </w:rPr>
        <w:t>。</w:t>
      </w:r>
    </w:p>
    <w:bookmarkEnd w:id="648"/>
    <w:bookmarkEnd w:id="649"/>
    <w:bookmarkEnd w:id="650"/>
    <w:bookmarkEnd w:id="651"/>
    <w:bookmarkEnd w:id="652"/>
    <w:bookmarkEnd w:id="653"/>
    <w:bookmarkEnd w:id="654"/>
    <w:bookmarkEnd w:id="655"/>
    <w:bookmarkEnd w:id="656"/>
    <w:bookmarkEnd w:id="657"/>
    <w:p w14:paraId="76F2BC6C">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12.3 计量</w:t>
      </w:r>
    </w:p>
    <w:p w14:paraId="3A936F5B">
      <w:pPr>
        <w:spacing w:line="360" w:lineRule="auto"/>
        <w:rPr>
          <w:rFonts w:ascii="宋体" w:hAnsi="宋体" w:cs="宋体"/>
          <w:color w:val="auto"/>
          <w:szCs w:val="21"/>
        </w:rPr>
      </w:pPr>
      <w:r>
        <w:rPr>
          <w:rFonts w:hint="eastAsia" w:ascii="宋体" w:hAnsi="宋体" w:cs="宋体"/>
          <w:color w:val="auto"/>
          <w:szCs w:val="21"/>
        </w:rPr>
        <w:t>12.3.1 计量原则</w:t>
      </w:r>
    </w:p>
    <w:p w14:paraId="462D8E5A">
      <w:pPr>
        <w:spacing w:line="360" w:lineRule="auto"/>
        <w:rPr>
          <w:rFonts w:ascii="宋体" w:hAnsi="宋体" w:cs="宋体"/>
          <w:color w:val="auto"/>
          <w:szCs w:val="21"/>
        </w:rPr>
      </w:pPr>
      <w:r>
        <w:rPr>
          <w:rFonts w:hint="eastAsia" w:ascii="宋体" w:hAnsi="宋体" w:cs="宋体"/>
          <w:color w:val="auto"/>
          <w:szCs w:val="21"/>
        </w:rPr>
        <w:t>工程量计算规则：</w:t>
      </w:r>
      <w:r>
        <w:rPr>
          <w:rFonts w:hint="eastAsia" w:ascii="宋体" w:hAnsi="宋体" w:cs="宋体"/>
          <w:color w:val="auto"/>
          <w:szCs w:val="21"/>
          <w:u w:val="thick"/>
        </w:rPr>
        <w:t>符合国家及山东省规定的标准计价规范等</w:t>
      </w:r>
      <w:r>
        <w:rPr>
          <w:rFonts w:hint="eastAsia" w:ascii="宋体" w:hAnsi="宋体" w:cs="宋体"/>
          <w:color w:val="auto"/>
          <w:szCs w:val="21"/>
        </w:rPr>
        <w:t>。</w:t>
      </w:r>
    </w:p>
    <w:p w14:paraId="04669074">
      <w:pPr>
        <w:spacing w:line="360" w:lineRule="auto"/>
        <w:rPr>
          <w:rFonts w:ascii="宋体" w:hAnsi="宋体" w:cs="宋体"/>
          <w:color w:val="auto"/>
          <w:szCs w:val="21"/>
        </w:rPr>
      </w:pPr>
      <w:r>
        <w:rPr>
          <w:rFonts w:hint="eastAsia" w:ascii="宋体" w:hAnsi="宋体" w:cs="宋体"/>
          <w:color w:val="auto"/>
          <w:szCs w:val="21"/>
        </w:rPr>
        <w:t>12.3.2 计量周期</w:t>
      </w:r>
    </w:p>
    <w:p w14:paraId="41105393">
      <w:pPr>
        <w:spacing w:line="360" w:lineRule="auto"/>
        <w:rPr>
          <w:rFonts w:ascii="宋体" w:hAnsi="宋体" w:cs="宋体"/>
          <w:color w:val="auto"/>
          <w:szCs w:val="21"/>
        </w:rPr>
      </w:pPr>
      <w:r>
        <w:rPr>
          <w:rFonts w:hint="eastAsia" w:ascii="宋体" w:hAnsi="宋体" w:cs="宋体"/>
          <w:color w:val="auto"/>
          <w:szCs w:val="21"/>
        </w:rPr>
        <w:t>关于计量周期的约定：</w:t>
      </w:r>
      <w:r>
        <w:rPr>
          <w:rFonts w:hint="eastAsia" w:ascii="宋体" w:hAnsi="宋体" w:cs="宋体"/>
          <w:color w:val="auto"/>
          <w:szCs w:val="21"/>
          <w:u w:val="thick"/>
        </w:rPr>
        <w:t>执行通用合同条款</w:t>
      </w:r>
      <w:r>
        <w:rPr>
          <w:rFonts w:hint="eastAsia" w:ascii="宋体" w:hAnsi="宋体" w:cs="宋体"/>
          <w:color w:val="auto"/>
          <w:szCs w:val="21"/>
        </w:rPr>
        <w:t>。</w:t>
      </w:r>
    </w:p>
    <w:p w14:paraId="28E2C308">
      <w:pPr>
        <w:spacing w:line="360" w:lineRule="auto"/>
        <w:rPr>
          <w:rFonts w:ascii="宋体" w:hAnsi="宋体" w:cs="宋体"/>
          <w:color w:val="auto"/>
          <w:szCs w:val="21"/>
        </w:rPr>
      </w:pPr>
      <w:r>
        <w:rPr>
          <w:rFonts w:hint="eastAsia" w:ascii="宋体" w:hAnsi="宋体" w:cs="宋体"/>
          <w:color w:val="auto"/>
          <w:szCs w:val="21"/>
        </w:rPr>
        <w:t>12.3.3 单价合同的计量</w:t>
      </w:r>
    </w:p>
    <w:p w14:paraId="0DC2AD0B">
      <w:pPr>
        <w:spacing w:line="360" w:lineRule="auto"/>
        <w:rPr>
          <w:rFonts w:ascii="宋体" w:hAnsi="宋体" w:cs="宋体"/>
          <w:color w:val="auto"/>
          <w:szCs w:val="21"/>
        </w:rPr>
      </w:pPr>
      <w:r>
        <w:rPr>
          <w:rFonts w:hint="eastAsia" w:ascii="宋体" w:hAnsi="宋体" w:cs="宋体"/>
          <w:color w:val="auto"/>
          <w:szCs w:val="21"/>
        </w:rPr>
        <w:t>关于单价合同计量的约定：</w:t>
      </w:r>
      <w:r>
        <w:rPr>
          <w:rFonts w:hint="eastAsia" w:ascii="宋体" w:hAnsi="宋体" w:cs="宋体"/>
          <w:color w:val="auto"/>
          <w:szCs w:val="21"/>
          <w:u w:val="thick"/>
        </w:rPr>
        <w:t>执行通用合同条款</w:t>
      </w:r>
      <w:r>
        <w:rPr>
          <w:rFonts w:hint="eastAsia" w:ascii="宋体" w:hAnsi="宋体" w:cs="宋体"/>
          <w:color w:val="auto"/>
          <w:szCs w:val="21"/>
        </w:rPr>
        <w:t>。</w:t>
      </w:r>
    </w:p>
    <w:p w14:paraId="6EBC2AB3">
      <w:pPr>
        <w:spacing w:line="360" w:lineRule="auto"/>
        <w:rPr>
          <w:rFonts w:ascii="宋体" w:hAnsi="宋体" w:cs="宋体"/>
          <w:color w:val="auto"/>
          <w:szCs w:val="21"/>
        </w:rPr>
      </w:pPr>
      <w:r>
        <w:rPr>
          <w:rFonts w:hint="eastAsia" w:ascii="宋体" w:hAnsi="宋体" w:cs="宋体"/>
          <w:color w:val="auto"/>
          <w:szCs w:val="21"/>
        </w:rPr>
        <w:t>12.3.4 总价合同的计量</w:t>
      </w:r>
    </w:p>
    <w:p w14:paraId="6F9D8E99">
      <w:pPr>
        <w:spacing w:line="360" w:lineRule="auto"/>
        <w:rPr>
          <w:rFonts w:ascii="宋体" w:hAnsi="宋体" w:cs="宋体"/>
          <w:color w:val="auto"/>
          <w:szCs w:val="21"/>
        </w:rPr>
      </w:pPr>
      <w:r>
        <w:rPr>
          <w:rFonts w:hint="eastAsia" w:ascii="宋体" w:hAnsi="宋体" w:cs="宋体"/>
          <w:color w:val="auto"/>
          <w:szCs w:val="21"/>
        </w:rPr>
        <w:t>关于总价合同计量的约定：</w:t>
      </w:r>
      <w:r>
        <w:rPr>
          <w:rFonts w:hint="eastAsia" w:ascii="宋体" w:hAnsi="宋体" w:cs="宋体"/>
          <w:color w:val="auto"/>
          <w:szCs w:val="21"/>
          <w:u w:val="thick"/>
        </w:rPr>
        <w:t>执行通用合同条款</w:t>
      </w:r>
      <w:r>
        <w:rPr>
          <w:rFonts w:hint="eastAsia" w:ascii="宋体" w:hAnsi="宋体" w:cs="宋体"/>
          <w:color w:val="auto"/>
          <w:szCs w:val="21"/>
        </w:rPr>
        <w:t>。</w:t>
      </w:r>
    </w:p>
    <w:p w14:paraId="3A4F2E48">
      <w:pPr>
        <w:spacing w:line="360" w:lineRule="auto"/>
        <w:rPr>
          <w:rFonts w:ascii="宋体" w:hAnsi="宋体" w:cs="宋体"/>
          <w:color w:val="auto"/>
          <w:szCs w:val="21"/>
        </w:rPr>
      </w:pPr>
      <w:r>
        <w:rPr>
          <w:rFonts w:hint="eastAsia" w:ascii="宋体" w:hAnsi="宋体" w:cs="宋体"/>
          <w:color w:val="auto"/>
          <w:szCs w:val="21"/>
        </w:rPr>
        <w:t>12.3.5总价合同采用支付分解表计量支付的，是否适用第12.3.4 项〔总价合同的计量〕约定进行计量：</w:t>
      </w:r>
      <w:r>
        <w:rPr>
          <w:rFonts w:hint="eastAsia" w:ascii="宋体" w:hAnsi="宋体" w:cs="宋体"/>
          <w:color w:val="auto"/>
          <w:szCs w:val="21"/>
          <w:u w:val="thick"/>
        </w:rPr>
        <w:t xml:space="preserve">   /   </w:t>
      </w:r>
      <w:r>
        <w:rPr>
          <w:rFonts w:hint="eastAsia" w:ascii="宋体" w:hAnsi="宋体" w:cs="宋体"/>
          <w:color w:val="auto"/>
          <w:szCs w:val="21"/>
        </w:rPr>
        <w:t>。</w:t>
      </w:r>
    </w:p>
    <w:p w14:paraId="534B9F4B">
      <w:pPr>
        <w:spacing w:line="360" w:lineRule="auto"/>
        <w:rPr>
          <w:rFonts w:ascii="宋体" w:hAnsi="宋体" w:cs="宋体"/>
          <w:color w:val="auto"/>
          <w:szCs w:val="21"/>
        </w:rPr>
      </w:pPr>
      <w:r>
        <w:rPr>
          <w:rFonts w:hint="eastAsia" w:ascii="宋体" w:hAnsi="宋体" w:cs="宋体"/>
          <w:color w:val="auto"/>
          <w:szCs w:val="21"/>
        </w:rPr>
        <w:t>12.3.6 其他价格形式合同的计量</w:t>
      </w:r>
    </w:p>
    <w:p w14:paraId="3C27ADF5">
      <w:pPr>
        <w:spacing w:line="360" w:lineRule="auto"/>
        <w:rPr>
          <w:rFonts w:ascii="宋体" w:hAnsi="宋体" w:cs="宋体"/>
          <w:color w:val="auto"/>
          <w:szCs w:val="21"/>
        </w:rPr>
      </w:pPr>
      <w:r>
        <w:rPr>
          <w:rFonts w:hint="eastAsia" w:ascii="宋体" w:hAnsi="宋体" w:cs="宋体"/>
          <w:color w:val="auto"/>
          <w:szCs w:val="21"/>
        </w:rPr>
        <w:t>其他价格形式的计量方式和程序：</w:t>
      </w:r>
      <w:r>
        <w:rPr>
          <w:rFonts w:hint="eastAsia" w:ascii="宋体" w:hAnsi="宋体" w:cs="宋体"/>
          <w:color w:val="auto"/>
          <w:szCs w:val="21"/>
          <w:u w:val="thick"/>
        </w:rPr>
        <w:t xml:space="preserve">   /   </w:t>
      </w:r>
      <w:r>
        <w:rPr>
          <w:rFonts w:hint="eastAsia" w:ascii="宋体" w:hAnsi="宋体" w:cs="宋体"/>
          <w:color w:val="auto"/>
          <w:szCs w:val="21"/>
        </w:rPr>
        <w:t>。</w:t>
      </w:r>
    </w:p>
    <w:p w14:paraId="498CAB4A">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12.4 工程进度款支付</w:t>
      </w:r>
    </w:p>
    <w:p w14:paraId="08E329C4">
      <w:pPr>
        <w:spacing w:line="360" w:lineRule="auto"/>
        <w:rPr>
          <w:rFonts w:hint="eastAsia"/>
          <w:color w:val="auto"/>
          <w:szCs w:val="21"/>
          <w:lang w:val="en-US" w:eastAsia="zh-CN"/>
        </w:rPr>
      </w:pPr>
      <w:bookmarkStart w:id="658" w:name="_Toc297120511"/>
      <w:bookmarkStart w:id="659" w:name="_Toc296346712"/>
      <w:bookmarkStart w:id="660" w:name="_Toc296503211"/>
      <w:bookmarkStart w:id="661" w:name="_Toc292559416"/>
      <w:bookmarkStart w:id="662" w:name="_Toc303539163"/>
      <w:bookmarkStart w:id="663" w:name="_Toc296944550"/>
      <w:bookmarkStart w:id="664" w:name="_Toc292559921"/>
      <w:bookmarkStart w:id="665" w:name="_Toc300935006"/>
      <w:bookmarkStart w:id="666" w:name="_Toc296891251"/>
      <w:bookmarkStart w:id="667" w:name="_Toc297216215"/>
      <w:bookmarkStart w:id="668" w:name="_Toc297123556"/>
      <w:bookmarkStart w:id="669" w:name="_Toc297048397"/>
      <w:bookmarkStart w:id="670" w:name="_Toc296891039"/>
      <w:bookmarkStart w:id="671" w:name="_Toc296347210"/>
      <w:r>
        <w:rPr>
          <w:rFonts w:hint="eastAsia" w:ascii="宋体" w:hAnsi="宋体" w:cs="宋体"/>
          <w:color w:val="auto"/>
          <w:szCs w:val="21"/>
        </w:rPr>
        <w:t>12.4.1本项目无预付款，</w:t>
      </w:r>
      <w:r>
        <w:rPr>
          <w:rFonts w:hint="eastAsia"/>
          <w:color w:val="auto"/>
          <w:szCs w:val="21"/>
          <w:lang w:val="en-US" w:eastAsia="zh-CN"/>
        </w:rPr>
        <w:t>（1）、本项目无预付款。 （2）、招标人每月按照审定合格工程形象进度产值的75%，支付进度款。 （3）、单体竣工验收合格后，累计支付至单体合同造价的90%（4）、工程结算经招标人审定完毕后，支付至审定结算款总价的 97% 。 （5）剩余审定结算工程总价款的 3% 为质保金。质保金的返还方式：缺陷责任期满两年，无息返还剩余质保金。</w:t>
      </w:r>
    </w:p>
    <w:p w14:paraId="71E9AF71">
      <w:pPr>
        <w:spacing w:line="360" w:lineRule="auto"/>
        <w:rPr>
          <w:rFonts w:ascii="宋体" w:hAnsi="宋体" w:cs="宋体"/>
          <w:color w:val="auto"/>
          <w:szCs w:val="21"/>
        </w:rPr>
      </w:pPr>
      <w:r>
        <w:rPr>
          <w:rFonts w:hint="eastAsia" w:ascii="宋体" w:hAnsi="宋体" w:cs="宋体"/>
          <w:color w:val="auto"/>
          <w:szCs w:val="21"/>
        </w:rPr>
        <w:t>12.4.2 进度付款申请单的编制</w:t>
      </w:r>
    </w:p>
    <w:p w14:paraId="6D646021">
      <w:pPr>
        <w:spacing w:line="360" w:lineRule="auto"/>
        <w:rPr>
          <w:rFonts w:ascii="宋体" w:hAnsi="宋体" w:cs="宋体"/>
          <w:color w:val="auto"/>
          <w:szCs w:val="21"/>
        </w:rPr>
      </w:pPr>
      <w:r>
        <w:rPr>
          <w:rFonts w:hint="eastAsia" w:ascii="宋体" w:hAnsi="宋体" w:cs="宋体"/>
          <w:color w:val="auto"/>
          <w:szCs w:val="21"/>
        </w:rPr>
        <w:t>关于进度付款申请单编制的约定：</w:t>
      </w:r>
    </w:p>
    <w:p w14:paraId="6CE832A4">
      <w:pPr>
        <w:spacing w:line="360" w:lineRule="auto"/>
        <w:rPr>
          <w:rFonts w:ascii="宋体" w:hAnsi="宋体" w:cs="宋体"/>
          <w:color w:val="auto"/>
          <w:szCs w:val="21"/>
        </w:rPr>
      </w:pPr>
      <w:r>
        <w:rPr>
          <w:rFonts w:hint="eastAsia" w:ascii="宋体" w:hAnsi="宋体" w:cs="宋体"/>
          <w:color w:val="auto"/>
          <w:szCs w:val="21"/>
        </w:rPr>
        <w:t>进度付款申请单应包括下列内容：</w:t>
      </w:r>
    </w:p>
    <w:p w14:paraId="4DA58556">
      <w:pPr>
        <w:spacing w:line="360" w:lineRule="auto"/>
        <w:rPr>
          <w:rFonts w:ascii="宋体" w:hAnsi="宋体" w:cs="宋体"/>
          <w:color w:val="auto"/>
          <w:szCs w:val="21"/>
        </w:rPr>
      </w:pPr>
      <w:r>
        <w:rPr>
          <w:rFonts w:hint="eastAsia" w:ascii="宋体" w:hAnsi="宋体" w:cs="宋体"/>
          <w:color w:val="auto"/>
          <w:szCs w:val="21"/>
          <w:u w:val="thick"/>
        </w:rPr>
        <w:fldChar w:fldCharType="begin"/>
      </w:r>
      <w:r>
        <w:rPr>
          <w:rFonts w:hint="eastAsia" w:ascii="宋体" w:hAnsi="宋体" w:cs="宋体"/>
          <w:color w:val="auto"/>
          <w:szCs w:val="21"/>
          <w:u w:val="thick"/>
        </w:rPr>
        <w:instrText xml:space="preserve"> = 1 \* GB3 </w:instrText>
      </w:r>
      <w:r>
        <w:rPr>
          <w:rFonts w:hint="eastAsia" w:ascii="宋体" w:hAnsi="宋体" w:cs="宋体"/>
          <w:color w:val="auto"/>
          <w:szCs w:val="21"/>
          <w:u w:val="thick"/>
        </w:rPr>
        <w:fldChar w:fldCharType="separate"/>
      </w:r>
      <w:r>
        <w:rPr>
          <w:rFonts w:hint="eastAsia" w:ascii="宋体" w:hAnsi="宋体" w:cs="宋体"/>
          <w:color w:val="auto"/>
          <w:szCs w:val="21"/>
          <w:u w:val="thick"/>
        </w:rPr>
        <w:t>①</w:t>
      </w:r>
      <w:r>
        <w:rPr>
          <w:rFonts w:hint="eastAsia" w:ascii="宋体" w:hAnsi="宋体" w:cs="宋体"/>
          <w:color w:val="auto"/>
          <w:szCs w:val="21"/>
          <w:u w:val="thick"/>
        </w:rPr>
        <w:fldChar w:fldCharType="end"/>
      </w:r>
      <w:r>
        <w:rPr>
          <w:rFonts w:hint="eastAsia" w:ascii="宋体" w:hAnsi="宋体" w:cs="宋体"/>
          <w:color w:val="auto"/>
          <w:szCs w:val="21"/>
          <w:u w:val="thick"/>
        </w:rPr>
        <w:t>上次工程形象进度节点目标至本次工程形象进度节点目标所完成工程的质量验收合格意见</w:t>
      </w:r>
      <w:r>
        <w:rPr>
          <w:rFonts w:hint="eastAsia" w:ascii="宋体" w:hAnsi="宋体" w:cs="宋体"/>
          <w:color w:val="auto"/>
          <w:szCs w:val="21"/>
        </w:rPr>
        <w:t>；</w:t>
      </w:r>
      <w:r>
        <w:rPr>
          <w:rFonts w:hint="eastAsia" w:ascii="宋体" w:hAnsi="宋体" w:cs="宋体"/>
          <w:color w:val="auto"/>
          <w:szCs w:val="21"/>
          <w:u w:val="thick"/>
        </w:rPr>
        <w:fldChar w:fldCharType="begin"/>
      </w:r>
      <w:r>
        <w:rPr>
          <w:rFonts w:hint="eastAsia" w:ascii="宋体" w:hAnsi="宋体" w:cs="宋体"/>
          <w:color w:val="auto"/>
          <w:szCs w:val="21"/>
          <w:u w:val="thick"/>
        </w:rPr>
        <w:instrText xml:space="preserve"> = 2 \* GB3 </w:instrText>
      </w:r>
      <w:r>
        <w:rPr>
          <w:rFonts w:hint="eastAsia" w:ascii="宋体" w:hAnsi="宋体" w:cs="宋体"/>
          <w:color w:val="auto"/>
          <w:szCs w:val="21"/>
          <w:u w:val="thick"/>
        </w:rPr>
        <w:fldChar w:fldCharType="separate"/>
      </w:r>
      <w:r>
        <w:rPr>
          <w:rFonts w:hint="eastAsia" w:ascii="宋体" w:hAnsi="宋体" w:cs="宋体"/>
          <w:color w:val="auto"/>
          <w:szCs w:val="21"/>
          <w:u w:val="thick"/>
        </w:rPr>
        <w:t>②</w:t>
      </w:r>
      <w:r>
        <w:rPr>
          <w:rFonts w:hint="eastAsia" w:ascii="宋体" w:hAnsi="宋体" w:cs="宋体"/>
          <w:color w:val="auto"/>
          <w:szCs w:val="21"/>
          <w:u w:val="thick"/>
        </w:rPr>
        <w:fldChar w:fldCharType="end"/>
      </w:r>
      <w:r>
        <w:rPr>
          <w:rFonts w:hint="eastAsia" w:ascii="宋体" w:hAnsi="宋体" w:cs="宋体"/>
          <w:color w:val="auto"/>
          <w:szCs w:val="21"/>
          <w:u w:val="thick"/>
        </w:rPr>
        <w:t>根据本合同专用条款第12.4.1项约定，截止本次工程形象进度节点目标已完成工作应支付的工程价款</w:t>
      </w:r>
      <w:r>
        <w:rPr>
          <w:rFonts w:hint="eastAsia" w:ascii="宋体" w:hAnsi="宋体" w:cs="宋体"/>
          <w:color w:val="auto"/>
          <w:szCs w:val="21"/>
        </w:rPr>
        <w:t>；</w:t>
      </w:r>
      <w:r>
        <w:rPr>
          <w:rFonts w:hint="eastAsia" w:ascii="宋体" w:hAnsi="宋体" w:cs="宋体"/>
          <w:color w:val="auto"/>
          <w:szCs w:val="21"/>
          <w:u w:val="thick"/>
        </w:rPr>
        <w:t>③根据本合同专用条款12.4.1项约定，截止上次支付工程价款对应的工程形象进度节点目标止已支付的工程价款</w:t>
      </w:r>
      <w:r>
        <w:rPr>
          <w:rFonts w:hint="eastAsia" w:ascii="宋体" w:hAnsi="宋体" w:cs="宋体"/>
          <w:color w:val="auto"/>
          <w:szCs w:val="21"/>
        </w:rPr>
        <w:t>；</w:t>
      </w:r>
      <w:r>
        <w:rPr>
          <w:rFonts w:hint="eastAsia" w:ascii="宋体" w:hAnsi="宋体" w:cs="宋体"/>
          <w:color w:val="auto"/>
          <w:szCs w:val="21"/>
          <w:u w:val="thick"/>
        </w:rPr>
        <w:t>④根据合同约定应增加或扣减的其他金额</w:t>
      </w:r>
      <w:r>
        <w:rPr>
          <w:rFonts w:hint="eastAsia" w:ascii="宋体" w:hAnsi="宋体" w:cs="宋体"/>
          <w:color w:val="auto"/>
          <w:szCs w:val="21"/>
        </w:rPr>
        <w:t>。</w:t>
      </w:r>
    </w:p>
    <w:p w14:paraId="7497C02A">
      <w:pPr>
        <w:spacing w:line="360" w:lineRule="auto"/>
        <w:rPr>
          <w:rFonts w:ascii="宋体" w:hAnsi="宋体" w:cs="宋体"/>
          <w:color w:val="auto"/>
          <w:szCs w:val="21"/>
        </w:rPr>
      </w:pPr>
      <w:r>
        <w:rPr>
          <w:rFonts w:hint="eastAsia" w:ascii="宋体" w:hAnsi="宋体" w:cs="宋体"/>
          <w:color w:val="auto"/>
          <w:szCs w:val="21"/>
        </w:rPr>
        <w:t>1</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Pr>
          <w:rFonts w:hint="eastAsia" w:ascii="宋体" w:hAnsi="宋体" w:cs="宋体"/>
          <w:color w:val="auto"/>
          <w:szCs w:val="21"/>
        </w:rPr>
        <w:t>2.4.3 进度付款申请单的提交</w:t>
      </w:r>
    </w:p>
    <w:p w14:paraId="47263B36">
      <w:pPr>
        <w:spacing w:line="360" w:lineRule="auto"/>
        <w:rPr>
          <w:rFonts w:ascii="宋体" w:hAnsi="宋体" w:cs="宋体"/>
          <w:color w:val="auto"/>
          <w:szCs w:val="21"/>
        </w:rPr>
      </w:pPr>
      <w:r>
        <w:rPr>
          <w:rFonts w:hint="eastAsia" w:ascii="宋体" w:hAnsi="宋体" w:cs="宋体"/>
          <w:color w:val="auto"/>
          <w:szCs w:val="21"/>
        </w:rPr>
        <w:t>(1)单价合同进度付款申请单提交的约定：</w:t>
      </w:r>
      <w:r>
        <w:rPr>
          <w:rFonts w:hint="eastAsia" w:ascii="宋体" w:hAnsi="宋体" w:cs="宋体"/>
          <w:color w:val="auto"/>
          <w:szCs w:val="21"/>
          <w:u w:val="thick"/>
        </w:rPr>
        <w:t>执行通用合同条款</w:t>
      </w:r>
      <w:r>
        <w:rPr>
          <w:rFonts w:hint="eastAsia" w:ascii="宋体" w:hAnsi="宋体" w:cs="宋体"/>
          <w:color w:val="auto"/>
          <w:szCs w:val="21"/>
        </w:rPr>
        <w:t>。</w:t>
      </w:r>
    </w:p>
    <w:p w14:paraId="4F86DA36">
      <w:pPr>
        <w:spacing w:line="360" w:lineRule="auto"/>
        <w:rPr>
          <w:rFonts w:ascii="宋体" w:hAnsi="宋体" w:cs="宋体"/>
          <w:color w:val="auto"/>
          <w:szCs w:val="21"/>
        </w:rPr>
      </w:pPr>
      <w:r>
        <w:rPr>
          <w:rFonts w:hint="eastAsia" w:ascii="宋体" w:hAnsi="宋体" w:cs="宋体"/>
          <w:color w:val="auto"/>
          <w:szCs w:val="21"/>
        </w:rPr>
        <w:t>(2)总价合同进度付款申请单提交的约定：</w:t>
      </w:r>
      <w:r>
        <w:rPr>
          <w:rFonts w:hint="eastAsia" w:ascii="宋体" w:hAnsi="宋体" w:cs="宋体"/>
          <w:color w:val="auto"/>
          <w:szCs w:val="21"/>
          <w:u w:val="thick"/>
        </w:rPr>
        <w:t xml:space="preserve">   /   </w:t>
      </w:r>
      <w:r>
        <w:rPr>
          <w:rFonts w:hint="eastAsia" w:ascii="宋体" w:hAnsi="宋体" w:cs="宋体"/>
          <w:color w:val="auto"/>
          <w:szCs w:val="21"/>
        </w:rPr>
        <w:t>。</w:t>
      </w:r>
    </w:p>
    <w:p w14:paraId="42922A83">
      <w:pPr>
        <w:spacing w:line="360" w:lineRule="auto"/>
        <w:rPr>
          <w:rFonts w:ascii="宋体" w:hAnsi="宋体" w:cs="宋体"/>
          <w:color w:val="auto"/>
          <w:szCs w:val="21"/>
        </w:rPr>
      </w:pPr>
      <w:r>
        <w:rPr>
          <w:rFonts w:hint="eastAsia" w:ascii="宋体" w:hAnsi="宋体" w:cs="宋体"/>
          <w:color w:val="auto"/>
          <w:szCs w:val="21"/>
        </w:rPr>
        <w:t>(3)其他价格形式合同进度付款申请单提交的约定：</w:t>
      </w:r>
      <w:r>
        <w:rPr>
          <w:rFonts w:hint="eastAsia" w:ascii="宋体" w:hAnsi="宋体" w:cs="宋体"/>
          <w:color w:val="auto"/>
          <w:szCs w:val="21"/>
          <w:u w:val="thick"/>
        </w:rPr>
        <w:t xml:space="preserve">   /   </w:t>
      </w:r>
      <w:r>
        <w:rPr>
          <w:rFonts w:hint="eastAsia" w:ascii="宋体" w:hAnsi="宋体" w:cs="宋体"/>
          <w:color w:val="auto"/>
          <w:szCs w:val="21"/>
        </w:rPr>
        <w:t>。</w:t>
      </w:r>
    </w:p>
    <w:p w14:paraId="1EDA6BD6">
      <w:pPr>
        <w:spacing w:line="360" w:lineRule="auto"/>
        <w:rPr>
          <w:rFonts w:ascii="宋体" w:hAnsi="宋体" w:cs="宋体"/>
          <w:color w:val="auto"/>
          <w:szCs w:val="21"/>
        </w:rPr>
      </w:pPr>
      <w:r>
        <w:rPr>
          <w:rFonts w:hint="eastAsia" w:ascii="宋体" w:hAnsi="宋体" w:cs="宋体"/>
          <w:color w:val="auto"/>
          <w:szCs w:val="21"/>
        </w:rPr>
        <w:t>12.4.4 进度款审核和支付</w:t>
      </w:r>
    </w:p>
    <w:p w14:paraId="4A6226DD">
      <w:pPr>
        <w:spacing w:line="360" w:lineRule="auto"/>
        <w:rPr>
          <w:rFonts w:ascii="宋体" w:hAnsi="宋体" w:cs="宋体"/>
          <w:color w:val="auto"/>
          <w:szCs w:val="21"/>
        </w:rPr>
      </w:pPr>
      <w:r>
        <w:rPr>
          <w:rFonts w:hint="eastAsia" w:ascii="宋体" w:hAnsi="宋体" w:cs="宋体"/>
          <w:color w:val="auto"/>
          <w:szCs w:val="21"/>
        </w:rPr>
        <w:t>(1)监理人审查并报送发包人的期限：</w:t>
      </w:r>
      <w:r>
        <w:rPr>
          <w:rFonts w:hint="eastAsia" w:ascii="宋体" w:hAnsi="宋体" w:cs="宋体"/>
          <w:color w:val="auto"/>
          <w:szCs w:val="21"/>
          <w:u w:val="thick"/>
        </w:rPr>
        <w:t>收到进度款付款申请7天内。</w:t>
      </w:r>
    </w:p>
    <w:p w14:paraId="7A6934EE">
      <w:pPr>
        <w:spacing w:line="360" w:lineRule="auto"/>
        <w:rPr>
          <w:rFonts w:ascii="宋体" w:hAnsi="宋体" w:cs="宋体"/>
          <w:color w:val="auto"/>
          <w:szCs w:val="21"/>
        </w:rPr>
      </w:pPr>
      <w:r>
        <w:rPr>
          <w:rFonts w:hint="eastAsia" w:ascii="宋体" w:hAnsi="宋体" w:cs="宋体"/>
          <w:color w:val="auto"/>
          <w:szCs w:val="21"/>
        </w:rPr>
        <w:t>发包人完成审批并签发进度款支付证书的期限：</w:t>
      </w:r>
      <w:r>
        <w:rPr>
          <w:rFonts w:hint="eastAsia" w:ascii="宋体" w:hAnsi="宋体" w:cs="宋体"/>
          <w:color w:val="auto"/>
          <w:szCs w:val="21"/>
          <w:u w:val="thick"/>
        </w:rPr>
        <w:t>执行通用合同条款</w:t>
      </w:r>
      <w:r>
        <w:rPr>
          <w:rFonts w:hint="eastAsia" w:ascii="宋体" w:hAnsi="宋体" w:cs="宋体"/>
          <w:color w:val="auto"/>
          <w:szCs w:val="21"/>
        </w:rPr>
        <w:t>。</w:t>
      </w:r>
    </w:p>
    <w:p w14:paraId="17747B38">
      <w:pPr>
        <w:numPr>
          <w:ilvl w:val="0"/>
          <w:numId w:val="6"/>
        </w:numPr>
        <w:spacing w:line="360" w:lineRule="auto"/>
        <w:rPr>
          <w:rFonts w:ascii="宋体" w:hAnsi="宋体" w:cs="宋体"/>
          <w:color w:val="auto"/>
          <w:szCs w:val="21"/>
        </w:rPr>
      </w:pPr>
      <w:r>
        <w:rPr>
          <w:rFonts w:hint="eastAsia" w:ascii="宋体" w:hAnsi="宋体" w:cs="宋体"/>
          <w:color w:val="auto"/>
          <w:szCs w:val="21"/>
        </w:rPr>
        <w:t>发包人支付进度款的期限：</w:t>
      </w:r>
      <w:r>
        <w:rPr>
          <w:rFonts w:hint="eastAsia" w:ascii="宋体" w:hAnsi="宋体" w:cs="宋体"/>
          <w:color w:val="auto"/>
          <w:szCs w:val="21"/>
          <w:u w:val="thick"/>
        </w:rPr>
        <w:t>执行通用合同条款</w:t>
      </w:r>
      <w:r>
        <w:rPr>
          <w:rFonts w:hint="eastAsia" w:ascii="宋体" w:hAnsi="宋体" w:cs="宋体"/>
          <w:color w:val="auto"/>
          <w:szCs w:val="21"/>
        </w:rPr>
        <w:t>。</w:t>
      </w:r>
    </w:p>
    <w:p w14:paraId="23D25223">
      <w:pPr>
        <w:spacing w:line="360" w:lineRule="auto"/>
        <w:rPr>
          <w:rFonts w:ascii="宋体" w:hAnsi="宋体" w:cs="宋体"/>
          <w:color w:val="auto"/>
          <w:szCs w:val="21"/>
        </w:rPr>
      </w:pPr>
      <w:r>
        <w:rPr>
          <w:rFonts w:hint="eastAsia" w:ascii="宋体" w:hAnsi="宋体" w:cs="宋体"/>
          <w:color w:val="auto"/>
          <w:szCs w:val="21"/>
        </w:rPr>
        <w:t>发包人逾期支付进度款的违约金的计算方式：</w:t>
      </w:r>
      <w:r>
        <w:rPr>
          <w:rFonts w:hint="eastAsia" w:ascii="宋体" w:hAnsi="宋体" w:cs="宋体"/>
          <w:color w:val="auto"/>
          <w:szCs w:val="21"/>
          <w:u w:val="thick"/>
        </w:rPr>
        <w:t xml:space="preserve">   无   </w:t>
      </w:r>
      <w:r>
        <w:rPr>
          <w:rFonts w:hint="eastAsia" w:ascii="宋体" w:hAnsi="宋体" w:cs="宋体"/>
          <w:color w:val="auto"/>
          <w:szCs w:val="21"/>
        </w:rPr>
        <w:t>。</w:t>
      </w:r>
    </w:p>
    <w:p w14:paraId="233BA755">
      <w:pPr>
        <w:spacing w:line="360" w:lineRule="auto"/>
        <w:rPr>
          <w:rFonts w:ascii="宋体" w:hAnsi="宋体" w:cs="宋体"/>
          <w:color w:val="auto"/>
          <w:szCs w:val="21"/>
        </w:rPr>
      </w:pPr>
      <w:r>
        <w:rPr>
          <w:rFonts w:hint="eastAsia" w:ascii="宋体" w:hAnsi="宋体" w:cs="宋体"/>
          <w:color w:val="auto"/>
          <w:szCs w:val="21"/>
        </w:rPr>
        <w:t>12.4.6 支付分解表的编制</w:t>
      </w:r>
    </w:p>
    <w:p w14:paraId="0DD2223A">
      <w:pPr>
        <w:spacing w:line="360" w:lineRule="auto"/>
        <w:rPr>
          <w:rFonts w:ascii="宋体" w:hAnsi="宋体" w:cs="宋体"/>
          <w:color w:val="auto"/>
          <w:szCs w:val="21"/>
        </w:rPr>
      </w:pPr>
      <w:r>
        <w:rPr>
          <w:rFonts w:hint="eastAsia" w:ascii="宋体" w:hAnsi="宋体" w:cs="宋体"/>
          <w:color w:val="auto"/>
          <w:szCs w:val="21"/>
        </w:rPr>
        <w:t>2、总价合同支付分解表的编制与审批：</w:t>
      </w:r>
      <w:r>
        <w:rPr>
          <w:rFonts w:hint="eastAsia" w:ascii="宋体" w:hAnsi="宋体" w:cs="宋体"/>
          <w:color w:val="auto"/>
          <w:szCs w:val="21"/>
          <w:u w:val="thick"/>
        </w:rPr>
        <w:t xml:space="preserve">   /   </w:t>
      </w:r>
      <w:r>
        <w:rPr>
          <w:rFonts w:hint="eastAsia" w:ascii="宋体" w:hAnsi="宋体" w:cs="宋体"/>
          <w:color w:val="auto"/>
          <w:szCs w:val="21"/>
        </w:rPr>
        <w:t>。</w:t>
      </w:r>
    </w:p>
    <w:p w14:paraId="567D0601">
      <w:pPr>
        <w:spacing w:line="360" w:lineRule="auto"/>
        <w:rPr>
          <w:rFonts w:ascii="宋体" w:hAnsi="宋体" w:cs="宋体"/>
          <w:color w:val="auto"/>
          <w:szCs w:val="21"/>
        </w:rPr>
      </w:pPr>
      <w:r>
        <w:rPr>
          <w:rFonts w:hint="eastAsia" w:ascii="宋体" w:hAnsi="宋体" w:cs="宋体"/>
          <w:color w:val="auto"/>
          <w:szCs w:val="21"/>
        </w:rPr>
        <w:t>3、单价合同的总价项目支付分解表的编制与审批：</w:t>
      </w:r>
      <w:r>
        <w:rPr>
          <w:rFonts w:hint="eastAsia" w:ascii="宋体" w:hAnsi="宋体" w:cs="宋体"/>
          <w:color w:val="auto"/>
          <w:szCs w:val="21"/>
          <w:u w:val="thick"/>
        </w:rPr>
        <w:t xml:space="preserve">   /   </w:t>
      </w:r>
      <w:r>
        <w:rPr>
          <w:rFonts w:hint="eastAsia" w:ascii="宋体" w:hAnsi="宋体" w:cs="宋体"/>
          <w:color w:val="auto"/>
          <w:szCs w:val="21"/>
        </w:rPr>
        <w:t>。</w:t>
      </w:r>
    </w:p>
    <w:bookmarkEnd w:id="501"/>
    <w:p w14:paraId="02E1DE68">
      <w:pPr>
        <w:spacing w:line="360" w:lineRule="auto"/>
        <w:rPr>
          <w:rFonts w:ascii="宋体" w:hAnsi="宋体" w:cs="宋体"/>
          <w:color w:val="auto"/>
          <w:szCs w:val="21"/>
          <w:shd w:val="pct10" w:color="auto" w:fill="FFFFFF"/>
        </w:rPr>
      </w:pPr>
      <w:bookmarkStart w:id="672" w:name="_Toc351203645"/>
      <w:bookmarkStart w:id="673" w:name="_Toc296347218"/>
      <w:bookmarkStart w:id="674" w:name="_Toc296346720"/>
      <w:bookmarkStart w:id="675" w:name="_Toc296503219"/>
      <w:bookmarkStart w:id="676" w:name="_Toc312678053"/>
      <w:bookmarkStart w:id="677" w:name="_Toc297048405"/>
      <w:bookmarkStart w:id="678" w:name="_Toc296891047"/>
      <w:bookmarkStart w:id="679" w:name="_Toc303539172"/>
      <w:bookmarkStart w:id="680" w:name="_Toc300935015"/>
      <w:bookmarkStart w:id="681" w:name="_Toc292559929"/>
      <w:bookmarkStart w:id="682" w:name="_Toc296944558"/>
      <w:bookmarkStart w:id="683" w:name="_Toc297123564"/>
      <w:bookmarkStart w:id="684" w:name="_Toc297120519"/>
      <w:bookmarkStart w:id="685" w:name="_Toc304295593"/>
      <w:bookmarkStart w:id="686" w:name="_Toc297216223"/>
      <w:bookmarkStart w:id="687" w:name="_Toc296891259"/>
      <w:bookmarkStart w:id="688" w:name="_Toc292559424"/>
      <w:r>
        <w:rPr>
          <w:rFonts w:hint="eastAsia" w:ascii="宋体" w:hAnsi="宋体" w:cs="宋体"/>
          <w:color w:val="auto"/>
          <w:szCs w:val="21"/>
          <w:shd w:val="pct10" w:color="auto" w:fill="FFFFFF"/>
        </w:rPr>
        <w:t>13.验收和工程试车</w:t>
      </w:r>
      <w:bookmarkEnd w:id="672"/>
    </w:p>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14:paraId="03CCA6B9">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13.1分部分项工程验收</w:t>
      </w:r>
    </w:p>
    <w:p w14:paraId="03AE6CEA">
      <w:pPr>
        <w:spacing w:line="360" w:lineRule="auto"/>
        <w:rPr>
          <w:rFonts w:ascii="宋体" w:hAnsi="宋体" w:cs="宋体"/>
          <w:color w:val="auto"/>
          <w:szCs w:val="21"/>
        </w:rPr>
      </w:pPr>
      <w:r>
        <w:rPr>
          <w:rFonts w:hint="eastAsia" w:ascii="宋体" w:hAnsi="宋体" w:cs="宋体"/>
          <w:color w:val="auto"/>
          <w:szCs w:val="21"/>
        </w:rPr>
        <w:t>13.1.2监理人不能按时进行验收时，应提前</w:t>
      </w:r>
      <w:r>
        <w:rPr>
          <w:rFonts w:hint="eastAsia" w:ascii="宋体" w:hAnsi="宋体" w:cs="宋体"/>
          <w:color w:val="auto"/>
          <w:szCs w:val="21"/>
          <w:u w:val="thick"/>
        </w:rPr>
        <w:t>24</w:t>
      </w:r>
      <w:r>
        <w:rPr>
          <w:rFonts w:hint="eastAsia" w:ascii="宋体" w:hAnsi="宋体" w:cs="宋体"/>
          <w:color w:val="auto"/>
          <w:szCs w:val="21"/>
        </w:rPr>
        <w:t>小时提交书面延期要求。</w:t>
      </w:r>
    </w:p>
    <w:p w14:paraId="4B805539">
      <w:pPr>
        <w:spacing w:line="360" w:lineRule="auto"/>
        <w:rPr>
          <w:rFonts w:ascii="宋体" w:hAnsi="宋体" w:cs="宋体"/>
          <w:color w:val="auto"/>
          <w:szCs w:val="21"/>
        </w:rPr>
      </w:pPr>
      <w:r>
        <w:rPr>
          <w:rFonts w:hint="eastAsia" w:ascii="宋体" w:hAnsi="宋体" w:cs="宋体"/>
          <w:color w:val="auto"/>
          <w:szCs w:val="21"/>
        </w:rPr>
        <w:t>关于延期最长不得超过：</w:t>
      </w:r>
      <w:r>
        <w:rPr>
          <w:rFonts w:hint="eastAsia" w:ascii="宋体" w:hAnsi="宋体" w:cs="宋体"/>
          <w:color w:val="auto"/>
          <w:szCs w:val="21"/>
          <w:u w:val="thick"/>
        </w:rPr>
        <w:t>48</w:t>
      </w:r>
      <w:r>
        <w:rPr>
          <w:rFonts w:hint="eastAsia" w:ascii="宋体" w:hAnsi="宋体" w:cs="宋体"/>
          <w:color w:val="auto"/>
          <w:szCs w:val="21"/>
        </w:rPr>
        <w:t>小时。</w:t>
      </w:r>
    </w:p>
    <w:p w14:paraId="7781612C">
      <w:pPr>
        <w:spacing w:line="360" w:lineRule="auto"/>
        <w:rPr>
          <w:rFonts w:ascii="宋体" w:hAnsi="宋体" w:cs="宋体"/>
          <w:color w:val="auto"/>
          <w:szCs w:val="21"/>
          <w:shd w:val="pct10" w:color="auto" w:fill="FFFFFF"/>
        </w:rPr>
      </w:pPr>
      <w:bookmarkStart w:id="689" w:name="_Toc296347222"/>
      <w:bookmarkStart w:id="690" w:name="_Toc297123565"/>
      <w:bookmarkStart w:id="691" w:name="_Toc312678056"/>
      <w:bookmarkStart w:id="692" w:name="_Toc296891263"/>
      <w:bookmarkStart w:id="693" w:name="_Toc296944562"/>
      <w:bookmarkStart w:id="694" w:name="_Toc296346724"/>
      <w:bookmarkStart w:id="695" w:name="_Toc303539173"/>
      <w:bookmarkStart w:id="696" w:name="_Toc296503223"/>
      <w:bookmarkStart w:id="697" w:name="_Toc292559933"/>
      <w:bookmarkStart w:id="698" w:name="_Toc300935016"/>
      <w:bookmarkStart w:id="699" w:name="_Toc292559428"/>
      <w:bookmarkStart w:id="700" w:name="_Toc297216224"/>
      <w:bookmarkStart w:id="701" w:name="_Toc296891051"/>
      <w:bookmarkStart w:id="702" w:name="_Toc297048409"/>
      <w:bookmarkStart w:id="703" w:name="_Toc304295596"/>
      <w:bookmarkStart w:id="704" w:name="_Toc297120523"/>
      <w:bookmarkStart w:id="705" w:name="_Toc267251473"/>
      <w:bookmarkStart w:id="706" w:name="_Toc267251475"/>
      <w:bookmarkStart w:id="707" w:name="_Toc267251471"/>
      <w:bookmarkStart w:id="708" w:name="_Toc267251474"/>
      <w:bookmarkStart w:id="709" w:name="_Toc267251472"/>
      <w:bookmarkStart w:id="710" w:name="_Toc267251476"/>
      <w:bookmarkStart w:id="711" w:name="_Toc267251470"/>
      <w:r>
        <w:rPr>
          <w:rFonts w:hint="eastAsia" w:ascii="宋体" w:hAnsi="宋体" w:cs="宋体"/>
          <w:color w:val="auto"/>
          <w:szCs w:val="21"/>
          <w:shd w:val="pct10" w:color="auto" w:fill="FFFFFF"/>
        </w:rPr>
        <w:t>13.2 竣工验收</w:t>
      </w:r>
    </w:p>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14:paraId="6B573396">
      <w:pPr>
        <w:spacing w:line="360" w:lineRule="auto"/>
        <w:rPr>
          <w:rFonts w:ascii="宋体" w:hAnsi="宋体" w:cs="宋体"/>
          <w:color w:val="auto"/>
          <w:szCs w:val="21"/>
        </w:rPr>
      </w:pPr>
      <w:bookmarkStart w:id="712" w:name="_Toc280868704"/>
      <w:bookmarkStart w:id="713" w:name="_Toc280868705"/>
      <w:bookmarkStart w:id="714" w:name="_Toc280868706"/>
      <w:bookmarkStart w:id="715" w:name="_Toc280868707"/>
      <w:bookmarkStart w:id="716" w:name="_Toc280868708"/>
      <w:bookmarkStart w:id="717" w:name="_Toc280868709"/>
      <w:r>
        <w:rPr>
          <w:rFonts w:hint="eastAsia" w:ascii="宋体" w:hAnsi="宋体" w:cs="宋体"/>
          <w:color w:val="auto"/>
          <w:szCs w:val="21"/>
        </w:rPr>
        <w:t>13.2.2竣工验收程序</w:t>
      </w:r>
    </w:p>
    <w:bookmarkEnd w:id="712"/>
    <w:p w14:paraId="239556D8">
      <w:pPr>
        <w:spacing w:line="360" w:lineRule="auto"/>
        <w:rPr>
          <w:rFonts w:ascii="宋体" w:hAnsi="宋体" w:cs="宋体"/>
          <w:color w:val="auto"/>
          <w:szCs w:val="21"/>
        </w:rPr>
      </w:pPr>
      <w:r>
        <w:rPr>
          <w:rFonts w:hint="eastAsia" w:ascii="宋体" w:hAnsi="宋体" w:cs="宋体"/>
          <w:color w:val="auto"/>
          <w:szCs w:val="21"/>
        </w:rPr>
        <w:t>关于竣工验收程序的约定：</w:t>
      </w:r>
      <w:r>
        <w:rPr>
          <w:rFonts w:hint="eastAsia" w:ascii="宋体" w:hAnsi="宋体" w:cs="宋体"/>
          <w:color w:val="auto"/>
          <w:szCs w:val="21"/>
          <w:u w:val="thick"/>
        </w:rPr>
        <w:t>具备本合同通用条款第13.2.1项竣工验收条件后，承包人向监理人提交竣工验收申请，监理人14天内完成审查并报发包人，发包人在28天内审批完毕，并组织监理人、承包人和设计人等相关单位完成竣工验收</w:t>
      </w:r>
      <w:r>
        <w:rPr>
          <w:rFonts w:hint="eastAsia" w:ascii="宋体" w:hAnsi="宋体" w:cs="宋体"/>
          <w:color w:val="auto"/>
          <w:szCs w:val="21"/>
        </w:rPr>
        <w:t>。</w:t>
      </w:r>
    </w:p>
    <w:p w14:paraId="7843E934">
      <w:pPr>
        <w:spacing w:line="360" w:lineRule="auto"/>
        <w:rPr>
          <w:rFonts w:ascii="宋体" w:hAnsi="宋体" w:cs="宋体"/>
          <w:color w:val="auto"/>
          <w:szCs w:val="21"/>
        </w:rPr>
      </w:pPr>
      <w:r>
        <w:rPr>
          <w:rFonts w:hint="eastAsia" w:ascii="宋体" w:hAnsi="宋体" w:cs="宋体"/>
          <w:color w:val="auto"/>
          <w:szCs w:val="21"/>
        </w:rPr>
        <w:t>发包人不按照本项约定组织竣工验收、颁发工程接收证书的违约金的计算方法：</w:t>
      </w:r>
      <w:r>
        <w:rPr>
          <w:rFonts w:hint="eastAsia" w:ascii="宋体" w:hAnsi="宋体" w:cs="宋体"/>
          <w:color w:val="auto"/>
          <w:szCs w:val="21"/>
          <w:u w:val="thick"/>
        </w:rPr>
        <w:t>无</w:t>
      </w:r>
      <w:r>
        <w:rPr>
          <w:rFonts w:hint="eastAsia" w:ascii="宋体" w:hAnsi="宋体" w:cs="宋体"/>
          <w:color w:val="auto"/>
          <w:szCs w:val="21"/>
        </w:rPr>
        <w:t>。</w:t>
      </w:r>
    </w:p>
    <w:bookmarkEnd w:id="713"/>
    <w:p w14:paraId="1F6E3BED">
      <w:pPr>
        <w:spacing w:line="360" w:lineRule="auto"/>
        <w:rPr>
          <w:rFonts w:ascii="宋体" w:hAnsi="宋体" w:cs="宋体"/>
          <w:color w:val="auto"/>
          <w:szCs w:val="21"/>
        </w:rPr>
      </w:pPr>
      <w:r>
        <w:rPr>
          <w:rFonts w:hint="eastAsia" w:ascii="宋体" w:hAnsi="宋体" w:cs="宋体"/>
          <w:color w:val="auto"/>
          <w:szCs w:val="21"/>
        </w:rPr>
        <w:t>13.2.5移交、接收全部与部分工程</w:t>
      </w:r>
    </w:p>
    <w:bookmarkEnd w:id="714"/>
    <w:p w14:paraId="06207D5F">
      <w:pPr>
        <w:spacing w:line="360" w:lineRule="auto"/>
        <w:rPr>
          <w:rFonts w:ascii="宋体" w:hAnsi="宋体" w:cs="宋体"/>
          <w:color w:val="auto"/>
          <w:szCs w:val="21"/>
        </w:rPr>
      </w:pPr>
      <w:r>
        <w:rPr>
          <w:rFonts w:hint="eastAsia" w:ascii="宋体" w:hAnsi="宋体" w:cs="宋体"/>
          <w:color w:val="auto"/>
          <w:szCs w:val="21"/>
        </w:rPr>
        <w:t>承包人向发包人移交工程的期限：</w:t>
      </w:r>
      <w:r>
        <w:rPr>
          <w:rFonts w:hint="eastAsia" w:ascii="宋体" w:hAnsi="宋体" w:cs="宋体"/>
          <w:color w:val="auto"/>
          <w:szCs w:val="21"/>
          <w:u w:val="thick"/>
        </w:rPr>
        <w:t>工程竣工验收合格后7天内完成移交</w:t>
      </w:r>
      <w:r>
        <w:rPr>
          <w:rFonts w:hint="eastAsia" w:ascii="宋体" w:hAnsi="宋体" w:cs="宋体"/>
          <w:color w:val="auto"/>
          <w:szCs w:val="21"/>
        </w:rPr>
        <w:t>。</w:t>
      </w:r>
    </w:p>
    <w:p w14:paraId="2893F4F6">
      <w:pPr>
        <w:spacing w:line="360" w:lineRule="auto"/>
        <w:rPr>
          <w:rFonts w:ascii="宋体" w:hAnsi="宋体" w:cs="宋体"/>
          <w:color w:val="auto"/>
          <w:szCs w:val="21"/>
        </w:rPr>
      </w:pPr>
      <w:r>
        <w:rPr>
          <w:rFonts w:hint="eastAsia" w:ascii="宋体" w:hAnsi="宋体" w:cs="宋体"/>
          <w:color w:val="auto"/>
          <w:szCs w:val="21"/>
        </w:rPr>
        <w:t>发包人未按本合同约定接收全部或部分工程的，违约金的计算方法为：</w:t>
      </w:r>
      <w:r>
        <w:rPr>
          <w:rFonts w:hint="eastAsia" w:ascii="宋体" w:hAnsi="宋体" w:cs="宋体"/>
          <w:color w:val="auto"/>
          <w:szCs w:val="21"/>
          <w:u w:val="thick"/>
        </w:rPr>
        <w:t xml:space="preserve">   /   </w:t>
      </w:r>
      <w:r>
        <w:rPr>
          <w:rFonts w:hint="eastAsia" w:ascii="宋体" w:hAnsi="宋体" w:cs="宋体"/>
          <w:color w:val="auto"/>
          <w:szCs w:val="21"/>
        </w:rPr>
        <w:t>。</w:t>
      </w:r>
    </w:p>
    <w:bookmarkEnd w:id="715"/>
    <w:p w14:paraId="16E19636">
      <w:pPr>
        <w:spacing w:line="360" w:lineRule="auto"/>
        <w:rPr>
          <w:rFonts w:ascii="宋体" w:hAnsi="宋体" w:cs="宋体"/>
          <w:color w:val="auto"/>
          <w:szCs w:val="21"/>
        </w:rPr>
      </w:pPr>
      <w:r>
        <w:rPr>
          <w:rFonts w:hint="eastAsia" w:ascii="宋体" w:hAnsi="宋体" w:cs="宋体"/>
          <w:color w:val="auto"/>
          <w:szCs w:val="21"/>
        </w:rPr>
        <w:t>承包人未按时移交工程的，违约金的计算方法为：</w:t>
      </w:r>
      <w:r>
        <w:rPr>
          <w:rFonts w:hint="eastAsia" w:ascii="宋体" w:hAnsi="宋体" w:cs="宋体"/>
          <w:color w:val="auto"/>
          <w:szCs w:val="21"/>
          <w:u w:val="thick"/>
        </w:rPr>
        <w:t xml:space="preserve">   /   </w:t>
      </w:r>
      <w:r>
        <w:rPr>
          <w:rFonts w:hint="eastAsia" w:ascii="宋体" w:hAnsi="宋体" w:cs="宋体"/>
          <w:color w:val="auto"/>
          <w:szCs w:val="21"/>
        </w:rPr>
        <w:t>。</w:t>
      </w:r>
    </w:p>
    <w:p w14:paraId="1F577143">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13.3 工程试车</w:t>
      </w:r>
    </w:p>
    <w:bookmarkEnd w:id="716"/>
    <w:p w14:paraId="0D576532">
      <w:pPr>
        <w:spacing w:line="360" w:lineRule="auto"/>
        <w:rPr>
          <w:rFonts w:ascii="宋体" w:hAnsi="宋体" w:cs="宋体"/>
          <w:color w:val="auto"/>
          <w:szCs w:val="21"/>
        </w:rPr>
      </w:pPr>
      <w:r>
        <w:rPr>
          <w:rFonts w:hint="eastAsia" w:ascii="宋体" w:hAnsi="宋体" w:cs="宋体"/>
          <w:color w:val="auto"/>
          <w:szCs w:val="21"/>
        </w:rPr>
        <w:t>13.3.1 试车程序</w:t>
      </w:r>
    </w:p>
    <w:p w14:paraId="6EB61E65">
      <w:pPr>
        <w:spacing w:line="360" w:lineRule="auto"/>
        <w:rPr>
          <w:rFonts w:ascii="宋体" w:hAnsi="宋体" w:cs="宋体"/>
          <w:color w:val="auto"/>
          <w:szCs w:val="21"/>
        </w:rPr>
      </w:pPr>
      <w:r>
        <w:rPr>
          <w:rFonts w:hint="eastAsia" w:ascii="宋体" w:hAnsi="宋体" w:cs="宋体"/>
          <w:color w:val="auto"/>
          <w:szCs w:val="21"/>
        </w:rPr>
        <w:t>工程试车内容：</w:t>
      </w:r>
      <w:r>
        <w:rPr>
          <w:rFonts w:hint="eastAsia" w:ascii="宋体" w:hAnsi="宋体" w:cs="宋体"/>
          <w:color w:val="auto"/>
          <w:szCs w:val="21"/>
          <w:u w:val="thick"/>
        </w:rPr>
        <w:t>执行通用合同条款</w:t>
      </w:r>
      <w:r>
        <w:rPr>
          <w:rFonts w:hint="eastAsia" w:ascii="宋体" w:hAnsi="宋体" w:cs="宋体"/>
          <w:color w:val="auto"/>
          <w:szCs w:val="21"/>
        </w:rPr>
        <w:t>。</w:t>
      </w:r>
    </w:p>
    <w:p w14:paraId="6E62ABFA">
      <w:pPr>
        <w:spacing w:line="360" w:lineRule="auto"/>
        <w:rPr>
          <w:rFonts w:ascii="宋体" w:hAnsi="宋体" w:cs="宋体"/>
          <w:color w:val="auto"/>
          <w:szCs w:val="21"/>
        </w:rPr>
      </w:pPr>
      <w:r>
        <w:rPr>
          <w:rFonts w:hint="eastAsia" w:ascii="宋体" w:hAnsi="宋体" w:cs="宋体"/>
          <w:color w:val="auto"/>
          <w:szCs w:val="21"/>
        </w:rPr>
        <w:t>(1)单机无负荷试车费用由</w:t>
      </w:r>
      <w:r>
        <w:rPr>
          <w:rFonts w:hint="eastAsia" w:ascii="宋体" w:hAnsi="宋体" w:cs="宋体"/>
          <w:color w:val="auto"/>
          <w:szCs w:val="21"/>
          <w:u w:val="thick"/>
        </w:rPr>
        <w:t>承包人</w:t>
      </w:r>
      <w:r>
        <w:rPr>
          <w:rFonts w:hint="eastAsia" w:ascii="宋体" w:hAnsi="宋体" w:cs="宋体"/>
          <w:color w:val="auto"/>
          <w:szCs w:val="21"/>
        </w:rPr>
        <w:t>承担；</w:t>
      </w:r>
    </w:p>
    <w:p w14:paraId="4B517C15">
      <w:pPr>
        <w:spacing w:line="360" w:lineRule="auto"/>
        <w:rPr>
          <w:rFonts w:ascii="宋体" w:hAnsi="宋体" w:cs="宋体"/>
          <w:color w:val="auto"/>
          <w:szCs w:val="21"/>
        </w:rPr>
      </w:pPr>
      <w:r>
        <w:rPr>
          <w:rFonts w:hint="eastAsia" w:ascii="宋体" w:hAnsi="宋体" w:cs="宋体"/>
          <w:color w:val="auto"/>
          <w:szCs w:val="21"/>
        </w:rPr>
        <w:t>(2)无负荷联动试车费用由</w:t>
      </w:r>
      <w:r>
        <w:rPr>
          <w:rFonts w:hint="eastAsia" w:ascii="宋体" w:hAnsi="宋体" w:cs="宋体"/>
          <w:color w:val="auto"/>
          <w:szCs w:val="21"/>
          <w:u w:val="thick"/>
        </w:rPr>
        <w:t>承包人</w:t>
      </w:r>
      <w:r>
        <w:rPr>
          <w:rFonts w:hint="eastAsia" w:ascii="宋体" w:hAnsi="宋体" w:cs="宋体"/>
          <w:color w:val="auto"/>
          <w:szCs w:val="21"/>
        </w:rPr>
        <w:t>承担。</w:t>
      </w:r>
    </w:p>
    <w:p w14:paraId="38A7CACD">
      <w:pPr>
        <w:spacing w:line="360" w:lineRule="auto"/>
        <w:rPr>
          <w:rFonts w:ascii="宋体" w:hAnsi="宋体" w:cs="宋体"/>
          <w:color w:val="auto"/>
          <w:szCs w:val="21"/>
        </w:rPr>
      </w:pPr>
      <w:r>
        <w:rPr>
          <w:rFonts w:hint="eastAsia" w:ascii="宋体" w:hAnsi="宋体" w:cs="宋体"/>
          <w:color w:val="auto"/>
          <w:szCs w:val="21"/>
        </w:rPr>
        <w:t>13.3.3 投料试车</w:t>
      </w:r>
    </w:p>
    <w:p w14:paraId="2827BE79">
      <w:pPr>
        <w:spacing w:line="360" w:lineRule="auto"/>
        <w:rPr>
          <w:rFonts w:ascii="宋体" w:hAnsi="宋体" w:cs="宋体"/>
          <w:color w:val="auto"/>
          <w:szCs w:val="21"/>
        </w:rPr>
      </w:pPr>
      <w:r>
        <w:rPr>
          <w:rFonts w:hint="eastAsia" w:ascii="宋体" w:hAnsi="宋体" w:cs="宋体"/>
          <w:color w:val="auto"/>
          <w:szCs w:val="21"/>
        </w:rPr>
        <w:t>关于投料试车相关事项的约定：</w:t>
      </w:r>
      <w:r>
        <w:rPr>
          <w:rFonts w:hint="eastAsia" w:ascii="宋体" w:hAnsi="宋体" w:cs="宋体"/>
          <w:color w:val="auto"/>
          <w:szCs w:val="21"/>
          <w:u w:val="thick"/>
        </w:rPr>
        <w:t xml:space="preserve">   /   </w:t>
      </w:r>
      <w:r>
        <w:rPr>
          <w:rFonts w:hint="eastAsia" w:ascii="宋体" w:hAnsi="宋体" w:cs="宋体"/>
          <w:color w:val="auto"/>
          <w:szCs w:val="21"/>
        </w:rPr>
        <w:t>。</w:t>
      </w:r>
    </w:p>
    <w:p w14:paraId="273539E4">
      <w:pPr>
        <w:spacing w:line="360" w:lineRule="auto"/>
        <w:rPr>
          <w:rFonts w:ascii="宋体" w:hAnsi="宋体" w:cs="宋体"/>
          <w:color w:val="auto"/>
          <w:szCs w:val="21"/>
        </w:rPr>
      </w:pPr>
      <w:r>
        <w:rPr>
          <w:rFonts w:hint="eastAsia" w:ascii="宋体" w:hAnsi="宋体" w:cs="宋体"/>
          <w:color w:val="auto"/>
          <w:szCs w:val="21"/>
        </w:rPr>
        <w:t>13.6 竣工退场</w:t>
      </w:r>
    </w:p>
    <w:p w14:paraId="59ABA3E7">
      <w:pPr>
        <w:spacing w:line="360" w:lineRule="auto"/>
        <w:rPr>
          <w:rFonts w:ascii="宋体" w:hAnsi="宋体" w:cs="宋体"/>
          <w:color w:val="auto"/>
          <w:szCs w:val="21"/>
        </w:rPr>
      </w:pPr>
      <w:r>
        <w:rPr>
          <w:rFonts w:hint="eastAsia" w:ascii="宋体" w:hAnsi="宋体" w:cs="宋体"/>
          <w:color w:val="auto"/>
          <w:szCs w:val="21"/>
        </w:rPr>
        <w:t>13.6.1 竣工退场</w:t>
      </w:r>
    </w:p>
    <w:p w14:paraId="17D83426">
      <w:pPr>
        <w:spacing w:line="360" w:lineRule="auto"/>
        <w:rPr>
          <w:rFonts w:ascii="宋体" w:hAnsi="宋体" w:cs="宋体"/>
          <w:color w:val="auto"/>
          <w:szCs w:val="21"/>
        </w:rPr>
      </w:pPr>
      <w:r>
        <w:rPr>
          <w:rFonts w:hint="eastAsia" w:ascii="宋体" w:hAnsi="宋体" w:cs="宋体"/>
          <w:color w:val="auto"/>
          <w:szCs w:val="21"/>
        </w:rPr>
        <w:t>承包人完成竣工退场的期限：</w:t>
      </w:r>
      <w:r>
        <w:rPr>
          <w:rFonts w:hint="eastAsia" w:ascii="宋体" w:hAnsi="宋体" w:cs="宋体"/>
          <w:color w:val="auto"/>
          <w:szCs w:val="21"/>
          <w:u w:val="thick"/>
        </w:rPr>
        <w:t>工程交接后7日内</w:t>
      </w:r>
      <w:r>
        <w:rPr>
          <w:rFonts w:hint="eastAsia" w:ascii="宋体" w:hAnsi="宋体" w:cs="宋体"/>
          <w:color w:val="auto"/>
          <w:szCs w:val="21"/>
        </w:rPr>
        <w:t>。</w:t>
      </w:r>
    </w:p>
    <w:p w14:paraId="0851476E">
      <w:pPr>
        <w:spacing w:line="360" w:lineRule="auto"/>
        <w:rPr>
          <w:rFonts w:ascii="宋体" w:hAnsi="宋体" w:cs="宋体"/>
          <w:color w:val="auto"/>
          <w:szCs w:val="21"/>
          <w:shd w:val="pct10" w:color="auto" w:fill="FFFFFF"/>
        </w:rPr>
      </w:pPr>
      <w:bookmarkStart w:id="718" w:name="_Toc351203646"/>
      <w:r>
        <w:rPr>
          <w:rFonts w:hint="eastAsia" w:ascii="宋体" w:hAnsi="宋体" w:cs="宋体"/>
          <w:color w:val="auto"/>
          <w:szCs w:val="21"/>
          <w:shd w:val="pct10" w:color="auto" w:fill="FFFFFF"/>
        </w:rPr>
        <w:t>14.竣工结算</w:t>
      </w:r>
      <w:bookmarkEnd w:id="718"/>
    </w:p>
    <w:p w14:paraId="1BE6F08E">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14.1 竣工付款申请</w:t>
      </w:r>
    </w:p>
    <w:p w14:paraId="3EA5C432">
      <w:pPr>
        <w:spacing w:line="360" w:lineRule="auto"/>
        <w:rPr>
          <w:rFonts w:ascii="宋体" w:hAnsi="宋体" w:cs="宋体"/>
          <w:color w:val="auto"/>
          <w:szCs w:val="21"/>
        </w:rPr>
      </w:pPr>
      <w:r>
        <w:rPr>
          <w:rFonts w:hint="eastAsia" w:ascii="宋体" w:hAnsi="宋体" w:cs="宋体"/>
          <w:color w:val="auto"/>
          <w:szCs w:val="21"/>
        </w:rPr>
        <w:t>承包人提交竣工付款申请单的期限：</w:t>
      </w:r>
      <w:r>
        <w:rPr>
          <w:rFonts w:hint="eastAsia" w:ascii="宋体" w:hAnsi="宋体" w:cs="宋体"/>
          <w:color w:val="auto"/>
          <w:szCs w:val="21"/>
          <w:u w:val="thick"/>
        </w:rPr>
        <w:t>竣工验收合格后28天内</w:t>
      </w:r>
      <w:r>
        <w:rPr>
          <w:rFonts w:hint="eastAsia" w:ascii="宋体" w:hAnsi="宋体" w:cs="宋体"/>
          <w:color w:val="auto"/>
          <w:szCs w:val="21"/>
        </w:rPr>
        <w:t>。</w:t>
      </w:r>
    </w:p>
    <w:p w14:paraId="570BF6F7">
      <w:pPr>
        <w:spacing w:line="360" w:lineRule="auto"/>
        <w:rPr>
          <w:rFonts w:ascii="宋体" w:hAnsi="宋体" w:cs="宋体"/>
          <w:color w:val="auto"/>
          <w:szCs w:val="21"/>
        </w:rPr>
      </w:pPr>
      <w:r>
        <w:rPr>
          <w:rFonts w:hint="eastAsia" w:ascii="宋体" w:hAnsi="宋体" w:cs="宋体"/>
          <w:color w:val="auto"/>
          <w:szCs w:val="21"/>
        </w:rPr>
        <w:t>竣工付款申请单应包括的内容：</w:t>
      </w:r>
    </w:p>
    <w:p w14:paraId="4947E5BB">
      <w:pPr>
        <w:spacing w:line="360" w:lineRule="auto"/>
        <w:rPr>
          <w:rFonts w:ascii="宋体" w:hAnsi="宋体" w:cs="宋体"/>
          <w:color w:val="auto"/>
          <w:szCs w:val="21"/>
          <w:u w:val="thick"/>
        </w:rPr>
      </w:pPr>
      <w:r>
        <w:rPr>
          <w:rFonts w:hint="eastAsia" w:ascii="宋体" w:hAnsi="宋体" w:cs="宋体"/>
          <w:color w:val="auto"/>
          <w:szCs w:val="21"/>
          <w:u w:val="thick"/>
        </w:rPr>
        <w:t>①竣工结算资料</w:t>
      </w:r>
      <w:r>
        <w:rPr>
          <w:rFonts w:hint="eastAsia" w:ascii="宋体" w:hAnsi="宋体" w:cs="宋体"/>
          <w:color w:val="auto"/>
          <w:szCs w:val="21"/>
        </w:rPr>
        <w:t>；</w:t>
      </w:r>
    </w:p>
    <w:p w14:paraId="695F15C6">
      <w:pPr>
        <w:spacing w:line="360" w:lineRule="auto"/>
        <w:rPr>
          <w:rFonts w:ascii="宋体" w:hAnsi="宋体" w:cs="宋体"/>
          <w:color w:val="auto"/>
          <w:szCs w:val="21"/>
          <w:u w:val="thick"/>
        </w:rPr>
      </w:pPr>
      <w:r>
        <w:rPr>
          <w:rFonts w:hint="eastAsia" w:ascii="宋体" w:hAnsi="宋体" w:cs="宋体"/>
          <w:color w:val="auto"/>
          <w:szCs w:val="21"/>
          <w:u w:val="thick"/>
        </w:rPr>
        <w:t>②已支付承包人的款项</w:t>
      </w:r>
      <w:r>
        <w:rPr>
          <w:rFonts w:hint="eastAsia" w:ascii="宋体" w:hAnsi="宋体" w:cs="宋体"/>
          <w:color w:val="auto"/>
          <w:szCs w:val="21"/>
        </w:rPr>
        <w:t>；</w:t>
      </w:r>
    </w:p>
    <w:p w14:paraId="4CD94E62">
      <w:pPr>
        <w:spacing w:line="360" w:lineRule="auto"/>
        <w:rPr>
          <w:rFonts w:ascii="宋体" w:hAnsi="宋体" w:cs="宋体"/>
          <w:color w:val="auto"/>
          <w:szCs w:val="21"/>
          <w:u w:val="thick"/>
        </w:rPr>
      </w:pPr>
      <w:r>
        <w:rPr>
          <w:rFonts w:hint="eastAsia" w:ascii="宋体" w:hAnsi="宋体" w:cs="宋体"/>
          <w:color w:val="auto"/>
          <w:szCs w:val="21"/>
          <w:u w:val="thick"/>
        </w:rPr>
        <w:t>③应扣留质保金</w:t>
      </w:r>
      <w:r>
        <w:rPr>
          <w:rFonts w:hint="eastAsia" w:ascii="宋体" w:hAnsi="宋体" w:cs="宋体"/>
          <w:color w:val="auto"/>
          <w:szCs w:val="21"/>
        </w:rPr>
        <w:t>；</w:t>
      </w:r>
    </w:p>
    <w:p w14:paraId="056B8C06">
      <w:pPr>
        <w:spacing w:line="360" w:lineRule="auto"/>
        <w:rPr>
          <w:rFonts w:ascii="宋体" w:hAnsi="宋体" w:cs="宋体"/>
          <w:color w:val="auto"/>
          <w:szCs w:val="21"/>
          <w:u w:val="thick"/>
        </w:rPr>
      </w:pPr>
      <w:r>
        <w:rPr>
          <w:rFonts w:hint="eastAsia" w:ascii="宋体" w:hAnsi="宋体" w:cs="宋体"/>
          <w:color w:val="auto"/>
          <w:szCs w:val="21"/>
          <w:u w:val="thick"/>
        </w:rPr>
        <w:t>④奖励、处罚及索赔款数额</w:t>
      </w:r>
      <w:r>
        <w:rPr>
          <w:rFonts w:hint="eastAsia" w:ascii="宋体" w:hAnsi="宋体" w:cs="宋体"/>
          <w:color w:val="auto"/>
          <w:szCs w:val="21"/>
        </w:rPr>
        <w:t>；</w:t>
      </w:r>
    </w:p>
    <w:p w14:paraId="60AE1DC5">
      <w:pPr>
        <w:spacing w:line="360" w:lineRule="auto"/>
        <w:rPr>
          <w:rFonts w:ascii="宋体" w:hAnsi="宋体" w:cs="宋体"/>
          <w:color w:val="auto"/>
          <w:szCs w:val="21"/>
          <w:u w:val="thick"/>
        </w:rPr>
      </w:pPr>
      <w:r>
        <w:rPr>
          <w:rFonts w:hint="eastAsia" w:ascii="宋体" w:hAnsi="宋体" w:cs="宋体"/>
          <w:color w:val="auto"/>
          <w:szCs w:val="21"/>
          <w:u w:val="thick"/>
        </w:rPr>
        <w:t>⑤应支付承包人的价款</w:t>
      </w:r>
      <w:r>
        <w:rPr>
          <w:rFonts w:hint="eastAsia" w:ascii="宋体" w:hAnsi="宋体" w:cs="宋体"/>
          <w:color w:val="auto"/>
          <w:szCs w:val="21"/>
        </w:rPr>
        <w:t>。</w:t>
      </w:r>
    </w:p>
    <w:p w14:paraId="1C33310A">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14.2 竣工结算审核</w:t>
      </w:r>
    </w:p>
    <w:p w14:paraId="497D7DB3">
      <w:pPr>
        <w:spacing w:line="360" w:lineRule="auto"/>
        <w:rPr>
          <w:rFonts w:ascii="宋体" w:hAnsi="宋体" w:cs="宋体"/>
          <w:color w:val="auto"/>
          <w:szCs w:val="21"/>
        </w:rPr>
      </w:pPr>
      <w:r>
        <w:rPr>
          <w:rFonts w:hint="eastAsia" w:ascii="宋体" w:hAnsi="宋体" w:cs="宋体"/>
          <w:color w:val="auto"/>
          <w:szCs w:val="21"/>
        </w:rPr>
        <w:t>发包人审批竣工付款申请单的期限：</w:t>
      </w:r>
      <w:r>
        <w:rPr>
          <w:rFonts w:hint="eastAsia" w:ascii="宋体" w:hAnsi="宋体" w:cs="宋体"/>
          <w:color w:val="auto"/>
          <w:szCs w:val="21"/>
          <w:u w:val="thick"/>
        </w:rPr>
        <w:t>发包人在收到竣工结算申请单后56天内完成审批，由发包人签发竣工付款证书</w:t>
      </w:r>
      <w:r>
        <w:rPr>
          <w:rFonts w:hint="eastAsia" w:ascii="宋体" w:hAnsi="宋体" w:cs="宋体"/>
          <w:color w:val="auto"/>
          <w:szCs w:val="21"/>
        </w:rPr>
        <w:t>。</w:t>
      </w:r>
    </w:p>
    <w:p w14:paraId="4C11B1C2">
      <w:pPr>
        <w:spacing w:line="360" w:lineRule="auto"/>
        <w:rPr>
          <w:rFonts w:ascii="宋体" w:hAnsi="宋体" w:cs="宋体"/>
          <w:color w:val="auto"/>
          <w:szCs w:val="21"/>
        </w:rPr>
      </w:pPr>
      <w:r>
        <w:rPr>
          <w:rFonts w:hint="eastAsia" w:ascii="宋体" w:hAnsi="宋体" w:cs="宋体"/>
          <w:color w:val="auto"/>
          <w:szCs w:val="21"/>
        </w:rPr>
        <w:t>发包人完成竣工付款的期限：</w:t>
      </w:r>
      <w:r>
        <w:rPr>
          <w:rFonts w:hint="eastAsia" w:ascii="宋体" w:hAnsi="宋体" w:cs="宋体"/>
          <w:color w:val="auto"/>
          <w:szCs w:val="21"/>
          <w:u w:val="thick"/>
        </w:rPr>
        <w:t>发包人在签发竣工付款证书后14天内完成竣工付款</w:t>
      </w:r>
      <w:r>
        <w:rPr>
          <w:rFonts w:hint="eastAsia" w:ascii="宋体" w:hAnsi="宋体" w:cs="宋体"/>
          <w:color w:val="auto"/>
          <w:szCs w:val="21"/>
        </w:rPr>
        <w:t>。</w:t>
      </w:r>
    </w:p>
    <w:p w14:paraId="493C65DC">
      <w:pPr>
        <w:spacing w:line="360" w:lineRule="auto"/>
        <w:rPr>
          <w:rFonts w:ascii="宋体" w:hAnsi="宋体" w:cs="宋体"/>
          <w:color w:val="auto"/>
          <w:szCs w:val="21"/>
        </w:rPr>
      </w:pPr>
      <w:r>
        <w:rPr>
          <w:rFonts w:hint="eastAsia" w:ascii="宋体" w:hAnsi="宋体" w:cs="宋体"/>
          <w:color w:val="auto"/>
          <w:szCs w:val="21"/>
        </w:rPr>
        <w:t>关于竣工付款证书异议部分复核的方式和程序：</w:t>
      </w:r>
      <w:r>
        <w:rPr>
          <w:rFonts w:hint="eastAsia" w:ascii="宋体" w:hAnsi="宋体" w:cs="宋体"/>
          <w:color w:val="auto"/>
          <w:szCs w:val="21"/>
          <w:u w:val="thick"/>
        </w:rPr>
        <w:t>承包人应在收到发包人签认的竣工付款证书后7天内对于有异议的部分提出异议，按照本合同通用条款第20条(争议解决)处理</w:t>
      </w:r>
      <w:r>
        <w:rPr>
          <w:rFonts w:hint="eastAsia" w:ascii="宋体" w:hAnsi="宋体" w:cs="宋体"/>
          <w:color w:val="auto"/>
          <w:szCs w:val="21"/>
        </w:rPr>
        <w:t>。</w:t>
      </w:r>
    </w:p>
    <w:p w14:paraId="4F45A602">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14.4 最终结清</w:t>
      </w:r>
    </w:p>
    <w:p w14:paraId="77585A7D">
      <w:pPr>
        <w:spacing w:line="360" w:lineRule="auto"/>
        <w:rPr>
          <w:rFonts w:ascii="宋体" w:hAnsi="宋体" w:cs="宋体"/>
          <w:color w:val="auto"/>
          <w:szCs w:val="21"/>
        </w:rPr>
      </w:pPr>
      <w:r>
        <w:rPr>
          <w:rFonts w:hint="eastAsia" w:ascii="宋体" w:hAnsi="宋体" w:cs="宋体"/>
          <w:color w:val="auto"/>
          <w:szCs w:val="21"/>
        </w:rPr>
        <w:t>14.4.1 最终结清申请单</w:t>
      </w:r>
    </w:p>
    <w:p w14:paraId="08773394">
      <w:pPr>
        <w:spacing w:line="360" w:lineRule="auto"/>
        <w:rPr>
          <w:rFonts w:ascii="宋体" w:hAnsi="宋体" w:cs="宋体"/>
          <w:color w:val="auto"/>
          <w:szCs w:val="21"/>
        </w:rPr>
      </w:pPr>
      <w:r>
        <w:rPr>
          <w:rFonts w:hint="eastAsia" w:ascii="宋体" w:hAnsi="宋体" w:cs="宋体"/>
          <w:color w:val="auto"/>
          <w:szCs w:val="21"/>
        </w:rPr>
        <w:t>承包人提交最终结清申请单的份数：</w:t>
      </w:r>
      <w:r>
        <w:rPr>
          <w:rFonts w:hint="eastAsia" w:ascii="宋体" w:hAnsi="宋体" w:cs="宋体"/>
          <w:color w:val="auto"/>
          <w:szCs w:val="21"/>
          <w:u w:val="thick"/>
        </w:rPr>
        <w:t xml:space="preserve">   4份    </w:t>
      </w:r>
      <w:r>
        <w:rPr>
          <w:rFonts w:hint="eastAsia" w:ascii="宋体" w:hAnsi="宋体" w:cs="宋体"/>
          <w:color w:val="auto"/>
          <w:szCs w:val="21"/>
        </w:rPr>
        <w:t>。</w:t>
      </w:r>
    </w:p>
    <w:p w14:paraId="1A535585">
      <w:pPr>
        <w:spacing w:line="360" w:lineRule="auto"/>
        <w:rPr>
          <w:rFonts w:ascii="宋体" w:hAnsi="宋体" w:cs="宋体"/>
          <w:color w:val="auto"/>
          <w:szCs w:val="21"/>
        </w:rPr>
      </w:pPr>
      <w:r>
        <w:rPr>
          <w:rFonts w:hint="eastAsia" w:ascii="宋体" w:hAnsi="宋体" w:cs="宋体"/>
          <w:color w:val="auto"/>
          <w:szCs w:val="21"/>
        </w:rPr>
        <w:t>承包人提交最终结算申请单的期限：</w:t>
      </w:r>
      <w:r>
        <w:rPr>
          <w:rFonts w:hint="eastAsia" w:ascii="宋体" w:hAnsi="宋体" w:cs="宋体"/>
          <w:color w:val="auto"/>
          <w:szCs w:val="21"/>
          <w:u w:val="thick"/>
        </w:rPr>
        <w:t>缺陷责任期终止证书颁发7天内提交；即提出该申请的前提是：缺陷责任终止</w:t>
      </w:r>
      <w:r>
        <w:rPr>
          <w:rFonts w:hint="eastAsia" w:ascii="宋体" w:hAnsi="宋体" w:cs="宋体"/>
          <w:color w:val="auto"/>
          <w:szCs w:val="21"/>
        </w:rPr>
        <w:t xml:space="preserve">。 </w:t>
      </w:r>
    </w:p>
    <w:p w14:paraId="21BF582A">
      <w:pPr>
        <w:spacing w:line="360" w:lineRule="auto"/>
        <w:rPr>
          <w:rFonts w:ascii="宋体" w:hAnsi="宋体" w:cs="宋体"/>
          <w:color w:val="auto"/>
          <w:szCs w:val="21"/>
        </w:rPr>
      </w:pPr>
      <w:r>
        <w:rPr>
          <w:rFonts w:hint="eastAsia" w:ascii="宋体" w:hAnsi="宋体" w:cs="宋体"/>
          <w:color w:val="auto"/>
          <w:szCs w:val="21"/>
        </w:rPr>
        <w:t>14.4.2 最终结清证书和支付</w:t>
      </w:r>
    </w:p>
    <w:p w14:paraId="1F0F520D">
      <w:pPr>
        <w:spacing w:line="360" w:lineRule="auto"/>
        <w:rPr>
          <w:rFonts w:ascii="宋体" w:hAnsi="宋体" w:cs="宋体"/>
          <w:color w:val="auto"/>
          <w:szCs w:val="21"/>
        </w:rPr>
      </w:pPr>
      <w:r>
        <w:rPr>
          <w:rFonts w:hint="eastAsia" w:ascii="宋体" w:hAnsi="宋体" w:cs="宋体"/>
          <w:color w:val="auto"/>
          <w:szCs w:val="21"/>
        </w:rPr>
        <w:t>(1)发包人完成最终结清申请单的审批并颁发最终结清证书的期限：</w:t>
      </w:r>
      <w:r>
        <w:rPr>
          <w:rFonts w:hint="eastAsia" w:ascii="宋体" w:hAnsi="宋体" w:cs="宋体"/>
          <w:color w:val="auto"/>
          <w:szCs w:val="21"/>
          <w:u w:val="thick"/>
        </w:rPr>
        <w:t>收到提交申请后14天内审完并颁发证书</w:t>
      </w:r>
      <w:r>
        <w:rPr>
          <w:rFonts w:hint="eastAsia" w:ascii="宋体" w:hAnsi="宋体" w:cs="宋体"/>
          <w:color w:val="auto"/>
          <w:szCs w:val="21"/>
        </w:rPr>
        <w:t>。</w:t>
      </w:r>
    </w:p>
    <w:p w14:paraId="6AC2AA07">
      <w:pPr>
        <w:spacing w:line="360" w:lineRule="auto"/>
        <w:rPr>
          <w:rFonts w:ascii="宋体" w:hAnsi="宋体" w:cs="宋体"/>
          <w:color w:val="auto"/>
          <w:szCs w:val="21"/>
        </w:rPr>
      </w:pPr>
      <w:r>
        <w:rPr>
          <w:rFonts w:hint="eastAsia" w:ascii="宋体" w:hAnsi="宋体" w:cs="宋体"/>
          <w:color w:val="auto"/>
          <w:szCs w:val="21"/>
        </w:rPr>
        <w:t>(2)发包人完成支付的期限：</w:t>
      </w:r>
      <w:r>
        <w:rPr>
          <w:rFonts w:hint="eastAsia" w:ascii="宋体" w:hAnsi="宋体" w:cs="宋体"/>
          <w:color w:val="auto"/>
          <w:szCs w:val="21"/>
          <w:u w:val="thick"/>
        </w:rPr>
        <w:t>发证后7天内付完；如14天未完审批且未提异议视为认可，自第十五天起视未为已发结清证书</w:t>
      </w:r>
      <w:r>
        <w:rPr>
          <w:rFonts w:hint="eastAsia" w:ascii="宋体" w:hAnsi="宋体" w:cs="宋体"/>
          <w:color w:val="auto"/>
          <w:szCs w:val="21"/>
        </w:rPr>
        <w:t>。</w:t>
      </w:r>
    </w:p>
    <w:bookmarkEnd w:id="705"/>
    <w:bookmarkEnd w:id="706"/>
    <w:bookmarkEnd w:id="707"/>
    <w:bookmarkEnd w:id="708"/>
    <w:bookmarkEnd w:id="709"/>
    <w:bookmarkEnd w:id="710"/>
    <w:bookmarkEnd w:id="711"/>
    <w:bookmarkEnd w:id="717"/>
    <w:p w14:paraId="15CF99CC">
      <w:pPr>
        <w:spacing w:line="360" w:lineRule="auto"/>
        <w:rPr>
          <w:rFonts w:ascii="宋体" w:hAnsi="宋体" w:cs="宋体"/>
          <w:color w:val="auto"/>
          <w:szCs w:val="21"/>
          <w:shd w:val="pct10" w:color="auto" w:fill="FFFFFF"/>
        </w:rPr>
      </w:pPr>
      <w:bookmarkStart w:id="719" w:name="_Toc351203647"/>
      <w:bookmarkStart w:id="720" w:name="_Toc267251483"/>
      <w:bookmarkStart w:id="721" w:name="_Toc267251484"/>
      <w:bookmarkStart w:id="722" w:name="_Toc267251482"/>
      <w:bookmarkStart w:id="723" w:name="_Toc267251485"/>
      <w:bookmarkStart w:id="724" w:name="_Toc267251488"/>
      <w:bookmarkStart w:id="725" w:name="_Toc267251486"/>
      <w:bookmarkStart w:id="726" w:name="_Toc267251490"/>
      <w:bookmarkStart w:id="727" w:name="_Toc267251489"/>
      <w:bookmarkStart w:id="728" w:name="_Toc267251492"/>
      <w:bookmarkStart w:id="729" w:name="_Toc267251501"/>
      <w:bookmarkStart w:id="730" w:name="_Toc267251498"/>
      <w:bookmarkStart w:id="731" w:name="_Toc267251493"/>
      <w:bookmarkStart w:id="732" w:name="_Toc267251494"/>
      <w:bookmarkStart w:id="733" w:name="_Toc267251491"/>
      <w:bookmarkStart w:id="734" w:name="_Toc267251502"/>
      <w:bookmarkStart w:id="735" w:name="_Toc267251497"/>
      <w:bookmarkStart w:id="736" w:name="_Toc267251499"/>
      <w:bookmarkStart w:id="737" w:name="_Toc267251503"/>
      <w:bookmarkStart w:id="738" w:name="_Toc267251496"/>
      <w:bookmarkStart w:id="739" w:name="_Toc267251495"/>
      <w:bookmarkStart w:id="740" w:name="_Toc267251506"/>
      <w:bookmarkStart w:id="741" w:name="_Toc267251504"/>
      <w:bookmarkStart w:id="742" w:name="_Toc267251507"/>
      <w:bookmarkStart w:id="743" w:name="_Toc267251508"/>
      <w:bookmarkStart w:id="744" w:name="_Toc267251513"/>
      <w:bookmarkStart w:id="745" w:name="_Toc267251509"/>
      <w:bookmarkStart w:id="746" w:name="_Toc267251515"/>
      <w:bookmarkStart w:id="747" w:name="_Toc267251511"/>
      <w:bookmarkStart w:id="748" w:name="_Toc267251510"/>
      <w:bookmarkStart w:id="749" w:name="_Toc267251514"/>
      <w:r>
        <w:rPr>
          <w:rFonts w:hint="eastAsia" w:ascii="宋体" w:hAnsi="宋体" w:cs="宋体"/>
          <w:color w:val="auto"/>
          <w:szCs w:val="21"/>
          <w:shd w:val="pct10" w:color="auto" w:fill="FFFFFF"/>
        </w:rPr>
        <w:t>15.缺陷责任期与保修</w:t>
      </w:r>
      <w:bookmarkEnd w:id="719"/>
    </w:p>
    <w:p w14:paraId="48D9B9E2">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15.2缺陷责任期</w:t>
      </w:r>
      <w:bookmarkEnd w:id="720"/>
    </w:p>
    <w:p w14:paraId="41FBD3BE">
      <w:pPr>
        <w:spacing w:line="360" w:lineRule="auto"/>
        <w:rPr>
          <w:rFonts w:ascii="宋体" w:hAnsi="宋体" w:cs="宋体"/>
          <w:color w:val="auto"/>
          <w:szCs w:val="21"/>
          <w:highlight w:val="none"/>
        </w:rPr>
      </w:pPr>
      <w:r>
        <w:rPr>
          <w:rFonts w:hint="eastAsia" w:ascii="宋体" w:hAnsi="宋体" w:cs="宋体"/>
          <w:color w:val="auto"/>
          <w:szCs w:val="21"/>
        </w:rPr>
        <w:t>缺陷责任期的具</w:t>
      </w:r>
      <w:r>
        <w:rPr>
          <w:rFonts w:hint="eastAsia" w:ascii="宋体" w:hAnsi="宋体" w:cs="宋体"/>
          <w:color w:val="auto"/>
          <w:szCs w:val="21"/>
          <w:highlight w:val="none"/>
        </w:rPr>
        <w:t>体期限</w:t>
      </w:r>
      <w:r>
        <w:rPr>
          <w:rFonts w:hint="eastAsia" w:ascii="宋体" w:hAnsi="宋体" w:cs="宋体"/>
          <w:color w:val="auto"/>
          <w:szCs w:val="21"/>
          <w:highlight w:val="none"/>
          <w:u w:val="thick"/>
        </w:rPr>
        <w:t>：</w:t>
      </w:r>
      <w:r>
        <w:rPr>
          <w:rFonts w:hint="eastAsia" w:ascii="宋体" w:hAnsi="宋体" w:cs="宋体"/>
          <w:color w:val="auto"/>
          <w:szCs w:val="21"/>
          <w:highlight w:val="none"/>
          <w:u w:val="thick"/>
          <w:lang w:val="en-US" w:eastAsia="zh-CN"/>
        </w:rPr>
        <w:t>两年</w:t>
      </w:r>
      <w:r>
        <w:rPr>
          <w:rFonts w:hint="eastAsia" w:ascii="宋体" w:hAnsi="宋体" w:cs="宋体"/>
          <w:color w:val="auto"/>
          <w:szCs w:val="21"/>
          <w:highlight w:val="none"/>
          <w:u w:val="thick"/>
        </w:rPr>
        <w:t xml:space="preserve">  </w:t>
      </w:r>
      <w:r>
        <w:rPr>
          <w:rFonts w:hint="eastAsia" w:ascii="宋体" w:hAnsi="宋体" w:cs="宋体"/>
          <w:color w:val="auto"/>
          <w:szCs w:val="21"/>
          <w:highlight w:val="none"/>
        </w:rPr>
        <w:t>。</w:t>
      </w:r>
    </w:p>
    <w:p w14:paraId="4C2DFACA">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15.3 质量保证金</w:t>
      </w:r>
    </w:p>
    <w:p w14:paraId="3C694562">
      <w:pPr>
        <w:spacing w:line="360" w:lineRule="auto"/>
        <w:rPr>
          <w:rFonts w:ascii="宋体" w:hAnsi="宋体" w:cs="宋体"/>
          <w:color w:val="auto"/>
          <w:szCs w:val="21"/>
        </w:rPr>
      </w:pPr>
      <w:r>
        <w:rPr>
          <w:rFonts w:hint="eastAsia" w:ascii="宋体" w:hAnsi="宋体" w:cs="宋体"/>
          <w:color w:val="auto"/>
          <w:szCs w:val="21"/>
        </w:rPr>
        <w:t>关于是否扣留质量保证金的约定：</w:t>
      </w:r>
      <w:r>
        <w:rPr>
          <w:rFonts w:hint="eastAsia" w:ascii="宋体" w:hAnsi="宋体" w:cs="宋体"/>
          <w:color w:val="auto"/>
          <w:szCs w:val="21"/>
          <w:u w:val="thick"/>
        </w:rPr>
        <w:t xml:space="preserve">   是  </w:t>
      </w:r>
      <w:r>
        <w:rPr>
          <w:rFonts w:hint="eastAsia" w:ascii="宋体" w:hAnsi="宋体" w:cs="宋体"/>
          <w:color w:val="auto"/>
          <w:szCs w:val="21"/>
        </w:rPr>
        <w:t>。</w:t>
      </w:r>
    </w:p>
    <w:p w14:paraId="5956F8F4">
      <w:pPr>
        <w:spacing w:line="360" w:lineRule="auto"/>
        <w:rPr>
          <w:rFonts w:ascii="宋体" w:hAnsi="宋体" w:cs="宋体"/>
          <w:color w:val="auto"/>
          <w:szCs w:val="21"/>
        </w:rPr>
      </w:pPr>
      <w:r>
        <w:rPr>
          <w:rFonts w:hint="eastAsia" w:ascii="宋体" w:hAnsi="宋体" w:cs="宋体"/>
          <w:color w:val="auto"/>
          <w:szCs w:val="21"/>
        </w:rPr>
        <w:t>15.3.1 承包人提供质量保证金的方式</w:t>
      </w:r>
    </w:p>
    <w:p w14:paraId="62D7D7D0">
      <w:pPr>
        <w:spacing w:line="360" w:lineRule="auto"/>
        <w:rPr>
          <w:rFonts w:ascii="宋体" w:hAnsi="宋体" w:cs="宋体"/>
          <w:color w:val="auto"/>
          <w:szCs w:val="21"/>
        </w:rPr>
      </w:pPr>
      <w:r>
        <w:rPr>
          <w:rFonts w:hint="eastAsia" w:ascii="宋体" w:hAnsi="宋体" w:cs="宋体"/>
          <w:color w:val="auto"/>
          <w:szCs w:val="21"/>
        </w:rPr>
        <w:t>质量保证金采用以下第</w:t>
      </w:r>
      <w:r>
        <w:rPr>
          <w:rFonts w:hint="eastAsia" w:ascii="宋体" w:hAnsi="宋体" w:cs="宋体"/>
          <w:color w:val="auto"/>
          <w:szCs w:val="21"/>
          <w:u w:val="thick"/>
        </w:rPr>
        <w:t xml:space="preserve"> (2) </w:t>
      </w:r>
      <w:r>
        <w:rPr>
          <w:rFonts w:hint="eastAsia" w:ascii="宋体" w:hAnsi="宋体" w:cs="宋体"/>
          <w:color w:val="auto"/>
          <w:szCs w:val="21"/>
        </w:rPr>
        <w:t>种方式：</w:t>
      </w:r>
    </w:p>
    <w:p w14:paraId="5C6AD1F7">
      <w:pPr>
        <w:spacing w:line="360" w:lineRule="auto"/>
        <w:rPr>
          <w:rFonts w:ascii="宋体" w:hAnsi="宋体" w:cs="宋体"/>
          <w:color w:val="auto"/>
          <w:szCs w:val="21"/>
        </w:rPr>
      </w:pPr>
      <w:r>
        <w:rPr>
          <w:rFonts w:hint="eastAsia" w:ascii="宋体" w:hAnsi="宋体" w:cs="宋体"/>
          <w:color w:val="auto"/>
          <w:szCs w:val="21"/>
        </w:rPr>
        <w:t>(1)质量保证金保函，保证金额为：</w:t>
      </w:r>
      <w:r>
        <w:rPr>
          <w:rFonts w:hint="eastAsia" w:ascii="宋体" w:hAnsi="宋体" w:cs="宋体"/>
          <w:color w:val="auto"/>
          <w:szCs w:val="21"/>
          <w:u w:val="thick"/>
        </w:rPr>
        <w:t xml:space="preserve">   /   </w:t>
      </w:r>
      <w:r>
        <w:rPr>
          <w:rFonts w:hint="eastAsia" w:ascii="宋体" w:hAnsi="宋体" w:cs="宋体"/>
          <w:color w:val="auto"/>
          <w:szCs w:val="21"/>
        </w:rPr>
        <w:t>；</w:t>
      </w:r>
    </w:p>
    <w:p w14:paraId="09D7861A">
      <w:pPr>
        <w:spacing w:line="360" w:lineRule="auto"/>
        <w:rPr>
          <w:rFonts w:ascii="宋体" w:hAnsi="宋体" w:cs="宋体"/>
          <w:color w:val="auto"/>
          <w:szCs w:val="21"/>
        </w:rPr>
      </w:pPr>
      <w:r>
        <w:rPr>
          <w:rFonts w:hint="eastAsia" w:ascii="宋体" w:hAnsi="宋体" w:cs="宋体"/>
          <w:color w:val="auto"/>
          <w:szCs w:val="21"/>
        </w:rPr>
        <w:t xml:space="preserve">(2) </w:t>
      </w:r>
      <w:r>
        <w:rPr>
          <w:rFonts w:hint="eastAsia" w:ascii="宋体" w:hAnsi="宋体" w:cs="宋体"/>
          <w:color w:val="auto"/>
          <w:szCs w:val="21"/>
          <w:u w:val="thick"/>
        </w:rPr>
        <w:t xml:space="preserve">     </w:t>
      </w:r>
      <w:r>
        <w:rPr>
          <w:rFonts w:hint="eastAsia" w:ascii="宋体" w:hAnsi="宋体" w:cs="宋体"/>
          <w:color w:val="auto"/>
          <w:szCs w:val="21"/>
        </w:rPr>
        <w:t>的工程款；</w:t>
      </w:r>
    </w:p>
    <w:p w14:paraId="515A846A">
      <w:pPr>
        <w:spacing w:line="360" w:lineRule="auto"/>
        <w:rPr>
          <w:rFonts w:ascii="宋体" w:hAnsi="宋体" w:cs="宋体"/>
          <w:color w:val="auto"/>
          <w:szCs w:val="21"/>
        </w:rPr>
      </w:pPr>
      <w:r>
        <w:rPr>
          <w:rFonts w:hint="eastAsia" w:ascii="宋体" w:hAnsi="宋体" w:cs="宋体"/>
          <w:color w:val="auto"/>
          <w:szCs w:val="21"/>
        </w:rPr>
        <w:t>(3)其他方式:</w:t>
      </w:r>
      <w:r>
        <w:rPr>
          <w:rFonts w:hint="eastAsia" w:ascii="宋体" w:hAnsi="宋体" w:cs="宋体"/>
          <w:color w:val="auto"/>
          <w:szCs w:val="21"/>
          <w:u w:val="thick"/>
        </w:rPr>
        <w:t xml:space="preserve">   /   </w:t>
      </w:r>
      <w:r>
        <w:rPr>
          <w:rFonts w:hint="eastAsia" w:ascii="宋体" w:hAnsi="宋体" w:cs="宋体"/>
          <w:color w:val="auto"/>
          <w:szCs w:val="21"/>
        </w:rPr>
        <w:t>。</w:t>
      </w:r>
    </w:p>
    <w:p w14:paraId="7DACB384">
      <w:pPr>
        <w:spacing w:line="360" w:lineRule="auto"/>
        <w:rPr>
          <w:rFonts w:ascii="宋体" w:hAnsi="宋体" w:cs="宋体"/>
          <w:color w:val="auto"/>
          <w:szCs w:val="21"/>
        </w:rPr>
      </w:pPr>
      <w:r>
        <w:rPr>
          <w:rFonts w:hint="eastAsia" w:ascii="宋体" w:hAnsi="宋体" w:cs="宋体"/>
          <w:color w:val="auto"/>
          <w:szCs w:val="21"/>
        </w:rPr>
        <w:t xml:space="preserve">15.3.2 质量保证金的扣留 </w:t>
      </w:r>
    </w:p>
    <w:p w14:paraId="387D816B">
      <w:pPr>
        <w:spacing w:line="360" w:lineRule="auto"/>
        <w:rPr>
          <w:rFonts w:ascii="宋体" w:hAnsi="宋体" w:cs="宋体"/>
          <w:color w:val="auto"/>
          <w:szCs w:val="21"/>
        </w:rPr>
      </w:pPr>
      <w:r>
        <w:rPr>
          <w:rFonts w:hint="eastAsia" w:ascii="宋体" w:hAnsi="宋体" w:cs="宋体"/>
          <w:color w:val="auto"/>
          <w:szCs w:val="21"/>
        </w:rPr>
        <w:t>质量保证金的扣留采取以下第</w:t>
      </w:r>
      <w:r>
        <w:rPr>
          <w:rFonts w:hint="eastAsia" w:ascii="宋体" w:hAnsi="宋体" w:cs="宋体"/>
          <w:color w:val="auto"/>
          <w:szCs w:val="21"/>
          <w:u w:val="thick"/>
        </w:rPr>
        <w:t xml:space="preserve">  (3)   </w:t>
      </w:r>
      <w:r>
        <w:rPr>
          <w:rFonts w:hint="eastAsia" w:ascii="宋体" w:hAnsi="宋体" w:cs="宋体"/>
          <w:color w:val="auto"/>
          <w:szCs w:val="21"/>
        </w:rPr>
        <w:t>种方式：</w:t>
      </w:r>
    </w:p>
    <w:p w14:paraId="5F2D1B21">
      <w:pPr>
        <w:spacing w:line="360" w:lineRule="auto"/>
        <w:rPr>
          <w:rFonts w:ascii="宋体" w:hAnsi="宋体" w:cs="宋体"/>
          <w:color w:val="auto"/>
          <w:szCs w:val="21"/>
        </w:rPr>
      </w:pPr>
      <w:r>
        <w:rPr>
          <w:rFonts w:hint="eastAsia" w:ascii="宋体" w:hAnsi="宋体" w:cs="宋体"/>
          <w:color w:val="auto"/>
          <w:szCs w:val="21"/>
        </w:rPr>
        <w:t>(1)在支付工程进度款时逐次扣留，在此情形下，质量保证金的计算基数不包括预付款的支付、扣回以及价格调整的金额；</w:t>
      </w:r>
    </w:p>
    <w:p w14:paraId="7087BB66">
      <w:pPr>
        <w:spacing w:line="360" w:lineRule="auto"/>
        <w:rPr>
          <w:rFonts w:ascii="宋体" w:hAnsi="宋体" w:cs="宋体"/>
          <w:color w:val="auto"/>
          <w:szCs w:val="21"/>
        </w:rPr>
      </w:pPr>
      <w:r>
        <w:rPr>
          <w:rFonts w:hint="eastAsia" w:ascii="宋体" w:hAnsi="宋体" w:cs="宋体"/>
          <w:color w:val="auto"/>
          <w:szCs w:val="21"/>
        </w:rPr>
        <w:t>(2)工程竣工结算时一次性扣留质量保证金；</w:t>
      </w:r>
    </w:p>
    <w:p w14:paraId="09368659">
      <w:pPr>
        <w:spacing w:line="360" w:lineRule="auto"/>
        <w:rPr>
          <w:rFonts w:ascii="宋体" w:hAnsi="宋体" w:cs="宋体"/>
          <w:color w:val="auto"/>
          <w:szCs w:val="21"/>
        </w:rPr>
      </w:pPr>
      <w:r>
        <w:rPr>
          <w:rFonts w:hint="eastAsia" w:ascii="宋体" w:hAnsi="宋体" w:cs="宋体"/>
          <w:color w:val="auto"/>
          <w:szCs w:val="21"/>
        </w:rPr>
        <w:t>(3)其他扣留方式:</w:t>
      </w:r>
      <w:r>
        <w:rPr>
          <w:rFonts w:hint="eastAsia" w:ascii="宋体" w:hAnsi="宋体" w:cs="宋体"/>
          <w:color w:val="auto"/>
          <w:szCs w:val="21"/>
          <w:u w:val="thick"/>
        </w:rPr>
        <w:t xml:space="preserve"> 审计定案值的3% </w:t>
      </w:r>
      <w:r>
        <w:rPr>
          <w:rFonts w:hint="eastAsia" w:ascii="宋体" w:hAnsi="宋体" w:cs="宋体"/>
          <w:color w:val="auto"/>
          <w:szCs w:val="21"/>
        </w:rPr>
        <w:t>。</w:t>
      </w:r>
    </w:p>
    <w:p w14:paraId="7578A59C">
      <w:pPr>
        <w:spacing w:line="360" w:lineRule="auto"/>
        <w:rPr>
          <w:rFonts w:ascii="宋体" w:hAnsi="宋体" w:cs="宋体"/>
          <w:color w:val="auto"/>
          <w:szCs w:val="21"/>
        </w:rPr>
      </w:pPr>
      <w:r>
        <w:rPr>
          <w:rFonts w:hint="eastAsia" w:ascii="宋体" w:hAnsi="宋体" w:cs="宋体"/>
          <w:color w:val="auto"/>
          <w:szCs w:val="21"/>
        </w:rPr>
        <w:t>关于质量保证金的补充约定：</w:t>
      </w:r>
      <w:r>
        <w:rPr>
          <w:rFonts w:hint="eastAsia" w:ascii="宋体" w:hAnsi="宋体" w:cs="宋体"/>
          <w:color w:val="auto"/>
          <w:szCs w:val="21"/>
          <w:u w:val="thick"/>
        </w:rPr>
        <w:t xml:space="preserve"> 质量保证金不计利息 </w:t>
      </w:r>
      <w:r>
        <w:rPr>
          <w:rFonts w:hint="eastAsia" w:ascii="宋体" w:hAnsi="宋体" w:cs="宋体"/>
          <w:color w:val="auto"/>
          <w:szCs w:val="21"/>
        </w:rPr>
        <w:t>。</w:t>
      </w:r>
    </w:p>
    <w:bookmarkEnd w:id="721"/>
    <w:bookmarkEnd w:id="722"/>
    <w:p w14:paraId="66A80E54">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15.4保修</w:t>
      </w:r>
    </w:p>
    <w:bookmarkEnd w:id="723"/>
    <w:p w14:paraId="0F7764F0">
      <w:pPr>
        <w:spacing w:line="360" w:lineRule="auto"/>
        <w:rPr>
          <w:rFonts w:ascii="宋体" w:hAnsi="宋体" w:cs="宋体"/>
          <w:color w:val="auto"/>
          <w:szCs w:val="21"/>
        </w:rPr>
      </w:pPr>
      <w:r>
        <w:rPr>
          <w:rFonts w:hint="eastAsia" w:ascii="宋体" w:hAnsi="宋体" w:cs="宋体"/>
          <w:color w:val="auto"/>
          <w:szCs w:val="21"/>
        </w:rPr>
        <w:t>15.4.1 保修责任</w:t>
      </w:r>
    </w:p>
    <w:p w14:paraId="3B3AF6B4">
      <w:pPr>
        <w:spacing w:line="360" w:lineRule="auto"/>
        <w:rPr>
          <w:rFonts w:ascii="宋体" w:hAnsi="宋体" w:cs="宋体"/>
          <w:color w:val="auto"/>
          <w:szCs w:val="21"/>
        </w:rPr>
      </w:pPr>
      <w:r>
        <w:rPr>
          <w:rFonts w:hint="eastAsia" w:ascii="宋体" w:hAnsi="宋体" w:cs="宋体"/>
          <w:color w:val="auto"/>
          <w:szCs w:val="21"/>
        </w:rPr>
        <w:t>工程保修期为：</w:t>
      </w:r>
    </w:p>
    <w:p w14:paraId="4AE4D3F2">
      <w:pPr>
        <w:spacing w:line="360" w:lineRule="auto"/>
        <w:rPr>
          <w:rFonts w:ascii="宋体" w:hAnsi="宋体" w:cs="宋体"/>
          <w:color w:val="auto"/>
          <w:szCs w:val="21"/>
        </w:rPr>
      </w:pPr>
      <w:r>
        <w:rPr>
          <w:rFonts w:hint="eastAsia" w:ascii="宋体" w:hAnsi="宋体" w:cs="宋体"/>
          <w:color w:val="auto"/>
          <w:szCs w:val="21"/>
          <w:u w:val="thick"/>
        </w:rPr>
        <w:t>1.工程保修期按照法律、法规规定执行</w:t>
      </w:r>
      <w:r>
        <w:rPr>
          <w:rFonts w:hint="eastAsia" w:ascii="宋体" w:hAnsi="宋体" w:cs="宋体"/>
          <w:color w:val="auto"/>
          <w:szCs w:val="21"/>
        </w:rPr>
        <w:t xml:space="preserve">。 </w:t>
      </w:r>
    </w:p>
    <w:p w14:paraId="6E830BCA">
      <w:pPr>
        <w:spacing w:line="360" w:lineRule="auto"/>
        <w:rPr>
          <w:rFonts w:ascii="宋体" w:hAnsi="宋体" w:cs="宋体"/>
          <w:color w:val="auto"/>
          <w:szCs w:val="21"/>
        </w:rPr>
      </w:pPr>
      <w:r>
        <w:rPr>
          <w:rFonts w:hint="eastAsia" w:ascii="宋体" w:hAnsi="宋体" w:cs="宋体"/>
          <w:color w:val="auto"/>
          <w:szCs w:val="21"/>
          <w:u w:val="thick"/>
        </w:rPr>
        <w:t>2.起算日：自竣工验收合格之日</w:t>
      </w:r>
      <w:r>
        <w:rPr>
          <w:rFonts w:hint="eastAsia" w:ascii="宋体" w:hAnsi="宋体" w:cs="宋体"/>
          <w:color w:val="auto"/>
          <w:szCs w:val="21"/>
        </w:rPr>
        <w:t>。</w:t>
      </w:r>
    </w:p>
    <w:p w14:paraId="2F01A5DB">
      <w:pPr>
        <w:spacing w:line="360" w:lineRule="auto"/>
        <w:rPr>
          <w:rFonts w:ascii="宋体" w:hAnsi="宋体" w:cs="宋体"/>
          <w:color w:val="auto"/>
          <w:szCs w:val="21"/>
        </w:rPr>
      </w:pPr>
      <w:r>
        <w:rPr>
          <w:rFonts w:hint="eastAsia" w:ascii="宋体" w:hAnsi="宋体" w:cs="宋体"/>
          <w:color w:val="auto"/>
          <w:szCs w:val="21"/>
        </w:rPr>
        <w:t>15.4.3 修复通知</w:t>
      </w:r>
    </w:p>
    <w:p w14:paraId="63A3AFBF">
      <w:pPr>
        <w:spacing w:line="360" w:lineRule="auto"/>
        <w:rPr>
          <w:rFonts w:ascii="宋体" w:hAnsi="宋体" w:cs="宋体"/>
          <w:color w:val="auto"/>
          <w:szCs w:val="21"/>
        </w:rPr>
      </w:pPr>
      <w:r>
        <w:rPr>
          <w:rFonts w:hint="eastAsia" w:ascii="宋体" w:hAnsi="宋体" w:cs="宋体"/>
          <w:color w:val="auto"/>
          <w:szCs w:val="21"/>
        </w:rPr>
        <w:t>承包人收到保修通知并到达工程现场的合理时间：</w:t>
      </w:r>
      <w:r>
        <w:rPr>
          <w:rFonts w:hint="eastAsia" w:ascii="宋体" w:hAnsi="宋体" w:cs="宋体"/>
          <w:color w:val="auto"/>
          <w:szCs w:val="21"/>
          <w:u w:val="thick"/>
        </w:rPr>
        <w:t>24小时内到场</w:t>
      </w:r>
      <w:r>
        <w:rPr>
          <w:rFonts w:hint="eastAsia" w:ascii="宋体" w:hAnsi="宋体" w:cs="宋体"/>
          <w:color w:val="auto"/>
          <w:szCs w:val="21"/>
        </w:rPr>
        <w:t>。</w:t>
      </w:r>
    </w:p>
    <w:bookmarkEnd w:id="724"/>
    <w:bookmarkEnd w:id="725"/>
    <w:bookmarkEnd w:id="726"/>
    <w:bookmarkEnd w:id="727"/>
    <w:p w14:paraId="56626E55">
      <w:pPr>
        <w:spacing w:line="360" w:lineRule="auto"/>
        <w:rPr>
          <w:rFonts w:ascii="宋体" w:hAnsi="宋体" w:cs="宋体"/>
          <w:color w:val="auto"/>
          <w:szCs w:val="21"/>
          <w:shd w:val="pct10" w:color="auto" w:fill="FFFFFF"/>
        </w:rPr>
      </w:pPr>
      <w:bookmarkStart w:id="750" w:name="_Toc351203648"/>
      <w:bookmarkStart w:id="751" w:name="_Toc280868717"/>
      <w:bookmarkStart w:id="752" w:name="_Toc280868718"/>
      <w:r>
        <w:rPr>
          <w:rFonts w:hint="eastAsia" w:ascii="宋体" w:hAnsi="宋体" w:cs="宋体"/>
          <w:color w:val="auto"/>
          <w:szCs w:val="21"/>
          <w:shd w:val="pct10" w:color="auto" w:fill="FFFFFF"/>
        </w:rPr>
        <w:t>16.违  约</w:t>
      </w:r>
      <w:bookmarkEnd w:id="750"/>
    </w:p>
    <w:p w14:paraId="1095CE03">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16.1 发包人违约</w:t>
      </w:r>
    </w:p>
    <w:p w14:paraId="4A70A01C">
      <w:pPr>
        <w:spacing w:line="360" w:lineRule="auto"/>
        <w:rPr>
          <w:rFonts w:ascii="宋体" w:hAnsi="宋体" w:cs="宋体"/>
          <w:color w:val="auto"/>
          <w:szCs w:val="21"/>
        </w:rPr>
      </w:pPr>
      <w:r>
        <w:rPr>
          <w:rFonts w:hint="eastAsia" w:ascii="宋体" w:hAnsi="宋体" w:cs="宋体"/>
          <w:color w:val="auto"/>
          <w:szCs w:val="21"/>
        </w:rPr>
        <w:t>16.1.1发包人违约的情形</w:t>
      </w:r>
    </w:p>
    <w:p w14:paraId="1CEF5742">
      <w:pPr>
        <w:spacing w:line="360" w:lineRule="auto"/>
        <w:rPr>
          <w:rFonts w:ascii="宋体" w:hAnsi="宋体" w:cs="宋体"/>
          <w:color w:val="auto"/>
          <w:szCs w:val="21"/>
        </w:rPr>
      </w:pPr>
      <w:r>
        <w:rPr>
          <w:rFonts w:hint="eastAsia" w:ascii="宋体" w:hAnsi="宋体" w:cs="宋体"/>
          <w:color w:val="auto"/>
          <w:szCs w:val="21"/>
        </w:rPr>
        <w:t>发包人违约的其他情形：</w:t>
      </w:r>
    </w:p>
    <w:p w14:paraId="6536A339">
      <w:pPr>
        <w:spacing w:line="360" w:lineRule="auto"/>
        <w:rPr>
          <w:rFonts w:ascii="宋体" w:hAnsi="宋体" w:cs="宋体"/>
          <w:color w:val="auto"/>
          <w:szCs w:val="21"/>
        </w:rPr>
      </w:pPr>
      <w:r>
        <w:rPr>
          <w:rFonts w:hint="eastAsia" w:ascii="宋体" w:hAnsi="宋体" w:cs="宋体"/>
          <w:color w:val="auto"/>
          <w:szCs w:val="21"/>
          <w:u w:val="thick"/>
        </w:rPr>
        <w:t>(1)提供施工现场或条件延误</w:t>
      </w:r>
      <w:r>
        <w:rPr>
          <w:rFonts w:hint="eastAsia" w:ascii="宋体" w:hAnsi="宋体" w:cs="宋体"/>
          <w:color w:val="auto"/>
          <w:szCs w:val="21"/>
        </w:rPr>
        <w:t>；</w:t>
      </w:r>
    </w:p>
    <w:p w14:paraId="16489908">
      <w:pPr>
        <w:spacing w:line="360" w:lineRule="auto"/>
        <w:rPr>
          <w:rFonts w:ascii="宋体" w:hAnsi="宋体" w:cs="宋体"/>
          <w:color w:val="auto"/>
          <w:szCs w:val="21"/>
        </w:rPr>
      </w:pPr>
      <w:r>
        <w:rPr>
          <w:rFonts w:hint="eastAsia" w:ascii="宋体" w:hAnsi="宋体" w:cs="宋体"/>
          <w:color w:val="auto"/>
          <w:szCs w:val="21"/>
          <w:u w:val="thick"/>
        </w:rPr>
        <w:t>(2)设计图纸问题</w:t>
      </w:r>
      <w:r>
        <w:rPr>
          <w:rFonts w:hint="eastAsia" w:ascii="宋体" w:hAnsi="宋体" w:cs="宋体"/>
          <w:color w:val="auto"/>
          <w:szCs w:val="21"/>
        </w:rPr>
        <w:t>；</w:t>
      </w:r>
    </w:p>
    <w:p w14:paraId="7A2CDC77">
      <w:pPr>
        <w:spacing w:line="360" w:lineRule="auto"/>
        <w:rPr>
          <w:rFonts w:ascii="宋体" w:hAnsi="宋体" w:cs="宋体"/>
          <w:color w:val="auto"/>
          <w:szCs w:val="21"/>
        </w:rPr>
      </w:pPr>
      <w:r>
        <w:rPr>
          <w:rFonts w:hint="eastAsia" w:ascii="宋体" w:hAnsi="宋体" w:cs="宋体"/>
          <w:color w:val="auto"/>
          <w:szCs w:val="21"/>
          <w:u w:val="thick"/>
        </w:rPr>
        <w:t>(3)资料漏、错</w:t>
      </w:r>
      <w:r>
        <w:rPr>
          <w:rFonts w:hint="eastAsia" w:ascii="宋体" w:hAnsi="宋体" w:cs="宋体"/>
          <w:color w:val="auto"/>
          <w:szCs w:val="21"/>
        </w:rPr>
        <w:t>；</w:t>
      </w:r>
    </w:p>
    <w:p w14:paraId="680B417F">
      <w:pPr>
        <w:spacing w:line="360" w:lineRule="auto"/>
        <w:rPr>
          <w:rFonts w:ascii="宋体" w:hAnsi="宋体" w:cs="宋体"/>
          <w:color w:val="auto"/>
          <w:szCs w:val="21"/>
        </w:rPr>
      </w:pPr>
      <w:r>
        <w:rPr>
          <w:rFonts w:hint="eastAsia" w:ascii="宋体" w:hAnsi="宋体" w:cs="宋体"/>
          <w:color w:val="auto"/>
          <w:szCs w:val="21"/>
          <w:u w:val="thick"/>
        </w:rPr>
        <w:t>(4)监理人和发包人代表的指令错误</w:t>
      </w:r>
      <w:r>
        <w:rPr>
          <w:rFonts w:hint="eastAsia" w:ascii="宋体" w:hAnsi="宋体" w:cs="宋体"/>
          <w:color w:val="auto"/>
          <w:szCs w:val="21"/>
        </w:rPr>
        <w:t>。</w:t>
      </w:r>
    </w:p>
    <w:p w14:paraId="1BE4E2F7">
      <w:pPr>
        <w:spacing w:line="360" w:lineRule="auto"/>
        <w:rPr>
          <w:rFonts w:ascii="宋体" w:hAnsi="宋体" w:cs="宋体"/>
          <w:color w:val="auto"/>
          <w:szCs w:val="21"/>
        </w:rPr>
      </w:pPr>
      <w:r>
        <w:rPr>
          <w:rFonts w:hint="eastAsia" w:ascii="宋体" w:hAnsi="宋体" w:cs="宋体"/>
          <w:color w:val="auto"/>
          <w:szCs w:val="21"/>
        </w:rPr>
        <w:t>16.1.2 发包人违约的责任</w:t>
      </w:r>
    </w:p>
    <w:p w14:paraId="37881C39">
      <w:pPr>
        <w:spacing w:line="360" w:lineRule="auto"/>
        <w:rPr>
          <w:rFonts w:ascii="宋体" w:hAnsi="宋体" w:cs="宋体"/>
          <w:color w:val="auto"/>
          <w:szCs w:val="21"/>
        </w:rPr>
      </w:pPr>
      <w:r>
        <w:rPr>
          <w:rFonts w:hint="eastAsia" w:ascii="宋体" w:hAnsi="宋体" w:cs="宋体"/>
          <w:color w:val="auto"/>
          <w:szCs w:val="21"/>
        </w:rPr>
        <w:t>发包人违约责任的承担方式和计算方法：</w:t>
      </w:r>
    </w:p>
    <w:p w14:paraId="2BF6B4EC">
      <w:pPr>
        <w:spacing w:line="360" w:lineRule="auto"/>
        <w:rPr>
          <w:rFonts w:ascii="宋体" w:hAnsi="宋体" w:cs="宋体"/>
          <w:color w:val="auto"/>
          <w:szCs w:val="21"/>
        </w:rPr>
      </w:pPr>
      <w:r>
        <w:rPr>
          <w:rFonts w:hint="eastAsia" w:ascii="宋体" w:hAnsi="宋体" w:cs="宋体"/>
          <w:color w:val="auto"/>
          <w:szCs w:val="21"/>
        </w:rPr>
        <w:t>(1)因发包人原因未能在计划开工日期前7天内下达开工通知的违约责任：</w:t>
      </w:r>
      <w:r>
        <w:rPr>
          <w:rFonts w:hint="eastAsia" w:ascii="宋体" w:hAnsi="宋体" w:cs="宋体"/>
          <w:color w:val="auto"/>
          <w:szCs w:val="21"/>
          <w:u w:val="thick"/>
        </w:rPr>
        <w:t>先发出延期通知，调整开工日期。双方约定应符合实际情况的“开工通知”程序，继续履约，顺延工期</w:t>
      </w:r>
      <w:r>
        <w:rPr>
          <w:rFonts w:hint="eastAsia" w:ascii="宋体" w:hAnsi="宋体" w:cs="宋体"/>
          <w:color w:val="auto"/>
          <w:szCs w:val="21"/>
        </w:rPr>
        <w:t>。</w:t>
      </w:r>
    </w:p>
    <w:p w14:paraId="3EA3CE3C">
      <w:pPr>
        <w:spacing w:line="360" w:lineRule="auto"/>
        <w:rPr>
          <w:rFonts w:ascii="宋体" w:hAnsi="宋体" w:cs="宋体"/>
          <w:color w:val="auto"/>
          <w:szCs w:val="21"/>
        </w:rPr>
      </w:pPr>
      <w:r>
        <w:rPr>
          <w:rFonts w:hint="eastAsia" w:ascii="宋体" w:hAnsi="宋体" w:cs="宋体"/>
          <w:color w:val="auto"/>
          <w:szCs w:val="21"/>
        </w:rPr>
        <w:t>(2)因发包人原因未能按合同约定支付合同价款的违约责任：</w:t>
      </w:r>
      <w:r>
        <w:rPr>
          <w:rFonts w:hint="eastAsia" w:ascii="宋体" w:hAnsi="宋体" w:cs="宋体"/>
          <w:color w:val="auto"/>
          <w:szCs w:val="21"/>
          <w:u w:val="thick"/>
        </w:rPr>
        <w:t>约定专用第12.4.4执行</w:t>
      </w:r>
      <w:r>
        <w:rPr>
          <w:rFonts w:hint="eastAsia" w:ascii="宋体" w:hAnsi="宋体" w:cs="宋体"/>
          <w:color w:val="auto"/>
          <w:szCs w:val="21"/>
        </w:rPr>
        <w:t>。</w:t>
      </w:r>
    </w:p>
    <w:p w14:paraId="5CC3651B">
      <w:pPr>
        <w:spacing w:line="360" w:lineRule="auto"/>
        <w:rPr>
          <w:rFonts w:ascii="宋体" w:hAnsi="宋体" w:cs="宋体"/>
          <w:color w:val="auto"/>
          <w:szCs w:val="21"/>
        </w:rPr>
      </w:pPr>
      <w:r>
        <w:rPr>
          <w:rFonts w:hint="eastAsia" w:ascii="宋体" w:hAnsi="宋体" w:cs="宋体"/>
          <w:color w:val="auto"/>
          <w:szCs w:val="21"/>
        </w:rPr>
        <w:t>(3)发包人违反第10.1款〔变更的范围〕第(2)项约定，自行实施被取消的工作或转由他人实施的违约责任：</w:t>
      </w:r>
      <w:r>
        <w:rPr>
          <w:rFonts w:hint="eastAsia" w:ascii="宋体" w:hAnsi="宋体" w:cs="宋体"/>
          <w:color w:val="auto"/>
          <w:szCs w:val="21"/>
          <w:u w:val="thick"/>
        </w:rPr>
        <w:t>取消或变更指示，承担合同价格和工期变化造成的损失，当量超过15%时，按合理成本加利润计算</w:t>
      </w:r>
      <w:r>
        <w:rPr>
          <w:rFonts w:hint="eastAsia" w:ascii="宋体" w:hAnsi="宋体" w:cs="宋体"/>
          <w:color w:val="auto"/>
          <w:szCs w:val="21"/>
        </w:rPr>
        <w:t>。</w:t>
      </w:r>
    </w:p>
    <w:p w14:paraId="6E9527C9">
      <w:pPr>
        <w:spacing w:line="360" w:lineRule="auto"/>
        <w:rPr>
          <w:rFonts w:ascii="宋体" w:hAnsi="宋体" w:cs="宋体"/>
          <w:color w:val="auto"/>
          <w:szCs w:val="21"/>
        </w:rPr>
      </w:pPr>
      <w:r>
        <w:rPr>
          <w:rFonts w:hint="eastAsia" w:ascii="宋体" w:hAnsi="宋体" w:cs="宋体"/>
          <w:color w:val="auto"/>
          <w:szCs w:val="21"/>
        </w:rPr>
        <w:t>(4)发包人提供的材料、工程设备的规格、数量或质量不符合合同约定，或因发包人原因导致交货日期延误或交货地点变更等情况的违约责任：</w:t>
      </w:r>
      <w:r>
        <w:rPr>
          <w:rFonts w:hint="eastAsia" w:ascii="宋体" w:hAnsi="宋体" w:cs="宋体"/>
          <w:color w:val="auto"/>
          <w:szCs w:val="21"/>
          <w:u w:val="thick"/>
        </w:rPr>
        <w:t>不合格时有权更换或拒收，并承担延误的工期，增加的费用</w:t>
      </w:r>
      <w:r>
        <w:rPr>
          <w:rFonts w:hint="eastAsia" w:ascii="宋体" w:hAnsi="宋体" w:cs="宋体"/>
          <w:color w:val="auto"/>
          <w:szCs w:val="21"/>
        </w:rPr>
        <w:t>。</w:t>
      </w:r>
    </w:p>
    <w:p w14:paraId="62B04CD4">
      <w:pPr>
        <w:spacing w:line="360" w:lineRule="auto"/>
        <w:rPr>
          <w:rFonts w:ascii="宋体" w:hAnsi="宋体" w:cs="宋体"/>
          <w:color w:val="auto"/>
          <w:szCs w:val="21"/>
        </w:rPr>
      </w:pPr>
      <w:r>
        <w:rPr>
          <w:rFonts w:hint="eastAsia" w:ascii="宋体" w:hAnsi="宋体" w:cs="宋体"/>
          <w:color w:val="auto"/>
          <w:szCs w:val="21"/>
        </w:rPr>
        <w:t>(5)因发包人违反合同约定造成暂停施工的违约责任：</w:t>
      </w:r>
      <w:r>
        <w:rPr>
          <w:rFonts w:hint="eastAsia" w:ascii="宋体" w:hAnsi="宋体" w:cs="宋体"/>
          <w:color w:val="auto"/>
          <w:szCs w:val="21"/>
          <w:u w:val="thick"/>
        </w:rPr>
        <w:t>尽快复工；要求价格调整，并支付增加的费用，延误的工期，合理的利润或违约金</w:t>
      </w:r>
      <w:r>
        <w:rPr>
          <w:rFonts w:hint="eastAsia" w:ascii="宋体" w:hAnsi="宋体" w:cs="宋体"/>
          <w:color w:val="auto"/>
          <w:szCs w:val="21"/>
        </w:rPr>
        <w:t>。</w:t>
      </w:r>
    </w:p>
    <w:p w14:paraId="038117C9">
      <w:pPr>
        <w:spacing w:line="360" w:lineRule="auto"/>
        <w:rPr>
          <w:rFonts w:ascii="宋体" w:hAnsi="宋体" w:cs="宋体"/>
          <w:color w:val="auto"/>
          <w:szCs w:val="21"/>
        </w:rPr>
      </w:pPr>
      <w:r>
        <w:rPr>
          <w:rFonts w:hint="eastAsia" w:ascii="宋体" w:hAnsi="宋体" w:cs="宋体"/>
          <w:color w:val="auto"/>
          <w:szCs w:val="21"/>
        </w:rPr>
        <w:t xml:space="preserve">(6)发包人无正当理由没有在约定期限内发出复工指示，导致承包人无法复工的违约责任： </w:t>
      </w:r>
      <w:r>
        <w:rPr>
          <w:rFonts w:hint="eastAsia" w:ascii="宋体" w:hAnsi="宋体" w:cs="宋体"/>
          <w:color w:val="auto"/>
          <w:szCs w:val="21"/>
          <w:u w:val="thick"/>
        </w:rPr>
        <w:t>超过约定期限时，承包人有权提出： 要求价格调整</w:t>
      </w:r>
      <w:r>
        <w:rPr>
          <w:rFonts w:hint="eastAsia" w:ascii="宋体" w:hAnsi="宋体" w:cs="宋体"/>
          <w:color w:val="auto"/>
          <w:szCs w:val="21"/>
        </w:rPr>
        <w:t>。</w:t>
      </w:r>
    </w:p>
    <w:p w14:paraId="26B633B3">
      <w:pPr>
        <w:spacing w:line="360" w:lineRule="auto"/>
        <w:rPr>
          <w:rFonts w:ascii="宋体" w:hAnsi="宋体" w:cs="宋体"/>
          <w:color w:val="auto"/>
          <w:szCs w:val="21"/>
        </w:rPr>
      </w:pPr>
      <w:r>
        <w:rPr>
          <w:rFonts w:hint="eastAsia" w:ascii="宋体" w:hAnsi="宋体" w:cs="宋体"/>
          <w:color w:val="auto"/>
          <w:szCs w:val="21"/>
        </w:rPr>
        <w:t>(7)其他：</w:t>
      </w:r>
      <w:r>
        <w:rPr>
          <w:rFonts w:hint="eastAsia" w:ascii="宋体" w:hAnsi="宋体" w:cs="宋体"/>
          <w:color w:val="auto"/>
          <w:szCs w:val="21"/>
          <w:u w:val="thick"/>
        </w:rPr>
        <w:t xml:space="preserve">   /   </w:t>
      </w:r>
      <w:r>
        <w:rPr>
          <w:rFonts w:hint="eastAsia" w:ascii="宋体" w:hAnsi="宋体" w:cs="宋体"/>
          <w:color w:val="auto"/>
          <w:szCs w:val="21"/>
        </w:rPr>
        <w:t>。</w:t>
      </w:r>
    </w:p>
    <w:p w14:paraId="5D3C249A">
      <w:pPr>
        <w:spacing w:line="360" w:lineRule="auto"/>
        <w:rPr>
          <w:rFonts w:ascii="宋体" w:hAnsi="宋体" w:cs="宋体"/>
          <w:color w:val="auto"/>
          <w:szCs w:val="21"/>
        </w:rPr>
      </w:pPr>
      <w:r>
        <w:rPr>
          <w:rFonts w:hint="eastAsia" w:ascii="宋体" w:hAnsi="宋体" w:cs="宋体"/>
          <w:color w:val="auto"/>
          <w:szCs w:val="21"/>
        </w:rPr>
        <w:t>16.1.3 因发包人违约解除合同</w:t>
      </w:r>
    </w:p>
    <w:p w14:paraId="2121F69B">
      <w:pPr>
        <w:spacing w:line="360" w:lineRule="auto"/>
        <w:rPr>
          <w:rFonts w:ascii="宋体" w:hAnsi="宋体" w:cs="宋体"/>
          <w:color w:val="auto"/>
          <w:szCs w:val="21"/>
        </w:rPr>
      </w:pPr>
      <w:r>
        <w:rPr>
          <w:rFonts w:hint="eastAsia" w:ascii="宋体" w:hAnsi="宋体" w:cs="宋体"/>
          <w:color w:val="auto"/>
          <w:szCs w:val="21"/>
        </w:rPr>
        <w:t>承包人按16.1.1项〔发包人违约的情形〕约定暂停施工满</w:t>
      </w:r>
      <w:r>
        <w:rPr>
          <w:rFonts w:hint="eastAsia" w:ascii="宋体" w:hAnsi="宋体" w:cs="宋体"/>
          <w:color w:val="auto"/>
          <w:szCs w:val="21"/>
          <w:u w:val="thick"/>
        </w:rPr>
        <w:t xml:space="preserve">28 </w:t>
      </w:r>
      <w:r>
        <w:rPr>
          <w:rFonts w:hint="eastAsia" w:ascii="宋体" w:hAnsi="宋体" w:cs="宋体"/>
          <w:color w:val="auto"/>
          <w:szCs w:val="21"/>
        </w:rPr>
        <w:t>天后发包人仍不纠正其违约行为并致使合同目的不能实现的，承包人有权解除合同。</w:t>
      </w:r>
    </w:p>
    <w:p w14:paraId="09A0F6E7">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16.2 承包人违约</w:t>
      </w:r>
    </w:p>
    <w:p w14:paraId="36C2BB8E">
      <w:pPr>
        <w:spacing w:line="360" w:lineRule="auto"/>
        <w:rPr>
          <w:rFonts w:ascii="宋体" w:hAnsi="宋体" w:cs="宋体"/>
          <w:color w:val="auto"/>
          <w:szCs w:val="21"/>
        </w:rPr>
      </w:pPr>
      <w:r>
        <w:rPr>
          <w:rFonts w:hint="eastAsia" w:ascii="宋体" w:hAnsi="宋体" w:cs="宋体"/>
          <w:color w:val="auto"/>
          <w:szCs w:val="21"/>
        </w:rPr>
        <w:t>16.2.1 承包人违约的情形</w:t>
      </w:r>
    </w:p>
    <w:p w14:paraId="67F7188F">
      <w:pPr>
        <w:spacing w:line="360" w:lineRule="auto"/>
        <w:rPr>
          <w:rFonts w:ascii="宋体" w:hAnsi="宋体" w:cs="宋体"/>
          <w:color w:val="auto"/>
          <w:szCs w:val="21"/>
        </w:rPr>
      </w:pPr>
      <w:r>
        <w:rPr>
          <w:rFonts w:hint="eastAsia" w:ascii="宋体" w:hAnsi="宋体" w:cs="宋体"/>
          <w:color w:val="auto"/>
          <w:szCs w:val="21"/>
        </w:rPr>
        <w:t>承包人违约的其他情形：</w:t>
      </w:r>
    </w:p>
    <w:p w14:paraId="2874A996">
      <w:pPr>
        <w:spacing w:line="360" w:lineRule="auto"/>
        <w:rPr>
          <w:rFonts w:ascii="宋体" w:hAnsi="宋体" w:cs="宋体"/>
          <w:color w:val="auto"/>
          <w:szCs w:val="21"/>
          <w:u w:val="thick"/>
        </w:rPr>
      </w:pPr>
      <w:r>
        <w:rPr>
          <w:rFonts w:hint="eastAsia" w:ascii="宋体" w:hAnsi="宋体" w:cs="宋体"/>
          <w:color w:val="auto"/>
          <w:szCs w:val="21"/>
          <w:u w:val="thick"/>
        </w:rPr>
        <w:t>(1)在承包人无正当理由延长工期的情况下，如果发包人认为本合同工程或其任何部分的进度过慢或工程质量无任何保证，因而不能按预定的工期竣工或达不到预定的质量标准时， 发包人可将此情况通知承包人并提出警告，承包人应据此采取措施，以便加快工程进度和保证工程质量，承包人无权为了采取任何措施而要求增加任何附加费用</w:t>
      </w:r>
      <w:r>
        <w:rPr>
          <w:rFonts w:hint="eastAsia" w:ascii="宋体" w:hAnsi="宋体" w:cs="宋体"/>
          <w:color w:val="auto"/>
          <w:szCs w:val="21"/>
        </w:rPr>
        <w:t>。</w:t>
      </w:r>
    </w:p>
    <w:p w14:paraId="245E8C21">
      <w:pPr>
        <w:spacing w:line="360" w:lineRule="auto"/>
        <w:rPr>
          <w:rFonts w:ascii="宋体" w:hAnsi="宋体" w:cs="宋体"/>
          <w:color w:val="auto"/>
          <w:szCs w:val="21"/>
          <w:u w:val="thick"/>
        </w:rPr>
      </w:pPr>
      <w:r>
        <w:rPr>
          <w:rFonts w:hint="eastAsia" w:ascii="宋体" w:hAnsi="宋体" w:cs="宋体"/>
          <w:color w:val="auto"/>
          <w:szCs w:val="21"/>
          <w:u w:val="thick"/>
        </w:rPr>
        <w:t>(2)承包人将发包人支付给承包人的款项转移(或挪用)，承包人须按发包人要求及时补回，并向发包人支付与转移(或挪用)款项数额相等的违约金</w:t>
      </w:r>
      <w:r>
        <w:rPr>
          <w:rFonts w:hint="eastAsia" w:ascii="宋体" w:hAnsi="宋体" w:cs="宋体"/>
          <w:color w:val="auto"/>
          <w:szCs w:val="21"/>
        </w:rPr>
        <w:t>；</w:t>
      </w:r>
    </w:p>
    <w:p w14:paraId="030E40B5">
      <w:pPr>
        <w:spacing w:line="360" w:lineRule="auto"/>
        <w:rPr>
          <w:rFonts w:ascii="宋体" w:hAnsi="宋体" w:cs="宋体"/>
          <w:color w:val="auto"/>
          <w:szCs w:val="21"/>
          <w:u w:val="thick"/>
        </w:rPr>
      </w:pPr>
      <w:r>
        <w:rPr>
          <w:rFonts w:hint="eastAsia" w:ascii="宋体" w:hAnsi="宋体" w:cs="宋体"/>
          <w:color w:val="auto"/>
          <w:szCs w:val="21"/>
          <w:u w:val="thick"/>
        </w:rPr>
        <w:t>(3)合同履约期间，工程师发出的为保证工程质量和安全的口头指令及书面文件，承包人应执行，因此发生的费用已包含在本合同内，结算时不予调整</w:t>
      </w:r>
      <w:r>
        <w:rPr>
          <w:rFonts w:hint="eastAsia" w:ascii="宋体" w:hAnsi="宋体" w:cs="宋体"/>
          <w:color w:val="auto"/>
          <w:szCs w:val="21"/>
        </w:rPr>
        <w:t>。</w:t>
      </w:r>
    </w:p>
    <w:p w14:paraId="73C85484">
      <w:pPr>
        <w:spacing w:line="360" w:lineRule="auto"/>
        <w:rPr>
          <w:rFonts w:ascii="宋体" w:hAnsi="宋体" w:cs="宋体"/>
          <w:color w:val="auto"/>
          <w:szCs w:val="21"/>
          <w:u w:val="thick"/>
        </w:rPr>
      </w:pPr>
      <w:r>
        <w:rPr>
          <w:rFonts w:hint="eastAsia" w:ascii="宋体" w:hAnsi="宋体" w:cs="宋体"/>
          <w:color w:val="auto"/>
          <w:szCs w:val="21"/>
          <w:u w:val="thick"/>
        </w:rPr>
        <w:t>(4)承包人施工过程中存有安全问题或有违反安全管理规章制度的情形，出现质量问题，应按发包人、监理人的要求改正，直至停工整改，且工期不予顺延</w:t>
      </w:r>
      <w:r>
        <w:rPr>
          <w:rFonts w:hint="eastAsia" w:ascii="宋体" w:hAnsi="宋体" w:cs="宋体"/>
          <w:color w:val="auto"/>
          <w:szCs w:val="21"/>
        </w:rPr>
        <w:t>。</w:t>
      </w:r>
    </w:p>
    <w:p w14:paraId="49AAFA98">
      <w:pPr>
        <w:spacing w:line="360" w:lineRule="auto"/>
        <w:rPr>
          <w:rFonts w:ascii="宋体" w:hAnsi="宋体" w:cs="宋体"/>
          <w:color w:val="auto"/>
          <w:szCs w:val="21"/>
          <w:u w:val="thick"/>
        </w:rPr>
      </w:pPr>
      <w:r>
        <w:rPr>
          <w:rFonts w:hint="eastAsia" w:ascii="宋体" w:hAnsi="宋体" w:cs="宋体"/>
          <w:color w:val="auto"/>
          <w:szCs w:val="21"/>
          <w:u w:val="thick"/>
        </w:rPr>
        <w:t>(5)双方在确定合同日期及各控制节点工期时已充分考虑雨雪、冰雹、台风、高温等异常天气，也已考虑停水、停电、节假日、道路施工影响等不利因素，承包人不得因以上理由提出工期和费用索赔</w:t>
      </w:r>
      <w:r>
        <w:rPr>
          <w:rFonts w:hint="eastAsia" w:ascii="宋体" w:hAnsi="宋体" w:cs="宋体"/>
          <w:color w:val="auto"/>
          <w:szCs w:val="21"/>
        </w:rPr>
        <w:t>。</w:t>
      </w:r>
    </w:p>
    <w:p w14:paraId="13B2651F">
      <w:pPr>
        <w:spacing w:line="360" w:lineRule="auto"/>
        <w:rPr>
          <w:rFonts w:ascii="宋体" w:hAnsi="宋体" w:cs="宋体"/>
          <w:color w:val="auto"/>
          <w:szCs w:val="21"/>
          <w:u w:val="thick"/>
        </w:rPr>
      </w:pPr>
      <w:r>
        <w:rPr>
          <w:rFonts w:hint="eastAsia" w:ascii="宋体" w:hAnsi="宋体" w:cs="宋体"/>
          <w:color w:val="auto"/>
          <w:szCs w:val="21"/>
          <w:u w:val="thick"/>
        </w:rPr>
        <w:t>(6)承包人承担各种违约金后，仍不足以弥补发包人的实际损失的，承包人还须继续承担赔偿责任</w:t>
      </w:r>
      <w:r>
        <w:rPr>
          <w:rFonts w:hint="eastAsia" w:ascii="宋体" w:hAnsi="宋体" w:cs="宋体"/>
          <w:color w:val="auto"/>
          <w:szCs w:val="21"/>
        </w:rPr>
        <w:t>。</w:t>
      </w:r>
    </w:p>
    <w:p w14:paraId="6CE631CD">
      <w:pPr>
        <w:spacing w:line="360" w:lineRule="auto"/>
        <w:rPr>
          <w:rFonts w:ascii="宋体" w:hAnsi="宋体" w:cs="宋体"/>
          <w:color w:val="auto"/>
          <w:szCs w:val="21"/>
        </w:rPr>
      </w:pPr>
      <w:r>
        <w:rPr>
          <w:rFonts w:hint="eastAsia" w:ascii="宋体" w:hAnsi="宋体" w:cs="宋体"/>
          <w:color w:val="auto"/>
          <w:szCs w:val="21"/>
          <w:u w:val="thick"/>
        </w:rPr>
        <w:t>(7)各种违约按国家法律法规规定及现场管理办法执行。(造成损失的由承包方承担)</w:t>
      </w:r>
      <w:r>
        <w:rPr>
          <w:rFonts w:hint="eastAsia" w:ascii="宋体" w:hAnsi="宋体" w:cs="宋体"/>
          <w:color w:val="auto"/>
          <w:szCs w:val="21"/>
        </w:rPr>
        <w:t>。</w:t>
      </w:r>
    </w:p>
    <w:p w14:paraId="5C807271">
      <w:pPr>
        <w:spacing w:line="360" w:lineRule="auto"/>
        <w:rPr>
          <w:rFonts w:ascii="宋体" w:hAnsi="宋体" w:cs="宋体"/>
          <w:color w:val="auto"/>
          <w:szCs w:val="21"/>
        </w:rPr>
      </w:pPr>
      <w:r>
        <w:rPr>
          <w:rFonts w:hint="eastAsia" w:ascii="宋体" w:hAnsi="宋体" w:cs="宋体"/>
          <w:color w:val="auto"/>
          <w:szCs w:val="21"/>
        </w:rPr>
        <w:t>16.2.2承包人违约的责任</w:t>
      </w:r>
    </w:p>
    <w:p w14:paraId="311C255D">
      <w:pPr>
        <w:spacing w:line="360" w:lineRule="auto"/>
        <w:rPr>
          <w:rFonts w:ascii="宋体" w:hAnsi="宋体" w:cs="宋体"/>
          <w:color w:val="auto"/>
          <w:szCs w:val="21"/>
        </w:rPr>
      </w:pPr>
      <w:r>
        <w:rPr>
          <w:rFonts w:hint="eastAsia" w:ascii="宋体" w:hAnsi="宋体" w:cs="宋体"/>
          <w:color w:val="auto"/>
          <w:szCs w:val="21"/>
        </w:rPr>
        <w:t>承包人违约责任的承担方式和计算方法：</w:t>
      </w:r>
    </w:p>
    <w:p w14:paraId="31D9D180">
      <w:pPr>
        <w:spacing w:line="360" w:lineRule="auto"/>
        <w:rPr>
          <w:rFonts w:ascii="宋体" w:hAnsi="宋体" w:cs="宋体"/>
          <w:color w:val="auto"/>
          <w:szCs w:val="21"/>
          <w:u w:val="thick"/>
        </w:rPr>
      </w:pPr>
      <w:r>
        <w:rPr>
          <w:rFonts w:hint="eastAsia" w:ascii="宋体" w:hAnsi="宋体" w:cs="宋体"/>
          <w:color w:val="auto"/>
          <w:szCs w:val="21"/>
          <w:u w:val="thick"/>
        </w:rPr>
        <w:t>①违约金或罚金，应约定比例或金额</w:t>
      </w:r>
      <w:r>
        <w:rPr>
          <w:rFonts w:hint="eastAsia" w:ascii="宋体" w:hAnsi="宋体" w:cs="宋体"/>
          <w:color w:val="auto"/>
          <w:szCs w:val="21"/>
        </w:rPr>
        <w:t>；</w:t>
      </w:r>
    </w:p>
    <w:p w14:paraId="53662CB0">
      <w:pPr>
        <w:spacing w:line="360" w:lineRule="auto"/>
        <w:rPr>
          <w:rFonts w:ascii="宋体" w:hAnsi="宋体" w:cs="宋体"/>
          <w:color w:val="auto"/>
          <w:szCs w:val="21"/>
          <w:u w:val="thick"/>
        </w:rPr>
      </w:pPr>
      <w:r>
        <w:rPr>
          <w:rFonts w:hint="eastAsia" w:ascii="宋体" w:hAnsi="宋体" w:cs="宋体"/>
          <w:color w:val="auto"/>
          <w:szCs w:val="21"/>
          <w:u w:val="thick"/>
        </w:rPr>
        <w:t>②继续履行</w:t>
      </w:r>
      <w:r>
        <w:rPr>
          <w:rFonts w:hint="eastAsia" w:ascii="宋体" w:hAnsi="宋体" w:cs="宋体"/>
          <w:color w:val="auto"/>
          <w:szCs w:val="21"/>
        </w:rPr>
        <w:t>；</w:t>
      </w:r>
    </w:p>
    <w:p w14:paraId="41CF74A6">
      <w:pPr>
        <w:spacing w:line="360" w:lineRule="auto"/>
        <w:rPr>
          <w:rFonts w:ascii="宋体" w:hAnsi="宋体" w:cs="宋体"/>
          <w:color w:val="auto"/>
          <w:szCs w:val="21"/>
          <w:u w:val="thick"/>
        </w:rPr>
      </w:pPr>
      <w:r>
        <w:rPr>
          <w:rFonts w:hint="eastAsia" w:ascii="宋体" w:hAnsi="宋体" w:cs="宋体"/>
          <w:color w:val="auto"/>
          <w:szCs w:val="21"/>
          <w:u w:val="thick"/>
        </w:rPr>
        <w:t>③赔偿损失</w:t>
      </w:r>
      <w:r>
        <w:rPr>
          <w:rFonts w:hint="eastAsia" w:ascii="宋体" w:hAnsi="宋体" w:cs="宋体"/>
          <w:color w:val="auto"/>
          <w:szCs w:val="21"/>
        </w:rPr>
        <w:t>；</w:t>
      </w:r>
    </w:p>
    <w:p w14:paraId="140F2FA7">
      <w:pPr>
        <w:spacing w:line="360" w:lineRule="auto"/>
        <w:rPr>
          <w:rFonts w:ascii="宋体" w:hAnsi="宋体" w:cs="宋体"/>
          <w:color w:val="auto"/>
          <w:szCs w:val="21"/>
          <w:u w:val="thick"/>
        </w:rPr>
      </w:pPr>
      <w:r>
        <w:rPr>
          <w:rFonts w:hint="eastAsia" w:ascii="宋体" w:hAnsi="宋体" w:cs="宋体"/>
          <w:color w:val="auto"/>
          <w:szCs w:val="21"/>
          <w:u w:val="thick"/>
        </w:rPr>
        <w:t>④延长缺陷责任期</w:t>
      </w:r>
      <w:r>
        <w:rPr>
          <w:rFonts w:hint="eastAsia" w:ascii="宋体" w:hAnsi="宋体" w:cs="宋体"/>
          <w:color w:val="auto"/>
          <w:szCs w:val="21"/>
        </w:rPr>
        <w:t>；</w:t>
      </w:r>
    </w:p>
    <w:p w14:paraId="45350995">
      <w:pPr>
        <w:spacing w:line="360" w:lineRule="auto"/>
        <w:rPr>
          <w:rFonts w:ascii="宋体" w:hAnsi="宋体" w:cs="宋体"/>
          <w:color w:val="auto"/>
          <w:szCs w:val="21"/>
        </w:rPr>
      </w:pPr>
      <w:r>
        <w:rPr>
          <w:rFonts w:hint="eastAsia" w:ascii="宋体" w:hAnsi="宋体" w:cs="宋体"/>
          <w:color w:val="auto"/>
          <w:szCs w:val="21"/>
          <w:u w:val="thick"/>
        </w:rPr>
        <w:t>⑤造成质量和安全事故的，应承担行政处罚或刑事责任</w:t>
      </w:r>
      <w:r>
        <w:rPr>
          <w:rFonts w:hint="eastAsia" w:ascii="宋体" w:hAnsi="宋体" w:cs="宋体"/>
          <w:color w:val="auto"/>
          <w:szCs w:val="21"/>
        </w:rPr>
        <w:t>。</w:t>
      </w:r>
    </w:p>
    <w:p w14:paraId="06193624">
      <w:pPr>
        <w:spacing w:line="360" w:lineRule="auto"/>
        <w:rPr>
          <w:rFonts w:ascii="宋体" w:hAnsi="宋体" w:cs="宋体"/>
          <w:color w:val="auto"/>
          <w:szCs w:val="21"/>
        </w:rPr>
      </w:pPr>
      <w:r>
        <w:rPr>
          <w:rFonts w:hint="eastAsia" w:ascii="宋体" w:hAnsi="宋体" w:cs="宋体"/>
          <w:color w:val="auto"/>
          <w:szCs w:val="21"/>
        </w:rPr>
        <w:t>16.2.3 因承包人违约解除合同</w:t>
      </w:r>
    </w:p>
    <w:p w14:paraId="50E5023D">
      <w:pPr>
        <w:spacing w:line="360" w:lineRule="auto"/>
        <w:rPr>
          <w:rFonts w:ascii="宋体" w:hAnsi="宋体" w:cs="宋体"/>
          <w:color w:val="auto"/>
          <w:szCs w:val="21"/>
        </w:rPr>
      </w:pPr>
      <w:r>
        <w:rPr>
          <w:rFonts w:hint="eastAsia" w:ascii="宋体" w:hAnsi="宋体" w:cs="宋体"/>
          <w:color w:val="auto"/>
          <w:szCs w:val="21"/>
        </w:rPr>
        <w:t>关于承包人违约解除合同的特别约定：</w:t>
      </w:r>
      <w:r>
        <w:rPr>
          <w:rFonts w:hint="eastAsia" w:ascii="宋体" w:hAnsi="宋体" w:cs="宋体"/>
          <w:color w:val="auto"/>
          <w:szCs w:val="21"/>
          <w:u w:val="thick"/>
        </w:rPr>
        <w:t>按通用条款执行</w:t>
      </w:r>
      <w:r>
        <w:rPr>
          <w:rFonts w:hint="eastAsia" w:ascii="宋体" w:hAnsi="宋体" w:cs="宋体"/>
          <w:color w:val="auto"/>
          <w:szCs w:val="21"/>
        </w:rPr>
        <w:t>。</w:t>
      </w:r>
    </w:p>
    <w:p w14:paraId="37D6F325">
      <w:pPr>
        <w:spacing w:line="360" w:lineRule="auto"/>
        <w:rPr>
          <w:rFonts w:ascii="宋体" w:hAnsi="宋体" w:cs="宋体"/>
          <w:color w:val="auto"/>
          <w:szCs w:val="21"/>
        </w:rPr>
      </w:pPr>
      <w:r>
        <w:rPr>
          <w:rFonts w:hint="eastAsia" w:ascii="宋体" w:hAnsi="宋体" w:cs="宋体"/>
          <w:color w:val="auto"/>
          <w:szCs w:val="21"/>
        </w:rPr>
        <w:t>发包人继续使用承包人在施工现场的材料、设备、临时工程、承包人文件和由承包人或以其名义编制的其他文件的费用承担方式：</w:t>
      </w:r>
      <w:r>
        <w:rPr>
          <w:rFonts w:hint="eastAsia" w:ascii="宋体" w:hAnsi="宋体" w:cs="宋体"/>
          <w:color w:val="auto"/>
          <w:szCs w:val="21"/>
          <w:u w:val="thick"/>
        </w:rPr>
        <w:t>双方另行约定</w:t>
      </w:r>
      <w:r>
        <w:rPr>
          <w:rFonts w:hint="eastAsia" w:ascii="宋体" w:hAnsi="宋体" w:cs="宋体"/>
          <w:color w:val="auto"/>
          <w:szCs w:val="21"/>
        </w:rPr>
        <w:t>。</w:t>
      </w:r>
    </w:p>
    <w:p w14:paraId="311A0F6A">
      <w:pPr>
        <w:spacing w:line="360" w:lineRule="auto"/>
        <w:rPr>
          <w:rFonts w:ascii="宋体" w:hAnsi="宋体" w:cs="宋体"/>
          <w:color w:val="auto"/>
          <w:szCs w:val="21"/>
          <w:shd w:val="pct10" w:color="auto" w:fill="FFFFFF"/>
        </w:rPr>
      </w:pPr>
      <w:bookmarkStart w:id="753" w:name="_Toc351203649"/>
      <w:r>
        <w:rPr>
          <w:rFonts w:hint="eastAsia" w:ascii="宋体" w:hAnsi="宋体" w:cs="宋体"/>
          <w:color w:val="auto"/>
          <w:szCs w:val="21"/>
          <w:shd w:val="pct10" w:color="auto" w:fill="FFFFFF"/>
        </w:rPr>
        <w:t>17.不可抗力</w:t>
      </w:r>
      <w:bookmarkEnd w:id="753"/>
      <w:r>
        <w:rPr>
          <w:rFonts w:hint="eastAsia" w:ascii="宋体" w:hAnsi="宋体" w:cs="宋体"/>
          <w:color w:val="auto"/>
          <w:szCs w:val="21"/>
          <w:shd w:val="pct10" w:color="auto" w:fill="FFFFFF"/>
        </w:rPr>
        <w:t xml:space="preserve"> </w:t>
      </w:r>
      <w:bookmarkEnd w:id="751"/>
    </w:p>
    <w:p w14:paraId="57E5C8CA">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17.1 不可抗力的确认</w:t>
      </w:r>
    </w:p>
    <w:p w14:paraId="255938C9">
      <w:pPr>
        <w:spacing w:line="360" w:lineRule="auto"/>
        <w:rPr>
          <w:rFonts w:ascii="宋体" w:hAnsi="宋体" w:cs="宋体"/>
          <w:color w:val="auto"/>
          <w:szCs w:val="21"/>
        </w:rPr>
      </w:pPr>
      <w:r>
        <w:rPr>
          <w:rFonts w:hint="eastAsia" w:ascii="宋体" w:hAnsi="宋体" w:cs="宋体"/>
          <w:color w:val="auto"/>
          <w:szCs w:val="21"/>
        </w:rPr>
        <w:t>除通用合同条款约定的不可抗力事件之外，视为不可抗力的其他情形：</w:t>
      </w:r>
      <w:r>
        <w:rPr>
          <w:rFonts w:hint="eastAsia" w:ascii="宋体" w:hAnsi="宋体" w:cs="宋体"/>
          <w:color w:val="auto"/>
          <w:szCs w:val="21"/>
          <w:u w:val="thick"/>
        </w:rPr>
        <w:t>不利物质条件：地质水文条件，异常恶劣的气候条件，人为障碍如政府干预、罢工、市场行情剧烈波动、政府禁令、禁运等</w:t>
      </w:r>
      <w:r>
        <w:rPr>
          <w:rFonts w:hint="eastAsia" w:ascii="宋体" w:hAnsi="宋体" w:cs="宋体"/>
          <w:color w:val="auto"/>
          <w:szCs w:val="21"/>
        </w:rPr>
        <w:t>。</w:t>
      </w:r>
    </w:p>
    <w:p w14:paraId="3465AFD5">
      <w:pPr>
        <w:spacing w:line="360" w:lineRule="auto"/>
        <w:rPr>
          <w:rFonts w:ascii="宋体" w:hAnsi="宋体" w:cs="宋体"/>
          <w:color w:val="auto"/>
          <w:szCs w:val="21"/>
        </w:rPr>
      </w:pPr>
      <w:r>
        <w:rPr>
          <w:rFonts w:hint="eastAsia" w:ascii="宋体" w:hAnsi="宋体" w:cs="宋体"/>
          <w:color w:val="auto"/>
          <w:szCs w:val="21"/>
        </w:rPr>
        <w:t>17.4 因不可抗力解除合同</w:t>
      </w:r>
    </w:p>
    <w:p w14:paraId="1CB06389">
      <w:pPr>
        <w:spacing w:line="360" w:lineRule="auto"/>
        <w:rPr>
          <w:rFonts w:ascii="宋体" w:hAnsi="宋体" w:cs="宋体"/>
          <w:color w:val="auto"/>
          <w:szCs w:val="21"/>
        </w:rPr>
      </w:pPr>
      <w:r>
        <w:rPr>
          <w:rFonts w:hint="eastAsia" w:ascii="宋体" w:hAnsi="宋体" w:cs="宋体"/>
          <w:color w:val="auto"/>
          <w:szCs w:val="21"/>
        </w:rPr>
        <w:t>合同解除后，发包人应在商定或确定发包人应支付款项后</w:t>
      </w:r>
      <w:r>
        <w:rPr>
          <w:rFonts w:hint="eastAsia" w:ascii="宋体" w:hAnsi="宋体" w:cs="宋体"/>
          <w:color w:val="auto"/>
          <w:szCs w:val="21"/>
          <w:u w:val="thick"/>
        </w:rPr>
        <w:t>28</w:t>
      </w:r>
      <w:r>
        <w:rPr>
          <w:rFonts w:hint="eastAsia" w:ascii="宋体" w:hAnsi="宋体" w:cs="宋体"/>
          <w:color w:val="auto"/>
          <w:szCs w:val="21"/>
        </w:rPr>
        <w:t>天内完成款项的支付。</w:t>
      </w:r>
    </w:p>
    <w:p w14:paraId="354F300C">
      <w:pPr>
        <w:spacing w:line="360" w:lineRule="auto"/>
        <w:rPr>
          <w:rFonts w:ascii="宋体" w:hAnsi="宋体" w:cs="宋体"/>
          <w:color w:val="auto"/>
          <w:szCs w:val="21"/>
          <w:shd w:val="pct10" w:color="auto" w:fill="FFFFFF"/>
        </w:rPr>
      </w:pPr>
      <w:bookmarkStart w:id="754" w:name="_Toc351203650"/>
      <w:r>
        <w:rPr>
          <w:rFonts w:hint="eastAsia" w:ascii="宋体" w:hAnsi="宋体" w:cs="宋体"/>
          <w:color w:val="auto"/>
          <w:szCs w:val="21"/>
          <w:shd w:val="pct10" w:color="auto" w:fill="FFFFFF"/>
        </w:rPr>
        <w:t>18. 保险</w:t>
      </w:r>
      <w:bookmarkEnd w:id="754"/>
    </w:p>
    <w:bookmarkEnd w:id="752"/>
    <w:p w14:paraId="0AA93E12">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18.1 工程保险</w:t>
      </w:r>
    </w:p>
    <w:p w14:paraId="33E0A81D">
      <w:pPr>
        <w:spacing w:line="360" w:lineRule="auto"/>
        <w:rPr>
          <w:rFonts w:ascii="宋体" w:hAnsi="宋体" w:cs="宋体"/>
          <w:color w:val="auto"/>
          <w:szCs w:val="21"/>
        </w:rPr>
      </w:pPr>
      <w:r>
        <w:rPr>
          <w:rFonts w:hint="eastAsia" w:ascii="宋体" w:hAnsi="宋体" w:cs="宋体"/>
          <w:color w:val="auto"/>
          <w:szCs w:val="21"/>
        </w:rPr>
        <w:t>关于工程保险的特别约定：</w:t>
      </w:r>
      <w:r>
        <w:rPr>
          <w:rFonts w:hint="eastAsia" w:ascii="宋体" w:hAnsi="宋体" w:cs="宋体"/>
          <w:color w:val="auto"/>
          <w:szCs w:val="21"/>
          <w:u w:val="thick"/>
        </w:rPr>
        <w:t>执行通用条款</w:t>
      </w:r>
      <w:r>
        <w:rPr>
          <w:rFonts w:hint="eastAsia" w:ascii="宋体" w:hAnsi="宋体" w:cs="宋体"/>
          <w:color w:val="auto"/>
          <w:szCs w:val="21"/>
        </w:rPr>
        <w:t>。</w:t>
      </w:r>
    </w:p>
    <w:p w14:paraId="0488C071">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18.3 其他保险</w:t>
      </w:r>
    </w:p>
    <w:p w14:paraId="4623D473">
      <w:pPr>
        <w:spacing w:line="360" w:lineRule="auto"/>
        <w:rPr>
          <w:rFonts w:ascii="宋体" w:hAnsi="宋体" w:cs="宋体"/>
          <w:color w:val="auto"/>
          <w:szCs w:val="21"/>
        </w:rPr>
      </w:pPr>
      <w:r>
        <w:rPr>
          <w:rFonts w:hint="eastAsia" w:ascii="宋体" w:hAnsi="宋体" w:cs="宋体"/>
          <w:color w:val="auto"/>
          <w:szCs w:val="21"/>
        </w:rPr>
        <w:t>关于其他保险的约定：</w:t>
      </w:r>
      <w:r>
        <w:rPr>
          <w:rFonts w:hint="eastAsia" w:ascii="宋体" w:hAnsi="宋体" w:cs="宋体"/>
          <w:color w:val="auto"/>
          <w:szCs w:val="21"/>
          <w:u w:val="thick"/>
        </w:rPr>
        <w:t>承包人应为其从事危险作业的人员办理意外伤害保险</w:t>
      </w:r>
      <w:r>
        <w:rPr>
          <w:rFonts w:hint="eastAsia" w:ascii="宋体" w:hAnsi="宋体" w:cs="宋体"/>
          <w:color w:val="auto"/>
          <w:szCs w:val="21"/>
        </w:rPr>
        <w:t>。</w:t>
      </w:r>
    </w:p>
    <w:p w14:paraId="0F1FE7B3">
      <w:pPr>
        <w:spacing w:line="360" w:lineRule="auto"/>
        <w:rPr>
          <w:rFonts w:ascii="宋体" w:hAnsi="宋体" w:cs="宋体"/>
          <w:color w:val="auto"/>
          <w:szCs w:val="21"/>
        </w:rPr>
      </w:pPr>
      <w:r>
        <w:rPr>
          <w:rFonts w:hint="eastAsia" w:ascii="宋体" w:hAnsi="宋体" w:cs="宋体"/>
          <w:color w:val="auto"/>
          <w:szCs w:val="21"/>
        </w:rPr>
        <w:t>承包人是否应为其施工设备等办理财产保险：</w:t>
      </w:r>
      <w:r>
        <w:rPr>
          <w:rFonts w:hint="eastAsia" w:ascii="宋体" w:hAnsi="宋体" w:cs="宋体"/>
          <w:color w:val="auto"/>
          <w:szCs w:val="21"/>
          <w:u w:val="thick"/>
        </w:rPr>
        <w:t>承包人负责</w:t>
      </w:r>
      <w:r>
        <w:rPr>
          <w:rFonts w:hint="eastAsia" w:ascii="宋体" w:hAnsi="宋体" w:cs="宋体"/>
          <w:color w:val="auto"/>
          <w:szCs w:val="21"/>
        </w:rPr>
        <w:t>。</w:t>
      </w:r>
    </w:p>
    <w:p w14:paraId="53E579DD">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18.7 通知义务</w:t>
      </w:r>
    </w:p>
    <w:p w14:paraId="57D882FD">
      <w:pPr>
        <w:spacing w:line="360" w:lineRule="auto"/>
        <w:rPr>
          <w:rFonts w:ascii="宋体" w:hAnsi="宋体" w:cs="宋体"/>
          <w:color w:val="auto"/>
          <w:szCs w:val="21"/>
        </w:rPr>
      </w:pPr>
      <w:r>
        <w:rPr>
          <w:rFonts w:hint="eastAsia" w:ascii="宋体" w:hAnsi="宋体" w:cs="宋体"/>
          <w:color w:val="auto"/>
          <w:szCs w:val="21"/>
        </w:rPr>
        <w:t>关于变更保险合同时的通知义务的约定：</w:t>
      </w:r>
      <w:r>
        <w:rPr>
          <w:rFonts w:hint="eastAsia" w:ascii="宋体" w:hAnsi="宋体" w:cs="宋体"/>
          <w:color w:val="auto"/>
          <w:szCs w:val="21"/>
          <w:u w:val="thick"/>
        </w:rPr>
        <w:t>双方要通过监理人相互通知并获得同意，但工伤保险变更除外(要强制投保)</w:t>
      </w:r>
      <w:r>
        <w:rPr>
          <w:rFonts w:hint="eastAsia" w:ascii="宋体" w:hAnsi="宋体" w:cs="宋体"/>
          <w:color w:val="auto"/>
          <w:szCs w:val="21"/>
        </w:rPr>
        <w:t>。</w:t>
      </w:r>
    </w:p>
    <w:bookmarkEnd w:id="728"/>
    <w:bookmarkEnd w:id="729"/>
    <w:bookmarkEnd w:id="730"/>
    <w:bookmarkEnd w:id="731"/>
    <w:bookmarkEnd w:id="732"/>
    <w:bookmarkEnd w:id="733"/>
    <w:bookmarkEnd w:id="734"/>
    <w:bookmarkEnd w:id="735"/>
    <w:bookmarkEnd w:id="736"/>
    <w:bookmarkEnd w:id="737"/>
    <w:bookmarkEnd w:id="738"/>
    <w:bookmarkEnd w:id="739"/>
    <w:p w14:paraId="48BD5F8D">
      <w:pPr>
        <w:spacing w:line="360" w:lineRule="auto"/>
        <w:rPr>
          <w:rFonts w:ascii="宋体" w:hAnsi="宋体" w:cs="宋体"/>
          <w:color w:val="auto"/>
          <w:szCs w:val="21"/>
          <w:shd w:val="pct10" w:color="auto" w:fill="FFFFFF"/>
        </w:rPr>
      </w:pPr>
      <w:bookmarkStart w:id="755" w:name="_Toc351203651"/>
      <w:r>
        <w:rPr>
          <w:rFonts w:hint="eastAsia" w:ascii="宋体" w:hAnsi="宋体" w:cs="宋体"/>
          <w:color w:val="auto"/>
          <w:szCs w:val="21"/>
          <w:shd w:val="pct10" w:color="auto" w:fill="FFFFFF"/>
        </w:rPr>
        <w:t>20.争议解决</w:t>
      </w:r>
      <w:bookmarkEnd w:id="755"/>
    </w:p>
    <w:bookmarkEnd w:id="740"/>
    <w:bookmarkEnd w:id="741"/>
    <w:p w14:paraId="54A1E64F">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20.3 争</w:t>
      </w:r>
      <w:bookmarkEnd w:id="742"/>
      <w:r>
        <w:rPr>
          <w:rFonts w:hint="eastAsia" w:ascii="宋体" w:hAnsi="宋体" w:cs="宋体"/>
          <w:color w:val="auto"/>
          <w:szCs w:val="21"/>
          <w:shd w:val="pct10" w:color="auto" w:fill="FFFFFF"/>
        </w:rPr>
        <w:t>议评审</w:t>
      </w:r>
    </w:p>
    <w:p w14:paraId="13AB3B48">
      <w:pPr>
        <w:spacing w:line="360" w:lineRule="auto"/>
        <w:rPr>
          <w:rFonts w:ascii="宋体" w:hAnsi="宋体" w:cs="宋体"/>
          <w:color w:val="auto"/>
          <w:szCs w:val="21"/>
        </w:rPr>
      </w:pPr>
      <w:r>
        <w:rPr>
          <w:rFonts w:hint="eastAsia" w:ascii="宋体" w:hAnsi="宋体" w:cs="宋体"/>
          <w:color w:val="auto"/>
          <w:szCs w:val="21"/>
        </w:rPr>
        <w:t>合同当事人是否同意将工程争议提交争议评审小组决定：</w:t>
      </w:r>
      <w:r>
        <w:rPr>
          <w:rFonts w:hint="eastAsia" w:ascii="宋体" w:hAnsi="宋体" w:cs="宋体"/>
          <w:color w:val="auto"/>
          <w:szCs w:val="21"/>
          <w:u w:val="thick"/>
        </w:rPr>
        <w:t>是</w:t>
      </w:r>
      <w:r>
        <w:rPr>
          <w:rFonts w:hint="eastAsia" w:ascii="宋体" w:hAnsi="宋体" w:cs="宋体"/>
          <w:color w:val="auto"/>
          <w:szCs w:val="21"/>
        </w:rPr>
        <w:t xml:space="preserve">。  </w:t>
      </w:r>
    </w:p>
    <w:p w14:paraId="51C53C2B">
      <w:pPr>
        <w:spacing w:line="360" w:lineRule="auto"/>
        <w:rPr>
          <w:rFonts w:ascii="宋体" w:hAnsi="宋体" w:cs="宋体"/>
          <w:color w:val="auto"/>
          <w:szCs w:val="21"/>
        </w:rPr>
      </w:pPr>
      <w:r>
        <w:rPr>
          <w:rFonts w:hint="eastAsia" w:ascii="宋体" w:hAnsi="宋体" w:cs="宋体"/>
          <w:color w:val="auto"/>
          <w:szCs w:val="21"/>
        </w:rPr>
        <w:t>20.3.1 争议评审小组的确定</w:t>
      </w:r>
    </w:p>
    <w:p w14:paraId="19321108">
      <w:pPr>
        <w:spacing w:line="360" w:lineRule="auto"/>
        <w:rPr>
          <w:rFonts w:ascii="宋体" w:hAnsi="宋体" w:cs="宋体"/>
          <w:color w:val="auto"/>
          <w:szCs w:val="21"/>
        </w:rPr>
      </w:pPr>
      <w:r>
        <w:rPr>
          <w:rFonts w:hint="eastAsia" w:ascii="宋体" w:hAnsi="宋体" w:cs="宋体"/>
          <w:color w:val="auto"/>
          <w:szCs w:val="21"/>
        </w:rPr>
        <w:t>争议评审小组成员的确定：</w:t>
      </w:r>
      <w:r>
        <w:rPr>
          <w:rFonts w:hint="eastAsia" w:ascii="宋体" w:hAnsi="宋体" w:cs="宋体"/>
          <w:color w:val="auto"/>
          <w:szCs w:val="21"/>
          <w:u w:val="thick"/>
        </w:rPr>
        <w:t>三名。各自选一名，第三名为首席评审员双方共同确定</w:t>
      </w:r>
      <w:r>
        <w:rPr>
          <w:rFonts w:hint="eastAsia" w:ascii="宋体" w:hAnsi="宋体" w:cs="宋体"/>
          <w:color w:val="auto"/>
          <w:szCs w:val="21"/>
        </w:rPr>
        <w:t>。</w:t>
      </w:r>
    </w:p>
    <w:p w14:paraId="21F77765">
      <w:pPr>
        <w:spacing w:line="360" w:lineRule="auto"/>
        <w:rPr>
          <w:rFonts w:ascii="宋体" w:hAnsi="宋体" w:cs="宋体"/>
          <w:color w:val="auto"/>
          <w:szCs w:val="21"/>
        </w:rPr>
      </w:pPr>
      <w:r>
        <w:rPr>
          <w:rFonts w:hint="eastAsia" w:ascii="宋体" w:hAnsi="宋体" w:cs="宋体"/>
          <w:color w:val="auto"/>
          <w:szCs w:val="21"/>
        </w:rPr>
        <w:t>选定争议评审员的期限：</w:t>
      </w:r>
      <w:r>
        <w:rPr>
          <w:rFonts w:hint="eastAsia" w:ascii="宋体" w:hAnsi="宋体" w:cs="宋体"/>
          <w:color w:val="auto"/>
          <w:szCs w:val="21"/>
          <w:u w:val="thick"/>
        </w:rPr>
        <w:t>争议发生14天</w:t>
      </w:r>
      <w:r>
        <w:rPr>
          <w:rFonts w:hint="eastAsia" w:ascii="宋体" w:hAnsi="宋体" w:cs="宋体"/>
          <w:color w:val="auto"/>
          <w:szCs w:val="21"/>
        </w:rPr>
        <w:t>。</w:t>
      </w:r>
    </w:p>
    <w:p w14:paraId="39052793">
      <w:pPr>
        <w:spacing w:line="360" w:lineRule="auto"/>
        <w:rPr>
          <w:rFonts w:ascii="宋体" w:hAnsi="宋体" w:cs="宋体"/>
          <w:color w:val="auto"/>
          <w:szCs w:val="21"/>
        </w:rPr>
      </w:pPr>
      <w:r>
        <w:rPr>
          <w:rFonts w:hint="eastAsia" w:ascii="宋体" w:hAnsi="宋体" w:cs="宋体"/>
          <w:color w:val="auto"/>
          <w:szCs w:val="21"/>
        </w:rPr>
        <w:t>争议评审小组成员的报酬承担方式：</w:t>
      </w:r>
      <w:r>
        <w:rPr>
          <w:rFonts w:hint="eastAsia" w:ascii="宋体" w:hAnsi="宋体" w:cs="宋体"/>
          <w:color w:val="auto"/>
          <w:szCs w:val="21"/>
          <w:u w:val="thick"/>
        </w:rPr>
        <w:t>由发承包双方各承担一半</w:t>
      </w:r>
      <w:r>
        <w:rPr>
          <w:rFonts w:hint="eastAsia" w:ascii="宋体" w:hAnsi="宋体" w:cs="宋体"/>
          <w:color w:val="auto"/>
          <w:szCs w:val="21"/>
        </w:rPr>
        <w:t>。</w:t>
      </w:r>
    </w:p>
    <w:p w14:paraId="405FD4C9">
      <w:pPr>
        <w:spacing w:line="360" w:lineRule="auto"/>
        <w:rPr>
          <w:rFonts w:ascii="宋体" w:hAnsi="宋体" w:cs="宋体"/>
          <w:color w:val="auto"/>
          <w:szCs w:val="21"/>
        </w:rPr>
      </w:pPr>
      <w:r>
        <w:rPr>
          <w:rFonts w:hint="eastAsia" w:ascii="宋体" w:hAnsi="宋体" w:cs="宋体"/>
          <w:color w:val="auto"/>
          <w:szCs w:val="21"/>
        </w:rPr>
        <w:t>其他事项的约定：</w:t>
      </w:r>
      <w:r>
        <w:rPr>
          <w:rFonts w:hint="eastAsia" w:ascii="宋体" w:hAnsi="宋体" w:cs="宋体"/>
          <w:color w:val="auto"/>
          <w:szCs w:val="21"/>
          <w:u w:val="thick"/>
        </w:rPr>
        <w:t xml:space="preserve">   /   </w:t>
      </w:r>
      <w:r>
        <w:rPr>
          <w:rFonts w:hint="eastAsia" w:ascii="宋体" w:hAnsi="宋体" w:cs="宋体"/>
          <w:color w:val="auto"/>
          <w:szCs w:val="21"/>
        </w:rPr>
        <w:t>。</w:t>
      </w:r>
    </w:p>
    <w:p w14:paraId="5B83CBDF">
      <w:pPr>
        <w:spacing w:line="360" w:lineRule="auto"/>
        <w:rPr>
          <w:rFonts w:ascii="宋体" w:hAnsi="宋体" w:cs="宋体"/>
          <w:color w:val="auto"/>
          <w:szCs w:val="21"/>
        </w:rPr>
      </w:pPr>
      <w:r>
        <w:rPr>
          <w:rFonts w:hint="eastAsia" w:ascii="宋体" w:hAnsi="宋体" w:cs="宋体"/>
          <w:color w:val="auto"/>
          <w:szCs w:val="21"/>
        </w:rPr>
        <w:t>20.3.2 争议评审小组的决定</w:t>
      </w:r>
    </w:p>
    <w:p w14:paraId="32B00A25">
      <w:pPr>
        <w:spacing w:line="360" w:lineRule="auto"/>
        <w:rPr>
          <w:rFonts w:ascii="宋体" w:hAnsi="宋体" w:cs="宋体"/>
          <w:color w:val="auto"/>
          <w:szCs w:val="21"/>
        </w:rPr>
      </w:pPr>
      <w:r>
        <w:rPr>
          <w:rFonts w:hint="eastAsia" w:ascii="宋体" w:hAnsi="宋体" w:cs="宋体"/>
          <w:color w:val="auto"/>
          <w:szCs w:val="21"/>
        </w:rPr>
        <w:t>合同当事人关于本项的约定：</w:t>
      </w:r>
      <w:r>
        <w:rPr>
          <w:rFonts w:hint="eastAsia" w:ascii="宋体" w:hAnsi="宋体" w:cs="宋体"/>
          <w:color w:val="auto"/>
          <w:szCs w:val="21"/>
          <w:u w:val="thick"/>
        </w:rPr>
        <w:t>双方应签字盖章确认</w:t>
      </w:r>
      <w:r>
        <w:rPr>
          <w:rFonts w:hint="eastAsia" w:ascii="宋体" w:hAnsi="宋体" w:cs="宋体"/>
          <w:color w:val="auto"/>
          <w:szCs w:val="21"/>
        </w:rPr>
        <w:t>。</w:t>
      </w:r>
    </w:p>
    <w:p w14:paraId="43B7C974">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20.4仲裁或诉讼</w:t>
      </w:r>
      <w:bookmarkEnd w:id="743"/>
    </w:p>
    <w:p w14:paraId="2185A9D8">
      <w:pPr>
        <w:spacing w:line="360" w:lineRule="auto"/>
        <w:rPr>
          <w:rFonts w:ascii="宋体" w:hAnsi="宋体" w:cs="宋体"/>
          <w:color w:val="auto"/>
          <w:szCs w:val="21"/>
        </w:rPr>
      </w:pPr>
      <w:r>
        <w:rPr>
          <w:rFonts w:hint="eastAsia" w:ascii="宋体" w:hAnsi="宋体" w:cs="宋体"/>
          <w:color w:val="auto"/>
          <w:szCs w:val="21"/>
        </w:rPr>
        <w:t>因合同及合同有关事项发生的争议，按下列第</w:t>
      </w:r>
      <w:r>
        <w:rPr>
          <w:rFonts w:hint="eastAsia" w:ascii="宋体" w:hAnsi="宋体" w:cs="宋体"/>
          <w:color w:val="auto"/>
          <w:szCs w:val="21"/>
          <w:u w:val="thick"/>
        </w:rPr>
        <w:t>(2)</w:t>
      </w:r>
      <w:r>
        <w:rPr>
          <w:rFonts w:hint="eastAsia" w:ascii="宋体" w:hAnsi="宋体" w:cs="宋体"/>
          <w:color w:val="auto"/>
          <w:szCs w:val="21"/>
        </w:rPr>
        <w:t>种方式解决：</w:t>
      </w:r>
    </w:p>
    <w:p w14:paraId="4BF562DD">
      <w:pPr>
        <w:spacing w:line="360" w:lineRule="auto"/>
        <w:rPr>
          <w:rFonts w:ascii="宋体" w:hAnsi="宋体" w:cs="宋体"/>
          <w:color w:val="auto"/>
          <w:szCs w:val="21"/>
        </w:rPr>
      </w:pPr>
      <w:r>
        <w:rPr>
          <w:rFonts w:hint="eastAsia" w:ascii="宋体" w:hAnsi="宋体" w:cs="宋体"/>
          <w:color w:val="auto"/>
          <w:szCs w:val="21"/>
        </w:rPr>
        <w:t>(1)向</w:t>
      </w:r>
      <w:r>
        <w:rPr>
          <w:rFonts w:hint="eastAsia" w:ascii="宋体" w:hAnsi="宋体" w:cs="宋体"/>
          <w:color w:val="auto"/>
          <w:szCs w:val="21"/>
          <w:u w:val="thick"/>
        </w:rPr>
        <w:t xml:space="preserve">                     </w:t>
      </w:r>
      <w:r>
        <w:rPr>
          <w:rFonts w:hint="eastAsia" w:ascii="宋体" w:hAnsi="宋体" w:cs="宋体"/>
          <w:color w:val="auto"/>
          <w:szCs w:val="21"/>
        </w:rPr>
        <w:t>仲裁委员会申请仲裁；</w:t>
      </w:r>
    </w:p>
    <w:p w14:paraId="79047D97">
      <w:pPr>
        <w:spacing w:line="360" w:lineRule="auto"/>
        <w:rPr>
          <w:rFonts w:ascii="宋体" w:hAnsi="宋体" w:cs="宋体"/>
          <w:color w:val="auto"/>
          <w:szCs w:val="21"/>
        </w:rPr>
      </w:pPr>
      <w:r>
        <w:rPr>
          <w:rFonts w:hint="eastAsia" w:ascii="宋体" w:hAnsi="宋体" w:cs="宋体"/>
          <w:color w:val="auto"/>
          <w:szCs w:val="21"/>
        </w:rPr>
        <w:t>(2)向</w:t>
      </w:r>
      <w:r>
        <w:rPr>
          <w:rFonts w:hint="eastAsia" w:ascii="宋体" w:hAnsi="宋体" w:cs="宋体"/>
          <w:color w:val="auto"/>
          <w:szCs w:val="21"/>
          <w:u w:val="thick"/>
        </w:rPr>
        <w:t>工程所在地有管辖权的</w:t>
      </w:r>
      <w:r>
        <w:rPr>
          <w:rFonts w:hint="eastAsia" w:ascii="宋体" w:hAnsi="宋体" w:cs="宋体"/>
          <w:color w:val="auto"/>
          <w:szCs w:val="21"/>
        </w:rPr>
        <w:t>人民法院起诉。</w:t>
      </w:r>
      <w:bookmarkEnd w:id="744"/>
      <w:bookmarkEnd w:id="745"/>
      <w:bookmarkEnd w:id="746"/>
      <w:bookmarkEnd w:id="747"/>
      <w:bookmarkEnd w:id="748"/>
      <w:bookmarkEnd w:id="749"/>
    </w:p>
    <w:p w14:paraId="1DB60F94">
      <w:pPr>
        <w:spacing w:line="360" w:lineRule="auto"/>
        <w:rPr>
          <w:rFonts w:ascii="宋体" w:hAnsi="宋体" w:cs="宋体"/>
          <w:color w:val="auto"/>
          <w:szCs w:val="21"/>
        </w:rPr>
      </w:pPr>
    </w:p>
    <w:p w14:paraId="0E8165D1">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第21条 补充条款</w:t>
      </w:r>
    </w:p>
    <w:p w14:paraId="4BF74C4D">
      <w:pPr>
        <w:spacing w:line="360" w:lineRule="auto"/>
        <w:rPr>
          <w:rFonts w:ascii="宋体" w:hAnsi="宋体" w:cs="宋体"/>
          <w:color w:val="auto"/>
          <w:szCs w:val="21"/>
        </w:rPr>
      </w:pPr>
      <w:r>
        <w:rPr>
          <w:rFonts w:hint="eastAsia" w:ascii="宋体" w:hAnsi="宋体" w:cs="宋体"/>
          <w:color w:val="auto"/>
          <w:szCs w:val="21"/>
        </w:rPr>
        <w:t>21.1 本工程施工期间，承包人要做好与其他承包人及配套工程的协调施工；否则，要承担由此引起的返工怠工损失，工期不得顺延。</w:t>
      </w:r>
    </w:p>
    <w:p w14:paraId="50269894">
      <w:pPr>
        <w:spacing w:line="360" w:lineRule="auto"/>
        <w:rPr>
          <w:rFonts w:ascii="宋体" w:hAnsi="宋体" w:cs="宋体"/>
          <w:color w:val="auto"/>
          <w:szCs w:val="21"/>
        </w:rPr>
      </w:pPr>
      <w:r>
        <w:rPr>
          <w:rFonts w:hint="eastAsia" w:ascii="宋体" w:hAnsi="宋体" w:cs="宋体"/>
          <w:color w:val="auto"/>
          <w:szCs w:val="21"/>
        </w:rPr>
        <w:t>21.2 在施工过程中，承包人人员或受承包人人员指使的他人故意刁难、辱骂、殴打、威胁建设单位及监理单位人员，承包人应立即将相关人员清除出场，并接受发包人50000元/次的处罚，造成人身伤害时，承包人应承担全部责任。</w:t>
      </w:r>
    </w:p>
    <w:p w14:paraId="57311912">
      <w:pPr>
        <w:spacing w:line="360" w:lineRule="auto"/>
        <w:rPr>
          <w:rFonts w:ascii="宋体" w:hAnsi="宋体" w:cs="宋体"/>
          <w:color w:val="auto"/>
          <w:szCs w:val="21"/>
        </w:rPr>
      </w:pPr>
      <w:r>
        <w:rPr>
          <w:rFonts w:hint="eastAsia" w:ascii="宋体" w:hAnsi="宋体" w:cs="宋体"/>
          <w:color w:val="auto"/>
          <w:szCs w:val="21"/>
        </w:rPr>
        <w:t>21.3 承包人必须按照响应文件中提供的现场施工管理人员及具体分工组织施工。对承包人在施工过程中出现的违反招标文件及有关规定的现象，发包人有权责令其改正，对于严重违反有关规定或屡教不改者，发包人有权撤换施工队伍，直至解除合同。</w:t>
      </w:r>
    </w:p>
    <w:p w14:paraId="3FB97340">
      <w:pPr>
        <w:spacing w:line="360" w:lineRule="auto"/>
        <w:rPr>
          <w:rFonts w:ascii="宋体" w:hAnsi="宋体" w:cs="宋体"/>
          <w:color w:val="auto"/>
          <w:szCs w:val="21"/>
        </w:rPr>
      </w:pPr>
      <w:r>
        <w:rPr>
          <w:rFonts w:hint="eastAsia" w:ascii="宋体" w:hAnsi="宋体" w:cs="宋体"/>
          <w:color w:val="auto"/>
          <w:szCs w:val="21"/>
        </w:rPr>
        <w:t>21.4 由施工单位自行协调施工现场及周边的社会关系，费用由承包人承担。</w:t>
      </w:r>
    </w:p>
    <w:p w14:paraId="09148062">
      <w:pPr>
        <w:spacing w:line="360" w:lineRule="auto"/>
        <w:rPr>
          <w:rFonts w:ascii="宋体" w:hAnsi="宋体" w:cs="宋体"/>
          <w:color w:val="auto"/>
          <w:szCs w:val="21"/>
        </w:rPr>
      </w:pPr>
      <w:r>
        <w:rPr>
          <w:rFonts w:hint="eastAsia" w:ascii="宋体" w:hAnsi="宋体" w:cs="宋体"/>
          <w:color w:val="auto"/>
          <w:szCs w:val="21"/>
        </w:rPr>
        <w:t>21.5 承包人应按时、优先支付建筑工人工资，杜绝建筑工人上访事件。在工程实施期间及工程质保期内，如出现与本工程有关的建筑工人到各级政府、政府主管部门、发包人办公场所等上访、纠缠(不限于农民工工资支付问题)情况时，承包人须自行在 8小时内处理完毕，此外，须接受发包人 50000 元/次的处罚。</w:t>
      </w:r>
    </w:p>
    <w:p w14:paraId="31D9ED9B">
      <w:pPr>
        <w:spacing w:line="360" w:lineRule="auto"/>
        <w:rPr>
          <w:rFonts w:ascii="宋体" w:hAnsi="宋体" w:cs="宋体"/>
          <w:color w:val="auto"/>
          <w:szCs w:val="21"/>
        </w:rPr>
      </w:pPr>
      <w:r>
        <w:rPr>
          <w:rFonts w:hint="eastAsia" w:ascii="宋体" w:hAnsi="宋体" w:cs="宋体"/>
          <w:color w:val="auto"/>
          <w:szCs w:val="21"/>
        </w:rPr>
        <w:t>21.6 工程竣工后,承包人应按照发包人要求清理所有的临时性工程场地和临时道路，将这些场地恢复到原有状况，至少达到施工开始前的标准。</w:t>
      </w:r>
    </w:p>
    <w:p w14:paraId="52F1A59B">
      <w:pPr>
        <w:spacing w:line="360" w:lineRule="auto"/>
        <w:rPr>
          <w:rFonts w:ascii="宋体" w:hAnsi="宋体" w:cs="宋体"/>
          <w:color w:val="auto"/>
          <w:szCs w:val="21"/>
        </w:rPr>
      </w:pPr>
      <w:r>
        <w:rPr>
          <w:rFonts w:hint="eastAsia" w:ascii="宋体" w:hAnsi="宋体" w:cs="宋体"/>
          <w:color w:val="auto"/>
          <w:szCs w:val="21"/>
        </w:rPr>
        <w:t>21.7 本工程施工期间，承包人要做好与其他承包人及配套工程的协调施工；否则，要承担由此引起的返工怠工损失，工期不得顺延。</w:t>
      </w:r>
    </w:p>
    <w:p w14:paraId="61025447">
      <w:pPr>
        <w:spacing w:line="360" w:lineRule="auto"/>
        <w:rPr>
          <w:rFonts w:ascii="宋体" w:hAnsi="宋体" w:cs="宋体"/>
          <w:color w:val="auto"/>
          <w:szCs w:val="21"/>
        </w:rPr>
      </w:pPr>
      <w:r>
        <w:rPr>
          <w:rFonts w:hint="eastAsia" w:ascii="宋体" w:hAnsi="宋体" w:cs="宋体"/>
          <w:color w:val="auto"/>
          <w:szCs w:val="21"/>
        </w:rPr>
        <w:t>21.8 承包人在施工过程中故意刁难发包人或其他原因给发包人造成的损失，应全额赔偿发包人的损失，发包人报当地招投标管理部门备案后有权另行选择施工单位。</w:t>
      </w:r>
    </w:p>
    <w:p w14:paraId="6CFBB4D5">
      <w:pPr>
        <w:spacing w:line="360" w:lineRule="auto"/>
        <w:rPr>
          <w:rFonts w:ascii="宋体" w:hAnsi="宋体" w:cs="宋体"/>
          <w:color w:val="auto"/>
          <w:szCs w:val="21"/>
        </w:rPr>
      </w:pPr>
      <w:r>
        <w:rPr>
          <w:rFonts w:hint="eastAsia" w:ascii="宋体" w:hAnsi="宋体" w:cs="宋体"/>
          <w:color w:val="auto"/>
          <w:szCs w:val="21"/>
        </w:rPr>
        <w:t>21.9 由施工单位自行协调施工现场及周边的社会关系。</w:t>
      </w:r>
    </w:p>
    <w:p w14:paraId="1159B786">
      <w:pPr>
        <w:spacing w:line="360" w:lineRule="auto"/>
        <w:rPr>
          <w:rFonts w:ascii="宋体" w:hAnsi="宋体" w:cs="宋体"/>
          <w:color w:val="auto"/>
          <w:szCs w:val="21"/>
        </w:rPr>
      </w:pPr>
      <w:r>
        <w:rPr>
          <w:rFonts w:hint="eastAsia" w:ascii="宋体" w:hAnsi="宋体" w:cs="宋体"/>
          <w:color w:val="auto"/>
          <w:szCs w:val="21"/>
        </w:rPr>
        <w:t>21.10 工程施工用水、电，施工现场的临时设施和场地平整及清理均由承包人负责。</w:t>
      </w:r>
    </w:p>
    <w:p w14:paraId="15F7F9DD">
      <w:pPr>
        <w:spacing w:line="360" w:lineRule="auto"/>
        <w:rPr>
          <w:rFonts w:ascii="宋体" w:hAnsi="宋体" w:cs="宋体"/>
          <w:color w:val="auto"/>
          <w:szCs w:val="21"/>
        </w:rPr>
      </w:pPr>
      <w:r>
        <w:rPr>
          <w:rFonts w:hint="eastAsia" w:ascii="宋体" w:hAnsi="宋体" w:cs="宋体"/>
          <w:color w:val="auto"/>
          <w:szCs w:val="21"/>
        </w:rPr>
        <w:t>21.11 发包人可对承包人的施工质量进行抽查，若发现不良行为或对工作不尽责任的行为可酌情对其处罚。</w:t>
      </w:r>
    </w:p>
    <w:p w14:paraId="49407194">
      <w:pPr>
        <w:spacing w:line="360" w:lineRule="auto"/>
        <w:rPr>
          <w:rFonts w:ascii="宋体" w:hAnsi="宋体" w:cs="宋体"/>
          <w:color w:val="auto"/>
          <w:szCs w:val="21"/>
        </w:rPr>
      </w:pPr>
      <w:r>
        <w:rPr>
          <w:rFonts w:hint="eastAsia" w:ascii="宋体" w:hAnsi="宋体" w:cs="宋体"/>
          <w:color w:val="auto"/>
          <w:szCs w:val="21"/>
        </w:rPr>
        <w:t>21.12 无论何种原因施工现场发生的一切事故均由承包人负责，发包人不承担任何责任。</w:t>
      </w:r>
    </w:p>
    <w:p w14:paraId="69F528C9">
      <w:pPr>
        <w:spacing w:line="360" w:lineRule="auto"/>
        <w:rPr>
          <w:rFonts w:ascii="宋体" w:hAnsi="宋体" w:cs="宋体"/>
          <w:color w:val="auto"/>
          <w:szCs w:val="21"/>
        </w:rPr>
      </w:pPr>
      <w:r>
        <w:rPr>
          <w:rFonts w:hint="eastAsia" w:ascii="宋体" w:hAnsi="宋体" w:cs="宋体"/>
          <w:color w:val="auto"/>
          <w:szCs w:val="21"/>
        </w:rPr>
        <w:t>21.13未在本次招标范围内的工程内容且现场暂不具备施工条件的，待具备施工条件后，在满足国家现行法律、法规要求的前提条件下，甲乙双方可以顺延合同，顺延合同金额应不超国家有关规定。如果一方不同意顺延，甲方可采用招标或其它采购方式另行发包。</w:t>
      </w:r>
    </w:p>
    <w:p w14:paraId="0A9EA73F">
      <w:pPr>
        <w:spacing w:line="360" w:lineRule="auto"/>
        <w:rPr>
          <w:rFonts w:ascii="宋体" w:hAnsi="宋体" w:cs="宋体"/>
          <w:color w:val="auto"/>
          <w:szCs w:val="21"/>
          <w:shd w:val="pct10" w:color="auto" w:fill="FFFFFF"/>
        </w:rPr>
      </w:pPr>
      <w:r>
        <w:rPr>
          <w:rFonts w:hint="eastAsia" w:ascii="宋体" w:hAnsi="宋体" w:cs="宋体"/>
          <w:color w:val="auto"/>
          <w:szCs w:val="21"/>
          <w:shd w:val="pct10" w:color="auto" w:fill="FFFFFF"/>
        </w:rPr>
        <w:t>第22条 附件</w:t>
      </w:r>
    </w:p>
    <w:p w14:paraId="727C40E4">
      <w:pPr>
        <w:spacing w:line="360" w:lineRule="auto"/>
        <w:jc w:val="left"/>
        <w:rPr>
          <w:rFonts w:ascii="宋体" w:hAnsi="宋体" w:cs="宋体"/>
          <w:color w:val="auto"/>
          <w:szCs w:val="21"/>
        </w:rPr>
      </w:pPr>
      <w:r>
        <w:rPr>
          <w:rFonts w:hint="eastAsia" w:ascii="宋体" w:hAnsi="宋体" w:cs="宋体"/>
          <w:color w:val="auto"/>
          <w:szCs w:val="21"/>
        </w:rPr>
        <w:t>1.工程质量保修书。</w:t>
      </w:r>
    </w:p>
    <w:p w14:paraId="6F4312B4">
      <w:pPr>
        <w:spacing w:line="360" w:lineRule="auto"/>
        <w:jc w:val="left"/>
        <w:rPr>
          <w:rFonts w:ascii="宋体" w:hAnsi="宋体" w:cs="宋体"/>
          <w:color w:val="auto"/>
          <w:szCs w:val="21"/>
        </w:rPr>
      </w:pPr>
      <w:r>
        <w:rPr>
          <w:rFonts w:hint="eastAsia" w:ascii="宋体" w:hAnsi="宋体" w:cs="宋体"/>
          <w:color w:val="auto"/>
          <w:szCs w:val="21"/>
        </w:rPr>
        <w:t>2.有关技术标准和要求(主要招标文件第七章内容)。</w:t>
      </w:r>
    </w:p>
    <w:p w14:paraId="47E0937F">
      <w:pPr>
        <w:spacing w:line="360" w:lineRule="auto"/>
        <w:jc w:val="left"/>
        <w:rPr>
          <w:rFonts w:ascii="宋体" w:hAnsi="宋体" w:cs="宋体"/>
          <w:color w:val="auto"/>
          <w:szCs w:val="21"/>
        </w:rPr>
      </w:pPr>
      <w:r>
        <w:rPr>
          <w:rFonts w:hint="eastAsia" w:ascii="宋体" w:hAnsi="宋体" w:cs="宋体"/>
          <w:color w:val="auto"/>
          <w:szCs w:val="21"/>
        </w:rPr>
        <w:t>3.有关价格和材料的说明和要求等。</w:t>
      </w:r>
    </w:p>
    <w:p w14:paraId="4B279D56">
      <w:pPr>
        <w:spacing w:line="360" w:lineRule="auto"/>
        <w:jc w:val="left"/>
        <w:rPr>
          <w:rFonts w:ascii="宋体" w:hAnsi="宋体" w:cs="宋体"/>
          <w:color w:val="auto"/>
          <w:szCs w:val="21"/>
        </w:rPr>
      </w:pPr>
    </w:p>
    <w:p w14:paraId="3E89314B">
      <w:pPr>
        <w:spacing w:line="360" w:lineRule="auto"/>
        <w:jc w:val="left"/>
        <w:rPr>
          <w:rFonts w:hint="eastAsia" w:ascii="宋体" w:hAnsi="宋体" w:cs="宋体"/>
          <w:color w:val="auto"/>
          <w:szCs w:val="21"/>
        </w:rPr>
      </w:pPr>
      <w:r>
        <w:rPr>
          <w:rFonts w:hint="eastAsia" w:ascii="宋体" w:hAnsi="宋体" w:cs="宋体"/>
          <w:color w:val="auto"/>
          <w:szCs w:val="21"/>
        </w:rPr>
        <w:t>(本合同内容仅供参考，签订时甲乙双方可另行协商修改)</w:t>
      </w:r>
    </w:p>
    <w:p w14:paraId="29611786">
      <w:pPr>
        <w:rPr>
          <w:rFonts w:hint="eastAsia" w:ascii="宋体" w:hAnsi="宋体" w:cs="宋体"/>
          <w:color w:val="auto"/>
          <w:szCs w:val="21"/>
        </w:rPr>
      </w:pPr>
      <w:r>
        <w:rPr>
          <w:rFonts w:hint="eastAsia" w:ascii="宋体" w:hAnsi="宋体" w:cs="宋体"/>
          <w:color w:val="auto"/>
          <w:szCs w:val="21"/>
        </w:rPr>
        <w:br w:type="page"/>
      </w:r>
    </w:p>
    <w:p w14:paraId="735D6C31">
      <w:pPr>
        <w:pStyle w:val="2"/>
      </w:pPr>
    </w:p>
    <w:p w14:paraId="643582B4">
      <w:pPr>
        <w:pStyle w:val="4"/>
        <w:numPr>
          <w:ilvl w:val="0"/>
          <w:numId w:val="0"/>
        </w:numPr>
        <w:spacing w:line="360" w:lineRule="auto"/>
        <w:jc w:val="center"/>
        <w:rPr>
          <w:color w:val="auto"/>
        </w:rPr>
      </w:pPr>
      <w:bookmarkStart w:id="756" w:name="_Toc10720"/>
      <w:r>
        <w:rPr>
          <w:rFonts w:hint="eastAsia"/>
          <w:color w:val="auto"/>
          <w:lang w:eastAsia="zh-CN"/>
        </w:rPr>
        <w:t>第六章</w:t>
      </w:r>
      <w:r>
        <w:rPr>
          <w:rFonts w:hint="eastAsia"/>
          <w:color w:val="auto"/>
          <w:lang w:val="en-US" w:eastAsia="zh-CN"/>
        </w:rPr>
        <w:t xml:space="preserve"> </w:t>
      </w:r>
      <w:r>
        <w:rPr>
          <w:rFonts w:hint="eastAsia"/>
          <w:color w:val="auto"/>
        </w:rPr>
        <w:t>图纸</w:t>
      </w:r>
      <w:r>
        <w:rPr>
          <w:rFonts w:hint="eastAsia"/>
          <w:color w:val="auto"/>
          <w:lang w:eastAsia="zh-CN"/>
        </w:rPr>
        <w:t>及</w:t>
      </w:r>
      <w:r>
        <w:rPr>
          <w:rFonts w:hint="eastAsia"/>
          <w:color w:val="auto"/>
        </w:rPr>
        <w:t>工程量清单</w:t>
      </w:r>
      <w:bookmarkEnd w:id="756"/>
    </w:p>
    <w:p w14:paraId="137316C3">
      <w:pPr>
        <w:rPr>
          <w:color w:val="auto"/>
        </w:rPr>
      </w:pPr>
    </w:p>
    <w:p w14:paraId="610E89E2">
      <w:pPr>
        <w:spacing w:before="104" w:line="185" w:lineRule="auto"/>
        <w:jc w:val="center"/>
        <w:outlineLvl w:val="0"/>
        <w:rPr>
          <w:rFonts w:ascii="宋体" w:hAnsi="宋体" w:cs="宋体"/>
          <w:color w:val="auto"/>
          <w:sz w:val="32"/>
          <w:szCs w:val="32"/>
        </w:rPr>
      </w:pPr>
      <w:bookmarkStart w:id="757" w:name="_Toc21061"/>
      <w:bookmarkStart w:id="758" w:name="_Toc26397"/>
      <w:bookmarkStart w:id="759" w:name="_Toc1105"/>
      <w:r>
        <w:rPr>
          <w:rFonts w:ascii="宋体" w:hAnsi="宋体" w:cs="宋体"/>
          <w:color w:val="auto"/>
          <w:spacing w:val="-10"/>
          <w:sz w:val="32"/>
          <w:szCs w:val="32"/>
        </w:rPr>
        <w:t>另附</w:t>
      </w:r>
      <w:bookmarkEnd w:id="757"/>
      <w:bookmarkEnd w:id="758"/>
      <w:bookmarkEnd w:id="759"/>
    </w:p>
    <w:p w14:paraId="7B7320D5">
      <w:pPr>
        <w:rPr>
          <w:color w:val="auto"/>
        </w:rPr>
      </w:pPr>
    </w:p>
    <w:p w14:paraId="2B97A113">
      <w:pPr>
        <w:pStyle w:val="151"/>
        <w:rPr>
          <w:color w:val="auto"/>
        </w:rPr>
      </w:pPr>
    </w:p>
    <w:p w14:paraId="06037F86">
      <w:pPr>
        <w:rPr>
          <w:color w:val="auto"/>
        </w:rPr>
      </w:pPr>
    </w:p>
    <w:p w14:paraId="170D68A9">
      <w:pPr>
        <w:pStyle w:val="151"/>
        <w:rPr>
          <w:color w:val="auto"/>
        </w:rPr>
      </w:pPr>
    </w:p>
    <w:p w14:paraId="4DB366D1">
      <w:pPr>
        <w:rPr>
          <w:color w:val="auto"/>
        </w:rPr>
      </w:pPr>
    </w:p>
    <w:p w14:paraId="13B1ED29">
      <w:pPr>
        <w:pStyle w:val="151"/>
        <w:rPr>
          <w:color w:val="auto"/>
        </w:rPr>
      </w:pPr>
    </w:p>
    <w:p w14:paraId="675B7990">
      <w:pPr>
        <w:rPr>
          <w:color w:val="auto"/>
        </w:rPr>
      </w:pPr>
    </w:p>
    <w:p w14:paraId="2C180204">
      <w:pPr>
        <w:pStyle w:val="151"/>
        <w:rPr>
          <w:color w:val="auto"/>
        </w:rPr>
      </w:pPr>
    </w:p>
    <w:p w14:paraId="0C051FE6">
      <w:pPr>
        <w:rPr>
          <w:color w:val="auto"/>
        </w:rPr>
      </w:pPr>
    </w:p>
    <w:p w14:paraId="5A890011">
      <w:pPr>
        <w:pStyle w:val="151"/>
        <w:rPr>
          <w:color w:val="auto"/>
        </w:rPr>
      </w:pPr>
    </w:p>
    <w:p w14:paraId="0B87635F">
      <w:pPr>
        <w:rPr>
          <w:color w:val="auto"/>
        </w:rPr>
      </w:pPr>
    </w:p>
    <w:p w14:paraId="46AE4CFA">
      <w:pPr>
        <w:pStyle w:val="151"/>
        <w:rPr>
          <w:color w:val="auto"/>
        </w:rPr>
      </w:pPr>
    </w:p>
    <w:p w14:paraId="5C776D60">
      <w:pPr>
        <w:rPr>
          <w:color w:val="auto"/>
        </w:rPr>
      </w:pPr>
    </w:p>
    <w:p w14:paraId="754D5545">
      <w:pPr>
        <w:pStyle w:val="151"/>
        <w:rPr>
          <w:color w:val="auto"/>
        </w:rPr>
      </w:pPr>
    </w:p>
    <w:p w14:paraId="3DD338F8">
      <w:pPr>
        <w:rPr>
          <w:color w:val="auto"/>
        </w:rPr>
      </w:pPr>
    </w:p>
    <w:p w14:paraId="71BFD989">
      <w:pPr>
        <w:pStyle w:val="151"/>
        <w:rPr>
          <w:color w:val="auto"/>
        </w:rPr>
      </w:pPr>
    </w:p>
    <w:p w14:paraId="147719E4">
      <w:pPr>
        <w:rPr>
          <w:color w:val="auto"/>
        </w:rPr>
      </w:pPr>
    </w:p>
    <w:p w14:paraId="028504B4">
      <w:pPr>
        <w:pStyle w:val="151"/>
        <w:rPr>
          <w:color w:val="auto"/>
        </w:rPr>
      </w:pPr>
    </w:p>
    <w:p w14:paraId="6B1C1B99">
      <w:pPr>
        <w:rPr>
          <w:color w:val="auto"/>
        </w:rPr>
      </w:pPr>
    </w:p>
    <w:p w14:paraId="04FACD98">
      <w:pPr>
        <w:pStyle w:val="151"/>
        <w:rPr>
          <w:color w:val="auto"/>
        </w:rPr>
      </w:pPr>
    </w:p>
    <w:p w14:paraId="1E04E2B2">
      <w:pPr>
        <w:rPr>
          <w:color w:val="auto"/>
        </w:rPr>
      </w:pPr>
    </w:p>
    <w:p w14:paraId="446A9612">
      <w:pPr>
        <w:rPr>
          <w:color w:val="auto"/>
        </w:rPr>
      </w:pPr>
    </w:p>
    <w:p w14:paraId="6281F92D">
      <w:pPr>
        <w:rPr>
          <w:color w:val="auto"/>
        </w:rPr>
      </w:pPr>
    </w:p>
    <w:p w14:paraId="2D42CB3F">
      <w:pPr>
        <w:rPr>
          <w:color w:val="auto"/>
        </w:rPr>
      </w:pPr>
    </w:p>
    <w:p w14:paraId="10F0DF24">
      <w:pPr>
        <w:rPr>
          <w:color w:val="auto"/>
        </w:rPr>
      </w:pPr>
    </w:p>
    <w:p w14:paraId="51165D0B">
      <w:pPr>
        <w:rPr>
          <w:color w:val="auto"/>
        </w:rPr>
      </w:pPr>
    </w:p>
    <w:p w14:paraId="096384F7">
      <w:pPr>
        <w:rPr>
          <w:color w:val="auto"/>
        </w:rPr>
      </w:pPr>
    </w:p>
    <w:p w14:paraId="4EE40120">
      <w:pPr>
        <w:pStyle w:val="151"/>
        <w:rPr>
          <w:color w:val="auto"/>
        </w:rPr>
      </w:pPr>
    </w:p>
    <w:p w14:paraId="541029E8">
      <w:pPr>
        <w:rPr>
          <w:color w:val="auto"/>
        </w:rPr>
      </w:pPr>
    </w:p>
    <w:p w14:paraId="23CD919F">
      <w:pPr>
        <w:pStyle w:val="4"/>
        <w:numPr>
          <w:ilvl w:val="0"/>
          <w:numId w:val="0"/>
        </w:numPr>
        <w:spacing w:line="360" w:lineRule="auto"/>
        <w:ind w:left="2998" w:leftChars="0"/>
        <w:rPr>
          <w:color w:val="auto"/>
        </w:rPr>
      </w:pPr>
      <w:bookmarkStart w:id="760" w:name="_Toc7785"/>
      <w:r>
        <w:rPr>
          <w:rFonts w:hint="eastAsia"/>
          <w:color w:val="auto"/>
          <w:lang w:eastAsia="zh-CN"/>
        </w:rPr>
        <w:t>第七章</w:t>
      </w:r>
      <w:r>
        <w:rPr>
          <w:rFonts w:hint="eastAsia"/>
          <w:color w:val="auto"/>
          <w:lang w:val="en-US" w:eastAsia="zh-CN"/>
        </w:rPr>
        <w:t xml:space="preserve">  </w:t>
      </w:r>
      <w:r>
        <w:rPr>
          <w:rFonts w:hint="eastAsia"/>
          <w:color w:val="auto"/>
        </w:rPr>
        <w:t>技术标准和要求</w:t>
      </w:r>
      <w:bookmarkEnd w:id="760"/>
    </w:p>
    <w:bookmarkEnd w:id="211"/>
    <w:bookmarkEnd w:id="212"/>
    <w:bookmarkEnd w:id="213"/>
    <w:bookmarkEnd w:id="214"/>
    <w:bookmarkEnd w:id="224"/>
    <w:p w14:paraId="597FA3F5">
      <w:pPr>
        <w:spacing w:line="360" w:lineRule="auto"/>
        <w:ind w:firstLine="420" w:firstLineChars="200"/>
        <w:rPr>
          <w:b/>
          <w:color w:val="auto"/>
        </w:rPr>
      </w:pPr>
      <w:bookmarkStart w:id="761" w:name="_Toc25650"/>
      <w:bookmarkStart w:id="762" w:name="_Toc26722"/>
      <w:r>
        <w:rPr>
          <w:snapToGrid w:val="0"/>
          <w:color w:val="auto"/>
        </w:rPr>
        <w:t>依据设计</w:t>
      </w:r>
      <w:r>
        <w:rPr>
          <w:color w:val="auto"/>
          <w:szCs w:val="21"/>
        </w:rPr>
        <w:t>文件的</w:t>
      </w:r>
      <w:r>
        <w:rPr>
          <w:snapToGrid w:val="0"/>
          <w:color w:val="auto"/>
        </w:rPr>
        <w:t>要求，本招标工程项目的材料、</w:t>
      </w:r>
      <w:r>
        <w:rPr>
          <w:rFonts w:hAnsi="宋体"/>
          <w:color w:val="auto"/>
          <w:spacing w:val="3"/>
          <w:kern w:val="1"/>
          <w:szCs w:val="21"/>
        </w:rPr>
        <w:t>设备</w:t>
      </w:r>
      <w:r>
        <w:rPr>
          <w:snapToGrid w:val="0"/>
          <w:color w:val="auto"/>
        </w:rPr>
        <w:t>、施工须达到下列现行中华人民共和国以及山东省或行业</w:t>
      </w:r>
      <w:r>
        <w:rPr>
          <w:color w:val="auto"/>
          <w:szCs w:val="21"/>
        </w:rPr>
        <w:t>的</w:t>
      </w:r>
      <w:r>
        <w:rPr>
          <w:snapToGrid w:val="0"/>
          <w:color w:val="auto"/>
        </w:rPr>
        <w:t>工程建设标准、规范的要求。</w:t>
      </w:r>
      <w:r>
        <w:rPr>
          <w:rFonts w:hAnsi="宋体"/>
          <w:color w:val="auto"/>
          <w:spacing w:val="3"/>
          <w:kern w:val="1"/>
          <w:szCs w:val="21"/>
        </w:rPr>
        <w:t>具体</w:t>
      </w:r>
      <w:r>
        <w:rPr>
          <w:snapToGrid w:val="0"/>
          <w:color w:val="auto"/>
          <w:szCs w:val="21"/>
        </w:rPr>
        <w:t>适用的工程建设标准、规范名称详见本工程设计文件及附件。</w:t>
      </w:r>
      <w:bookmarkEnd w:id="761"/>
      <w:bookmarkEnd w:id="762"/>
    </w:p>
    <w:p w14:paraId="14909861">
      <w:pPr>
        <w:spacing w:line="360" w:lineRule="auto"/>
        <w:jc w:val="center"/>
        <w:rPr>
          <w:rFonts w:ascii="Times New Roman" w:hAnsi="Times New Roman"/>
          <w:color w:val="auto"/>
        </w:rPr>
      </w:pPr>
    </w:p>
    <w:p w14:paraId="192BD8EF">
      <w:pPr>
        <w:pStyle w:val="4"/>
        <w:jc w:val="center"/>
        <w:rPr>
          <w:color w:val="auto"/>
        </w:rPr>
      </w:pPr>
      <w:bookmarkStart w:id="763" w:name="_Toc534190150"/>
    </w:p>
    <w:p w14:paraId="199DBA64">
      <w:pPr>
        <w:rPr>
          <w:color w:val="auto"/>
        </w:rPr>
      </w:pPr>
    </w:p>
    <w:p w14:paraId="40ADCEC3">
      <w:pPr>
        <w:pStyle w:val="151"/>
        <w:rPr>
          <w:color w:val="auto"/>
        </w:rPr>
      </w:pPr>
    </w:p>
    <w:p w14:paraId="2A03CA89">
      <w:pPr>
        <w:rPr>
          <w:color w:val="auto"/>
        </w:rPr>
      </w:pPr>
    </w:p>
    <w:p w14:paraId="05D2DA04">
      <w:pPr>
        <w:rPr>
          <w:color w:val="auto"/>
        </w:rPr>
      </w:pPr>
    </w:p>
    <w:p w14:paraId="1A679F2B">
      <w:pPr>
        <w:pStyle w:val="151"/>
        <w:rPr>
          <w:color w:val="auto"/>
        </w:rPr>
      </w:pPr>
    </w:p>
    <w:p w14:paraId="403A00FF">
      <w:pPr>
        <w:rPr>
          <w:color w:val="auto"/>
        </w:rPr>
      </w:pPr>
    </w:p>
    <w:p w14:paraId="2A6714CB">
      <w:pPr>
        <w:pStyle w:val="151"/>
        <w:rPr>
          <w:color w:val="auto"/>
        </w:rPr>
      </w:pPr>
    </w:p>
    <w:p w14:paraId="6A5F420C">
      <w:pPr>
        <w:pStyle w:val="151"/>
        <w:tabs>
          <w:tab w:val="left" w:pos="1855"/>
        </w:tabs>
        <w:ind w:firstLine="0" w:firstLineChars="0"/>
        <w:rPr>
          <w:rFonts w:hint="eastAsia"/>
          <w:color w:val="auto"/>
          <w:lang w:eastAsia="zh-CN"/>
        </w:rPr>
      </w:pPr>
      <w:r>
        <w:rPr>
          <w:rFonts w:hint="eastAsia"/>
          <w:color w:val="auto"/>
          <w:lang w:eastAsia="zh-CN"/>
        </w:rPr>
        <w:tab/>
      </w:r>
    </w:p>
    <w:p w14:paraId="53B0957A">
      <w:pPr>
        <w:rPr>
          <w:rFonts w:hint="eastAsia"/>
          <w:color w:val="auto"/>
          <w:lang w:eastAsia="zh-CN"/>
        </w:rPr>
      </w:pPr>
      <w:r>
        <w:rPr>
          <w:rFonts w:hint="eastAsia"/>
          <w:color w:val="auto"/>
          <w:lang w:eastAsia="zh-CN"/>
        </w:rPr>
        <w:br w:type="page"/>
      </w:r>
    </w:p>
    <w:p w14:paraId="5F3282E4">
      <w:pPr>
        <w:rPr>
          <w:rFonts w:hint="eastAsia"/>
          <w:color w:val="auto"/>
          <w:lang w:eastAsia="zh-CN"/>
        </w:rPr>
      </w:pPr>
    </w:p>
    <w:p w14:paraId="747D1EE5">
      <w:pPr>
        <w:pStyle w:val="4"/>
        <w:jc w:val="center"/>
        <w:rPr>
          <w:color w:val="auto"/>
        </w:rPr>
      </w:pPr>
      <w:bookmarkStart w:id="764" w:name="_Toc15534"/>
      <w:r>
        <w:rPr>
          <w:color w:val="auto"/>
        </w:rPr>
        <w:t>第</w:t>
      </w:r>
      <w:r>
        <w:rPr>
          <w:rFonts w:hint="eastAsia"/>
          <w:color w:val="auto"/>
          <w:lang w:eastAsia="zh-CN"/>
        </w:rPr>
        <w:t>八</w:t>
      </w:r>
      <w:r>
        <w:rPr>
          <w:color w:val="auto"/>
        </w:rPr>
        <w:t>章</w:t>
      </w:r>
      <w:r>
        <w:rPr>
          <w:rFonts w:hint="eastAsia"/>
          <w:color w:val="auto"/>
        </w:rPr>
        <w:t xml:space="preserve">  </w:t>
      </w:r>
      <w:r>
        <w:rPr>
          <w:color w:val="auto"/>
        </w:rPr>
        <w:t>投标文件格式</w:t>
      </w:r>
      <w:bookmarkEnd w:id="763"/>
      <w:bookmarkEnd w:id="764"/>
    </w:p>
    <w:p w14:paraId="7F7838F7">
      <w:pPr>
        <w:jc w:val="center"/>
        <w:outlineLvl w:val="0"/>
        <w:rPr>
          <w:rFonts w:ascii="Times New Roman" w:hAnsi="Times New Roman"/>
          <w:color w:val="auto"/>
          <w:sz w:val="28"/>
          <w:szCs w:val="28"/>
        </w:rPr>
      </w:pPr>
      <w:r>
        <w:rPr>
          <w:rFonts w:hint="eastAsia" w:ascii="Times New Roman" w:hAnsi="Times New Roman"/>
          <w:color w:val="auto"/>
        </w:rPr>
        <w:t xml:space="preserve">                                                           </w:t>
      </w:r>
      <w:r>
        <w:rPr>
          <w:rFonts w:hint="eastAsia" w:ascii="Times New Roman" w:hAnsi="Times New Roman" w:eastAsia="黑体"/>
          <w:color w:val="auto"/>
          <w:sz w:val="28"/>
          <w:szCs w:val="28"/>
        </w:rPr>
        <w:t xml:space="preserve"> </w:t>
      </w:r>
    </w:p>
    <w:p w14:paraId="640CFE2A">
      <w:pPr>
        <w:spacing w:line="400" w:lineRule="exact"/>
        <w:rPr>
          <w:rFonts w:ascii="Times New Roman" w:hAnsi="Times New Roman"/>
          <w:color w:val="auto"/>
        </w:rPr>
      </w:pPr>
    </w:p>
    <w:p w14:paraId="55994DDE">
      <w:pPr>
        <w:spacing w:line="400" w:lineRule="exact"/>
        <w:rPr>
          <w:rFonts w:ascii="Times New Roman" w:hAnsi="Times New Roman"/>
          <w:color w:val="auto"/>
        </w:rPr>
      </w:pPr>
    </w:p>
    <w:p w14:paraId="7AF0F772">
      <w:pPr>
        <w:jc w:val="center"/>
        <w:rPr>
          <w:rFonts w:ascii="宋体" w:hAnsi="宋体" w:cs="宋体"/>
          <w:color w:val="auto"/>
          <w:sz w:val="30"/>
          <w:szCs w:val="30"/>
        </w:rPr>
      </w:pPr>
      <w:r>
        <w:rPr>
          <w:rFonts w:hint="eastAsia" w:ascii="Times New Roman" w:hAnsi="Times New Roman" w:eastAsia="黑体"/>
          <w:color w:val="auto"/>
          <w:sz w:val="28"/>
          <w:szCs w:val="28"/>
          <w:u w:val="single"/>
        </w:rPr>
        <w:t xml:space="preserve">                     </w:t>
      </w:r>
      <w:bookmarkStart w:id="765" w:name="_Toc28997"/>
      <w:bookmarkStart w:id="766" w:name="_Toc14093"/>
      <w:r>
        <w:rPr>
          <w:rFonts w:ascii="Times New Roman" w:hAnsi="Times New Roman" w:eastAsia="黑体"/>
          <w:color w:val="auto"/>
          <w:sz w:val="28"/>
          <w:szCs w:val="28"/>
        </w:rPr>
        <w:t>（项目名称）</w:t>
      </w:r>
      <w:bookmarkEnd w:id="765"/>
      <w:bookmarkEnd w:id="766"/>
    </w:p>
    <w:p w14:paraId="43324D83">
      <w:pPr>
        <w:jc w:val="center"/>
        <w:outlineLvl w:val="0"/>
        <w:rPr>
          <w:rFonts w:ascii="Times New Roman" w:hAnsi="Times New Roman" w:eastAsia="黑体"/>
          <w:color w:val="auto"/>
          <w:sz w:val="28"/>
          <w:szCs w:val="28"/>
        </w:rPr>
      </w:pPr>
    </w:p>
    <w:p w14:paraId="2440952B">
      <w:pPr>
        <w:rPr>
          <w:rFonts w:ascii="Times New Roman" w:hAnsi="Times New Roman" w:eastAsia="黑体"/>
          <w:color w:val="auto"/>
          <w:sz w:val="20"/>
        </w:rPr>
      </w:pPr>
    </w:p>
    <w:p w14:paraId="13173E60">
      <w:pPr>
        <w:rPr>
          <w:rFonts w:ascii="Times New Roman" w:hAnsi="Times New Roman" w:eastAsia="黑体"/>
          <w:color w:val="auto"/>
          <w:sz w:val="20"/>
        </w:rPr>
      </w:pPr>
    </w:p>
    <w:p w14:paraId="3A95E901">
      <w:pPr>
        <w:jc w:val="center"/>
        <w:rPr>
          <w:rFonts w:ascii="Times New Roman" w:hAnsi="Times New Roman" w:eastAsia="黑体"/>
          <w:color w:val="auto"/>
          <w:sz w:val="44"/>
        </w:rPr>
      </w:pPr>
      <w:r>
        <w:rPr>
          <w:rFonts w:ascii="Times New Roman" w:hAnsi="Times New Roman" w:eastAsia="黑体"/>
          <w:color w:val="auto"/>
          <w:sz w:val="44"/>
        </w:rPr>
        <w:t>投 标 文 件</w:t>
      </w:r>
    </w:p>
    <w:p w14:paraId="20BF8606">
      <w:pPr>
        <w:jc w:val="center"/>
        <w:rPr>
          <w:rFonts w:ascii="Times New Roman" w:hAnsi="Times New Roman" w:eastAsia="黑体"/>
          <w:color w:val="auto"/>
          <w:sz w:val="44"/>
        </w:rPr>
      </w:pPr>
    </w:p>
    <w:p w14:paraId="47D25C77">
      <w:pPr>
        <w:ind w:firstLine="2940" w:firstLineChars="1050"/>
        <w:rPr>
          <w:rFonts w:ascii="Times New Roman" w:hAnsi="Times New Roman" w:eastAsia="黑体"/>
          <w:color w:val="auto"/>
          <w:sz w:val="28"/>
          <w:u w:val="single"/>
        </w:rPr>
      </w:pPr>
      <w:r>
        <w:rPr>
          <w:rFonts w:ascii="Times New Roman" w:hAnsi="Times New Roman" w:eastAsia="黑体"/>
          <w:color w:val="auto"/>
          <w:sz w:val="28"/>
        </w:rPr>
        <w:t>项目编号：</w:t>
      </w:r>
      <w:r>
        <w:rPr>
          <w:rFonts w:hint="eastAsia" w:ascii="Times New Roman" w:hAnsi="Times New Roman" w:eastAsia="黑体"/>
          <w:color w:val="auto"/>
          <w:sz w:val="28"/>
          <w:u w:val="single"/>
        </w:rPr>
        <w:t xml:space="preserve">             </w:t>
      </w:r>
    </w:p>
    <w:p w14:paraId="15BB8D7F">
      <w:pPr>
        <w:rPr>
          <w:rFonts w:ascii="Times New Roman" w:hAnsi="Times New Roman" w:eastAsia="黑体"/>
          <w:color w:val="auto"/>
          <w:sz w:val="28"/>
        </w:rPr>
      </w:pPr>
    </w:p>
    <w:p w14:paraId="51AFBF86">
      <w:pPr>
        <w:rPr>
          <w:rFonts w:ascii="Times New Roman" w:hAnsi="Times New Roman" w:eastAsia="黑体"/>
          <w:color w:val="auto"/>
          <w:sz w:val="28"/>
        </w:rPr>
      </w:pPr>
    </w:p>
    <w:p w14:paraId="676FE960">
      <w:pPr>
        <w:rPr>
          <w:rFonts w:ascii="Times New Roman" w:hAnsi="Times New Roman" w:eastAsia="黑体"/>
          <w:color w:val="auto"/>
          <w:sz w:val="28"/>
        </w:rPr>
      </w:pPr>
    </w:p>
    <w:p w14:paraId="17961F9B">
      <w:pPr>
        <w:rPr>
          <w:rFonts w:ascii="Times New Roman" w:hAnsi="Times New Roman" w:eastAsia="黑体"/>
          <w:color w:val="auto"/>
          <w:sz w:val="28"/>
        </w:rPr>
      </w:pPr>
    </w:p>
    <w:p w14:paraId="03B400CC">
      <w:pPr>
        <w:rPr>
          <w:rFonts w:ascii="Times New Roman" w:hAnsi="Times New Roman" w:eastAsia="黑体"/>
          <w:color w:val="auto"/>
          <w:sz w:val="28"/>
        </w:rPr>
      </w:pPr>
    </w:p>
    <w:p w14:paraId="1B4C000D">
      <w:pPr>
        <w:spacing w:line="400" w:lineRule="exact"/>
        <w:jc w:val="center"/>
        <w:rPr>
          <w:rFonts w:ascii="Times New Roman" w:hAnsi="Times New Roman"/>
          <w:color w:val="auto"/>
          <w:u w:val="single"/>
        </w:rPr>
      </w:pPr>
    </w:p>
    <w:p w14:paraId="6ED7AD4C">
      <w:pPr>
        <w:spacing w:line="400" w:lineRule="exact"/>
        <w:ind w:firstLine="1400" w:firstLineChars="500"/>
        <w:rPr>
          <w:rFonts w:ascii="Times New Roman" w:hAnsi="Times New Roman" w:eastAsia="黑体"/>
          <w:color w:val="auto"/>
          <w:sz w:val="28"/>
          <w:u w:val="single"/>
        </w:rPr>
      </w:pPr>
      <w:r>
        <w:rPr>
          <w:rFonts w:hint="eastAsia" w:ascii="Times New Roman" w:hAnsi="Times New Roman" w:eastAsia="黑体"/>
          <w:color w:val="auto"/>
          <w:sz w:val="28"/>
        </w:rPr>
        <w:t>投标人：</w:t>
      </w:r>
      <w:r>
        <w:rPr>
          <w:rFonts w:hint="eastAsia" w:ascii="Times New Roman" w:hAnsi="Times New Roman" w:eastAsia="黑体"/>
          <w:color w:val="auto"/>
          <w:sz w:val="28"/>
          <w:u w:val="single"/>
        </w:rPr>
        <w:t xml:space="preserve">                             </w:t>
      </w:r>
      <w:r>
        <w:rPr>
          <w:rFonts w:hint="eastAsia" w:ascii="Times New Roman" w:hAnsi="Times New Roman" w:eastAsia="黑体"/>
          <w:color w:val="auto"/>
          <w:sz w:val="28"/>
        </w:rPr>
        <w:t>（盖单位章）</w:t>
      </w:r>
    </w:p>
    <w:p w14:paraId="0FD3BF34">
      <w:pPr>
        <w:spacing w:line="400" w:lineRule="exact"/>
        <w:ind w:firstLine="1960" w:firstLineChars="700"/>
        <w:rPr>
          <w:rFonts w:ascii="Times New Roman" w:hAnsi="Times New Roman" w:eastAsia="黑体"/>
          <w:color w:val="auto"/>
          <w:sz w:val="28"/>
          <w:u w:val="single"/>
        </w:rPr>
      </w:pPr>
    </w:p>
    <w:p w14:paraId="5F3E2A28">
      <w:pPr>
        <w:spacing w:line="400" w:lineRule="exact"/>
        <w:ind w:firstLine="1400" w:firstLineChars="500"/>
        <w:rPr>
          <w:rFonts w:ascii="Times New Roman" w:hAnsi="Times New Roman" w:eastAsia="黑体"/>
          <w:color w:val="auto"/>
          <w:sz w:val="28"/>
          <w:u w:val="single"/>
        </w:rPr>
      </w:pPr>
      <w:r>
        <w:rPr>
          <w:rFonts w:hint="eastAsia" w:ascii="Times New Roman" w:hAnsi="Times New Roman" w:eastAsia="黑体"/>
          <w:color w:val="auto"/>
          <w:sz w:val="28"/>
        </w:rPr>
        <w:t>法定代表人或委托代理人：</w:t>
      </w:r>
      <w:r>
        <w:rPr>
          <w:rFonts w:hint="eastAsia" w:ascii="Times New Roman" w:hAnsi="Times New Roman" w:eastAsia="黑体"/>
          <w:color w:val="auto"/>
          <w:sz w:val="28"/>
          <w:u w:val="single"/>
        </w:rPr>
        <w:t xml:space="preserve">          （</w:t>
      </w:r>
      <w:r>
        <w:rPr>
          <w:rFonts w:hint="eastAsia" w:ascii="Times New Roman" w:hAnsi="Times New Roman" w:eastAsia="黑体"/>
          <w:color w:val="auto"/>
          <w:sz w:val="28"/>
        </w:rPr>
        <w:t>签字或盖章）</w:t>
      </w:r>
    </w:p>
    <w:p w14:paraId="6E624E25">
      <w:pPr>
        <w:spacing w:line="400" w:lineRule="exact"/>
        <w:jc w:val="center"/>
        <w:rPr>
          <w:rFonts w:ascii="Times New Roman" w:hAnsi="Times New Roman" w:eastAsia="黑体"/>
          <w:color w:val="auto"/>
          <w:sz w:val="28"/>
        </w:rPr>
      </w:pPr>
    </w:p>
    <w:p w14:paraId="216A033A">
      <w:pPr>
        <w:spacing w:line="400" w:lineRule="exact"/>
        <w:ind w:firstLine="1400" w:firstLineChars="500"/>
        <w:rPr>
          <w:rFonts w:ascii="Times New Roman" w:hAnsi="Times New Roman"/>
          <w:color w:val="auto"/>
        </w:rPr>
      </w:pPr>
      <w:r>
        <w:rPr>
          <w:rFonts w:hint="eastAsia" w:ascii="Times New Roman" w:hAnsi="Times New Roman" w:eastAsia="黑体"/>
          <w:color w:val="auto"/>
          <w:sz w:val="28"/>
        </w:rPr>
        <w:t>日   期：</w:t>
      </w:r>
      <w:r>
        <w:rPr>
          <w:rFonts w:hint="eastAsia" w:ascii="Times New Roman" w:hAnsi="Times New Roman" w:eastAsia="黑体"/>
          <w:color w:val="auto"/>
          <w:sz w:val="28"/>
          <w:u w:val="single"/>
        </w:rPr>
        <w:t xml:space="preserve">      </w:t>
      </w:r>
      <w:r>
        <w:rPr>
          <w:rFonts w:ascii="Times New Roman" w:hAnsi="Times New Roman" w:eastAsia="黑体"/>
          <w:color w:val="auto"/>
          <w:sz w:val="28"/>
        </w:rPr>
        <w:t>年</w:t>
      </w:r>
      <w:r>
        <w:rPr>
          <w:rFonts w:hint="eastAsia" w:ascii="Times New Roman" w:hAnsi="Times New Roman" w:eastAsia="黑体"/>
          <w:color w:val="auto"/>
          <w:sz w:val="28"/>
          <w:u w:val="single"/>
        </w:rPr>
        <w:t xml:space="preserve">     </w:t>
      </w:r>
      <w:r>
        <w:rPr>
          <w:rFonts w:ascii="Times New Roman" w:hAnsi="Times New Roman" w:eastAsia="黑体"/>
          <w:color w:val="auto"/>
          <w:sz w:val="28"/>
        </w:rPr>
        <w:t>月</w:t>
      </w:r>
      <w:r>
        <w:rPr>
          <w:rFonts w:hint="eastAsia" w:ascii="Times New Roman" w:hAnsi="Times New Roman" w:eastAsia="黑体"/>
          <w:color w:val="auto"/>
          <w:sz w:val="28"/>
        </w:rPr>
        <w:t xml:space="preserve"> </w:t>
      </w:r>
      <w:r>
        <w:rPr>
          <w:rFonts w:hint="eastAsia" w:ascii="Times New Roman" w:hAnsi="Times New Roman" w:eastAsia="黑体"/>
          <w:color w:val="auto"/>
          <w:sz w:val="28"/>
          <w:u w:val="single"/>
        </w:rPr>
        <w:t xml:space="preserve">     </w:t>
      </w:r>
      <w:r>
        <w:rPr>
          <w:rFonts w:ascii="Times New Roman" w:hAnsi="Times New Roman" w:eastAsia="黑体"/>
          <w:color w:val="auto"/>
          <w:sz w:val="28"/>
        </w:rPr>
        <w:t>日</w:t>
      </w:r>
      <w:r>
        <w:rPr>
          <w:rFonts w:ascii="Times New Roman" w:hAnsi="Times New Roman"/>
          <w:color w:val="auto"/>
        </w:rPr>
        <w:br w:type="page"/>
      </w:r>
    </w:p>
    <w:p w14:paraId="4927215B">
      <w:pPr>
        <w:pStyle w:val="2"/>
        <w:jc w:val="center"/>
        <w:rPr>
          <w:rFonts w:ascii="Times New Roman" w:hAnsi="Times New Roman"/>
          <w:color w:val="auto"/>
        </w:rPr>
      </w:pPr>
      <w:bookmarkStart w:id="767" w:name="_Toc534190151"/>
      <w:r>
        <w:rPr>
          <w:rFonts w:ascii="Times New Roman" w:hAnsi="Times New Roman"/>
          <w:color w:val="auto"/>
        </w:rPr>
        <w:t>目</w:t>
      </w:r>
      <w:r>
        <w:rPr>
          <w:rFonts w:hint="eastAsia" w:ascii="Times New Roman" w:hAnsi="Times New Roman"/>
          <w:color w:val="auto"/>
        </w:rPr>
        <w:t xml:space="preserve"> </w:t>
      </w:r>
      <w:r>
        <w:rPr>
          <w:rFonts w:ascii="Times New Roman" w:hAnsi="Times New Roman"/>
          <w:color w:val="auto"/>
        </w:rPr>
        <w:t>录</w:t>
      </w:r>
      <w:bookmarkEnd w:id="767"/>
    </w:p>
    <w:p w14:paraId="2BCBFD8B">
      <w:pPr>
        <w:spacing w:line="540" w:lineRule="exact"/>
        <w:ind w:firstLine="480" w:firstLineChars="200"/>
        <w:rPr>
          <w:rFonts w:ascii="Times New Roman" w:hAnsi="Times New Roman"/>
          <w:color w:val="auto"/>
          <w:sz w:val="24"/>
          <w:szCs w:val="24"/>
        </w:rPr>
      </w:pPr>
      <w:r>
        <w:rPr>
          <w:rFonts w:ascii="Times New Roman" w:hAnsi="Times New Roman"/>
          <w:color w:val="auto"/>
          <w:sz w:val="24"/>
          <w:szCs w:val="24"/>
        </w:rPr>
        <w:t>一、投标函</w:t>
      </w:r>
      <w:r>
        <w:rPr>
          <w:rFonts w:hint="eastAsia" w:ascii="Times New Roman" w:hAnsi="Times New Roman"/>
          <w:color w:val="auto"/>
          <w:sz w:val="24"/>
          <w:szCs w:val="24"/>
        </w:rPr>
        <w:t>及投标函附录</w:t>
      </w:r>
    </w:p>
    <w:p w14:paraId="68E541C8">
      <w:pPr>
        <w:spacing w:line="540" w:lineRule="exact"/>
        <w:ind w:firstLine="480" w:firstLineChars="200"/>
        <w:rPr>
          <w:rFonts w:ascii="Times New Roman" w:hAnsi="Times New Roman"/>
          <w:color w:val="auto"/>
          <w:sz w:val="24"/>
          <w:szCs w:val="24"/>
        </w:rPr>
      </w:pPr>
      <w:r>
        <w:rPr>
          <w:rFonts w:ascii="Times New Roman" w:hAnsi="Times New Roman"/>
          <w:color w:val="auto"/>
          <w:sz w:val="24"/>
          <w:szCs w:val="24"/>
        </w:rPr>
        <w:t>二、</w:t>
      </w:r>
      <w:r>
        <w:rPr>
          <w:rFonts w:hint="eastAsia" w:ascii="Times New Roman" w:hAnsi="Times New Roman"/>
          <w:color w:val="auto"/>
          <w:sz w:val="24"/>
          <w:szCs w:val="24"/>
        </w:rPr>
        <w:t>报价一览表</w:t>
      </w:r>
    </w:p>
    <w:p w14:paraId="3E49D001">
      <w:pPr>
        <w:spacing w:line="5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三</w:t>
      </w:r>
      <w:r>
        <w:rPr>
          <w:rFonts w:ascii="Times New Roman" w:hAnsi="Times New Roman"/>
          <w:color w:val="auto"/>
          <w:sz w:val="24"/>
          <w:szCs w:val="24"/>
        </w:rPr>
        <w:t>、法定代表人身份证明</w:t>
      </w:r>
      <w:r>
        <w:rPr>
          <w:rFonts w:hint="eastAsia" w:ascii="Times New Roman" w:hAnsi="Times New Roman"/>
          <w:color w:val="auto"/>
          <w:sz w:val="24"/>
          <w:szCs w:val="24"/>
        </w:rPr>
        <w:t>或法人</w:t>
      </w:r>
      <w:r>
        <w:rPr>
          <w:rFonts w:ascii="Times New Roman" w:hAnsi="Times New Roman"/>
          <w:color w:val="auto"/>
          <w:sz w:val="24"/>
          <w:szCs w:val="24"/>
        </w:rPr>
        <w:t>授权委托书</w:t>
      </w:r>
    </w:p>
    <w:p w14:paraId="7BBCEEE9">
      <w:pPr>
        <w:spacing w:line="540" w:lineRule="exact"/>
        <w:ind w:firstLine="480" w:firstLineChars="200"/>
        <w:rPr>
          <w:rFonts w:ascii="Times New Roman" w:hAnsi="Times New Roman"/>
          <w:color w:val="auto"/>
          <w:sz w:val="24"/>
          <w:szCs w:val="24"/>
        </w:rPr>
      </w:pPr>
      <w:r>
        <w:rPr>
          <w:rFonts w:hint="eastAsia" w:ascii="Times New Roman" w:hAnsi="Times New Roman" w:cs="宋体"/>
          <w:color w:val="auto"/>
          <w:kern w:val="0"/>
          <w:sz w:val="24"/>
          <w:szCs w:val="24"/>
        </w:rPr>
        <w:t>四</w:t>
      </w:r>
      <w:r>
        <w:rPr>
          <w:rFonts w:ascii="Times New Roman" w:hAnsi="Times New Roman"/>
          <w:color w:val="auto"/>
          <w:sz w:val="24"/>
          <w:szCs w:val="24"/>
        </w:rPr>
        <w:t>、</w:t>
      </w:r>
      <w:r>
        <w:rPr>
          <w:rFonts w:hint="eastAsia" w:ascii="Times New Roman" w:hAnsi="Times New Roman"/>
          <w:color w:val="auto"/>
          <w:sz w:val="24"/>
          <w:szCs w:val="24"/>
        </w:rPr>
        <w:t>已标价工程量清单</w:t>
      </w:r>
    </w:p>
    <w:p w14:paraId="62347C14">
      <w:pPr>
        <w:spacing w:line="5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五</w:t>
      </w:r>
      <w:r>
        <w:rPr>
          <w:rFonts w:ascii="Times New Roman" w:hAnsi="Times New Roman"/>
          <w:color w:val="auto"/>
          <w:sz w:val="24"/>
          <w:szCs w:val="24"/>
        </w:rPr>
        <w:t>、</w:t>
      </w:r>
      <w:r>
        <w:rPr>
          <w:rFonts w:hint="eastAsia" w:ascii="Times New Roman" w:hAnsi="Times New Roman"/>
          <w:color w:val="auto"/>
          <w:sz w:val="24"/>
          <w:szCs w:val="24"/>
        </w:rPr>
        <w:t>施工组织设计</w:t>
      </w:r>
    </w:p>
    <w:p w14:paraId="3062C57E">
      <w:pPr>
        <w:spacing w:line="540" w:lineRule="exact"/>
        <w:ind w:firstLine="480" w:firstLineChars="200"/>
        <w:rPr>
          <w:rFonts w:ascii="Times New Roman" w:hAnsi="Times New Roman"/>
          <w:color w:val="auto"/>
          <w:sz w:val="24"/>
          <w:szCs w:val="24"/>
        </w:rPr>
      </w:pPr>
      <w:bookmarkStart w:id="768" w:name="_Toc369531691"/>
      <w:bookmarkStart w:id="769" w:name="_Toc7039"/>
      <w:bookmarkStart w:id="770" w:name="_Toc352691655"/>
      <w:r>
        <w:rPr>
          <w:rFonts w:hint="eastAsia" w:ascii="Times New Roman" w:hAnsi="Times New Roman"/>
          <w:color w:val="auto"/>
          <w:sz w:val="24"/>
          <w:szCs w:val="24"/>
        </w:rPr>
        <w:t>六</w:t>
      </w:r>
      <w:r>
        <w:rPr>
          <w:rFonts w:ascii="Times New Roman" w:hAnsi="Times New Roman"/>
          <w:color w:val="auto"/>
          <w:sz w:val="24"/>
          <w:szCs w:val="24"/>
        </w:rPr>
        <w:t>、</w:t>
      </w:r>
      <w:r>
        <w:rPr>
          <w:rFonts w:hint="eastAsia" w:ascii="Times New Roman" w:hAnsi="Times New Roman"/>
          <w:color w:val="auto"/>
          <w:sz w:val="24"/>
          <w:szCs w:val="24"/>
        </w:rPr>
        <w:t>项目管理机构</w:t>
      </w:r>
    </w:p>
    <w:p w14:paraId="22F3DB44">
      <w:pPr>
        <w:spacing w:line="5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七</w:t>
      </w:r>
      <w:r>
        <w:rPr>
          <w:rFonts w:ascii="Times New Roman" w:hAnsi="Times New Roman"/>
          <w:color w:val="auto"/>
          <w:sz w:val="24"/>
          <w:szCs w:val="24"/>
        </w:rPr>
        <w:t>、</w:t>
      </w:r>
      <w:r>
        <w:rPr>
          <w:rFonts w:hint="eastAsia" w:ascii="Times New Roman" w:hAnsi="Times New Roman"/>
          <w:color w:val="auto"/>
          <w:sz w:val="24"/>
          <w:szCs w:val="24"/>
        </w:rPr>
        <w:t>资格审查资料</w:t>
      </w:r>
    </w:p>
    <w:p w14:paraId="7DDACE46">
      <w:pPr>
        <w:spacing w:line="540" w:lineRule="exact"/>
        <w:ind w:firstLine="480" w:firstLineChars="200"/>
        <w:rPr>
          <w:rFonts w:ascii="Times New Roman" w:hAnsi="Times New Roman"/>
          <w:color w:val="auto"/>
          <w:sz w:val="24"/>
          <w:szCs w:val="24"/>
        </w:rPr>
      </w:pPr>
      <w:bookmarkStart w:id="771" w:name="_Toc300835204"/>
      <w:bookmarkStart w:id="772" w:name="_Toc247514232"/>
      <w:bookmarkStart w:id="773" w:name="_Toc247527819"/>
      <w:r>
        <w:rPr>
          <w:rFonts w:hint="eastAsia" w:ascii="Times New Roman" w:hAnsi="Times New Roman"/>
          <w:color w:val="auto"/>
          <w:sz w:val="24"/>
          <w:szCs w:val="24"/>
        </w:rPr>
        <w:t>八</w:t>
      </w:r>
      <w:r>
        <w:rPr>
          <w:rFonts w:ascii="Times New Roman" w:hAnsi="Times New Roman"/>
          <w:color w:val="auto"/>
          <w:sz w:val="24"/>
          <w:szCs w:val="24"/>
        </w:rPr>
        <w:t>、</w:t>
      </w:r>
      <w:bookmarkEnd w:id="771"/>
      <w:bookmarkEnd w:id="772"/>
      <w:bookmarkEnd w:id="773"/>
      <w:r>
        <w:rPr>
          <w:rFonts w:hint="eastAsia" w:ascii="Times New Roman" w:hAnsi="Times New Roman"/>
          <w:color w:val="auto"/>
          <w:sz w:val="24"/>
          <w:szCs w:val="24"/>
        </w:rPr>
        <w:t>对招标文件的认同程度的声明</w:t>
      </w:r>
    </w:p>
    <w:p w14:paraId="3B92ACF3">
      <w:pPr>
        <w:spacing w:line="540" w:lineRule="exact"/>
        <w:ind w:firstLine="480" w:firstLineChars="200"/>
        <w:rPr>
          <w:rFonts w:ascii="Times New Roman" w:hAnsi="Times New Roman"/>
          <w:color w:val="auto"/>
          <w:sz w:val="24"/>
          <w:szCs w:val="24"/>
        </w:rPr>
      </w:pPr>
      <w:r>
        <w:rPr>
          <w:rFonts w:hint="eastAsia" w:ascii="Times New Roman" w:hAnsi="Times New Roman"/>
          <w:color w:val="auto"/>
          <w:sz w:val="24"/>
          <w:szCs w:val="24"/>
        </w:rPr>
        <w:t>九、其他材料</w:t>
      </w:r>
    </w:p>
    <w:p w14:paraId="740A8B7A">
      <w:pPr>
        <w:pStyle w:val="43"/>
        <w:rPr>
          <w:color w:val="auto"/>
          <w:sz w:val="24"/>
          <w:szCs w:val="24"/>
        </w:rPr>
      </w:pPr>
    </w:p>
    <w:p w14:paraId="29FFC562">
      <w:pPr>
        <w:rPr>
          <w:rFonts w:ascii="Times New Roman" w:hAnsi="Times New Roman"/>
          <w:color w:val="auto"/>
          <w:sz w:val="24"/>
          <w:szCs w:val="24"/>
        </w:rPr>
      </w:pPr>
    </w:p>
    <w:p w14:paraId="47EC5EA8">
      <w:pPr>
        <w:pStyle w:val="43"/>
        <w:rPr>
          <w:color w:val="auto"/>
          <w:sz w:val="24"/>
          <w:szCs w:val="24"/>
        </w:rPr>
      </w:pPr>
    </w:p>
    <w:p w14:paraId="1647C6F3">
      <w:pPr>
        <w:rPr>
          <w:rFonts w:ascii="Times New Roman" w:hAnsi="Times New Roman"/>
          <w:color w:val="auto"/>
          <w:sz w:val="24"/>
          <w:szCs w:val="24"/>
        </w:rPr>
      </w:pPr>
    </w:p>
    <w:p w14:paraId="626C58F6">
      <w:pPr>
        <w:pStyle w:val="43"/>
        <w:rPr>
          <w:color w:val="auto"/>
          <w:sz w:val="24"/>
          <w:szCs w:val="24"/>
        </w:rPr>
      </w:pPr>
    </w:p>
    <w:p w14:paraId="36109CAB">
      <w:pPr>
        <w:rPr>
          <w:rFonts w:ascii="Times New Roman" w:hAnsi="Times New Roman"/>
          <w:color w:val="auto"/>
          <w:sz w:val="24"/>
          <w:szCs w:val="24"/>
        </w:rPr>
      </w:pPr>
    </w:p>
    <w:p w14:paraId="24348518">
      <w:pPr>
        <w:pStyle w:val="43"/>
        <w:rPr>
          <w:color w:val="auto"/>
          <w:sz w:val="24"/>
          <w:szCs w:val="24"/>
        </w:rPr>
      </w:pPr>
    </w:p>
    <w:p w14:paraId="1BB3E18C">
      <w:pPr>
        <w:rPr>
          <w:rFonts w:ascii="Times New Roman" w:hAnsi="Times New Roman"/>
          <w:color w:val="auto"/>
          <w:sz w:val="24"/>
          <w:szCs w:val="24"/>
        </w:rPr>
      </w:pPr>
    </w:p>
    <w:p w14:paraId="61454F5A">
      <w:pPr>
        <w:pStyle w:val="43"/>
        <w:rPr>
          <w:color w:val="auto"/>
          <w:sz w:val="24"/>
          <w:szCs w:val="24"/>
        </w:rPr>
      </w:pPr>
    </w:p>
    <w:p w14:paraId="417408FF">
      <w:pPr>
        <w:rPr>
          <w:rFonts w:ascii="Times New Roman" w:hAnsi="Times New Roman"/>
          <w:color w:val="auto"/>
          <w:sz w:val="24"/>
          <w:szCs w:val="24"/>
        </w:rPr>
      </w:pPr>
    </w:p>
    <w:p w14:paraId="14A50C1B">
      <w:pPr>
        <w:pStyle w:val="43"/>
        <w:rPr>
          <w:color w:val="auto"/>
          <w:sz w:val="24"/>
          <w:szCs w:val="24"/>
        </w:rPr>
      </w:pPr>
    </w:p>
    <w:p w14:paraId="281887AA">
      <w:pPr>
        <w:rPr>
          <w:rFonts w:ascii="Times New Roman" w:hAnsi="Times New Roman"/>
          <w:color w:val="auto"/>
          <w:sz w:val="24"/>
          <w:szCs w:val="24"/>
        </w:rPr>
      </w:pPr>
    </w:p>
    <w:p w14:paraId="76800A54">
      <w:pPr>
        <w:pStyle w:val="43"/>
        <w:rPr>
          <w:color w:val="auto"/>
          <w:sz w:val="24"/>
          <w:szCs w:val="24"/>
        </w:rPr>
      </w:pPr>
    </w:p>
    <w:p w14:paraId="6A8A1520">
      <w:pPr>
        <w:rPr>
          <w:rFonts w:ascii="Times New Roman" w:hAnsi="Times New Roman"/>
          <w:color w:val="auto"/>
          <w:sz w:val="24"/>
          <w:szCs w:val="24"/>
        </w:rPr>
      </w:pPr>
    </w:p>
    <w:p w14:paraId="3F420133">
      <w:pPr>
        <w:pStyle w:val="43"/>
        <w:rPr>
          <w:color w:val="auto"/>
          <w:sz w:val="24"/>
          <w:szCs w:val="24"/>
        </w:rPr>
      </w:pPr>
    </w:p>
    <w:p w14:paraId="4D055BAA">
      <w:pPr>
        <w:rPr>
          <w:rFonts w:ascii="Times New Roman" w:hAnsi="Times New Roman"/>
          <w:color w:val="auto"/>
          <w:sz w:val="24"/>
          <w:szCs w:val="24"/>
        </w:rPr>
      </w:pPr>
    </w:p>
    <w:p w14:paraId="5104F273">
      <w:pPr>
        <w:pStyle w:val="43"/>
        <w:rPr>
          <w:color w:val="auto"/>
          <w:sz w:val="24"/>
          <w:szCs w:val="24"/>
        </w:rPr>
      </w:pPr>
    </w:p>
    <w:p w14:paraId="46FA023F">
      <w:pPr>
        <w:rPr>
          <w:rFonts w:ascii="Times New Roman" w:hAnsi="Times New Roman"/>
          <w:color w:val="auto"/>
          <w:sz w:val="24"/>
          <w:szCs w:val="24"/>
        </w:rPr>
      </w:pPr>
    </w:p>
    <w:p w14:paraId="3D1BB099">
      <w:pPr>
        <w:pStyle w:val="87"/>
        <w:rPr>
          <w:rFonts w:ascii="Times New Roman" w:hAnsi="Times New Roman"/>
          <w:color w:val="auto"/>
          <w:sz w:val="24"/>
          <w:szCs w:val="24"/>
        </w:rPr>
      </w:pPr>
    </w:p>
    <w:p w14:paraId="6DE60573">
      <w:pPr>
        <w:pStyle w:val="86"/>
        <w:ind w:firstLine="210"/>
        <w:rPr>
          <w:color w:val="auto"/>
        </w:rPr>
      </w:pPr>
    </w:p>
    <w:p w14:paraId="10A96009">
      <w:pPr>
        <w:pStyle w:val="43"/>
        <w:rPr>
          <w:color w:val="auto"/>
          <w:sz w:val="24"/>
          <w:szCs w:val="24"/>
        </w:rPr>
      </w:pPr>
    </w:p>
    <w:p w14:paraId="53138A7C">
      <w:pPr>
        <w:rPr>
          <w:color w:val="auto"/>
        </w:rPr>
      </w:pPr>
    </w:p>
    <w:bookmarkEnd w:id="768"/>
    <w:bookmarkEnd w:id="769"/>
    <w:bookmarkEnd w:id="770"/>
    <w:p w14:paraId="550D16BC">
      <w:pPr>
        <w:pStyle w:val="2"/>
        <w:numPr>
          <w:ilvl w:val="0"/>
          <w:numId w:val="7"/>
        </w:numPr>
        <w:jc w:val="center"/>
        <w:rPr>
          <w:rFonts w:ascii="黑体" w:hAnsi="黑体" w:cs="黑体"/>
          <w:color w:val="auto"/>
        </w:rPr>
      </w:pPr>
      <w:bookmarkStart w:id="774" w:name="_Toc534190152"/>
      <w:bookmarkStart w:id="775" w:name="_Toc14019"/>
      <w:r>
        <w:rPr>
          <w:rFonts w:hint="eastAsia" w:ascii="黑体" w:hAnsi="黑体" w:cs="黑体"/>
          <w:color w:val="auto"/>
        </w:rPr>
        <w:t>投标</w:t>
      </w:r>
      <w:bookmarkStart w:id="776" w:name="_Toc6931"/>
      <w:bookmarkStart w:id="777" w:name="_Toc352691656"/>
      <w:bookmarkStart w:id="778" w:name="_Toc369531692"/>
      <w:r>
        <w:rPr>
          <w:rFonts w:hint="eastAsia" w:ascii="黑体" w:hAnsi="黑体" w:cs="黑体"/>
          <w:color w:val="auto"/>
        </w:rPr>
        <w:t>函</w:t>
      </w:r>
      <w:bookmarkEnd w:id="774"/>
      <w:bookmarkEnd w:id="775"/>
      <w:r>
        <w:rPr>
          <w:rFonts w:hint="eastAsia" w:ascii="黑体" w:hAnsi="黑体" w:cs="黑体"/>
          <w:color w:val="auto"/>
        </w:rPr>
        <w:t>及投标函附录</w:t>
      </w:r>
    </w:p>
    <w:p w14:paraId="4B481E10">
      <w:pPr>
        <w:pStyle w:val="27"/>
        <w:rPr>
          <w:color w:val="auto"/>
        </w:rPr>
      </w:pPr>
    </w:p>
    <w:bookmarkEnd w:id="776"/>
    <w:bookmarkEnd w:id="777"/>
    <w:bookmarkEnd w:id="778"/>
    <w:p w14:paraId="48187297">
      <w:pPr>
        <w:spacing w:line="360" w:lineRule="auto"/>
        <w:rPr>
          <w:rFonts w:ascii="宋体" w:hAnsi="宋体"/>
          <w:bCs/>
          <w:color w:val="auto"/>
          <w:szCs w:val="21"/>
        </w:rPr>
      </w:pPr>
      <w:r>
        <w:rPr>
          <w:rFonts w:hint="eastAsia" w:ascii="宋体" w:hAnsi="宋体"/>
          <w:bCs/>
          <w:color w:val="auto"/>
          <w:szCs w:val="21"/>
          <w:u w:val="single"/>
        </w:rPr>
        <w:t xml:space="preserve">                              </w:t>
      </w:r>
      <w:r>
        <w:rPr>
          <w:rFonts w:hint="eastAsia" w:ascii="宋体" w:hAnsi="宋体"/>
          <w:bCs/>
          <w:color w:val="auto"/>
          <w:szCs w:val="21"/>
        </w:rPr>
        <w:t>（招标人名称）：</w:t>
      </w:r>
    </w:p>
    <w:p w14:paraId="13E03D70">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1．我方已仔细研究了</w:t>
      </w:r>
      <w:r>
        <w:rPr>
          <w:rFonts w:hint="eastAsia" w:ascii="Times New Roman" w:hAnsi="Times New Roman"/>
          <w:color w:val="auto"/>
          <w:szCs w:val="21"/>
          <w:u w:val="single"/>
        </w:rPr>
        <w:t xml:space="preserve">                   </w:t>
      </w:r>
      <w:r>
        <w:rPr>
          <w:rFonts w:hint="eastAsia" w:ascii="Times New Roman" w:hAnsi="Times New Roman"/>
          <w:color w:val="auto"/>
          <w:szCs w:val="21"/>
        </w:rPr>
        <w:t>招标文件的全部内容，对招标文件中所有的规定要求、条件全部确认，对招标文件的全部内容予以认同。愿意以人民币（大写）</w:t>
      </w:r>
      <w:r>
        <w:rPr>
          <w:rFonts w:hint="eastAsia" w:ascii="Times New Roman" w:hAnsi="Times New Roman"/>
          <w:color w:val="auto"/>
          <w:szCs w:val="21"/>
          <w:u w:val="single"/>
        </w:rPr>
        <w:t xml:space="preserve">               </w:t>
      </w:r>
      <w:r>
        <w:rPr>
          <w:rFonts w:hint="eastAsia" w:ascii="Times New Roman" w:hAnsi="Times New Roman"/>
          <w:color w:val="auto"/>
          <w:szCs w:val="21"/>
        </w:rPr>
        <w:t>元（￥</w:t>
      </w:r>
      <w:r>
        <w:rPr>
          <w:rFonts w:hint="eastAsia" w:ascii="Times New Roman" w:hAnsi="Times New Roman"/>
          <w:color w:val="auto"/>
          <w:szCs w:val="21"/>
          <w:u w:val="single"/>
        </w:rPr>
        <w:t xml:space="preserve">         </w:t>
      </w:r>
      <w:r>
        <w:rPr>
          <w:rFonts w:hint="eastAsia" w:ascii="Times New Roman" w:hAnsi="Times New Roman"/>
          <w:color w:val="auto"/>
          <w:szCs w:val="21"/>
        </w:rPr>
        <w:t xml:space="preserve"> ）的投标总报价，完全认同招标文件中约定总工期，按合同约定实施和完成本项目，修补工程中的任何缺陷，工程质量达到</w:t>
      </w:r>
      <w:r>
        <w:rPr>
          <w:rFonts w:hint="eastAsia" w:ascii="Times New Roman" w:hAnsi="Times New Roman"/>
          <w:color w:val="auto"/>
          <w:szCs w:val="21"/>
          <w:u w:val="single"/>
        </w:rPr>
        <w:t xml:space="preserve">                      </w:t>
      </w:r>
      <w:r>
        <w:rPr>
          <w:rFonts w:hint="eastAsia" w:ascii="Times New Roman" w:hAnsi="Times New Roman"/>
          <w:color w:val="auto"/>
          <w:szCs w:val="21"/>
        </w:rPr>
        <w:t>。</w:t>
      </w:r>
    </w:p>
    <w:p w14:paraId="314CD991">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2．我方承诺在投标有效期内不修改、撤销投标文件。</w:t>
      </w:r>
    </w:p>
    <w:p w14:paraId="57AE6B9F">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3．如我方中标：</w:t>
      </w:r>
    </w:p>
    <w:p w14:paraId="01929066">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（l）我方承诺在收到中标通知书后，在中标通知书规定的期限内与你方签订合同。</w:t>
      </w:r>
    </w:p>
    <w:p w14:paraId="25A06A0D">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（2）随同本投标函递交的投标函附录属于合同文件的组成部分。</w:t>
      </w:r>
    </w:p>
    <w:p w14:paraId="71E39DC1">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（3）我方承诺在合同约定的期限内完成并移交全部合同工程。</w:t>
      </w:r>
    </w:p>
    <w:p w14:paraId="75C2F65C">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4．我方在此声明，所递交的投标文件及有关资料内容完整、真实和准确，且不存在第二章“投标人须知” 规定的任何一种情形。</w:t>
      </w:r>
    </w:p>
    <w:p w14:paraId="39422603">
      <w:pPr>
        <w:spacing w:line="440" w:lineRule="exact"/>
        <w:ind w:firstLine="420" w:firstLineChars="200"/>
        <w:rPr>
          <w:rFonts w:ascii="Times New Roman" w:hAnsi="Times New Roman"/>
          <w:color w:val="auto"/>
          <w:szCs w:val="21"/>
        </w:rPr>
      </w:pPr>
      <w:r>
        <w:rPr>
          <w:rFonts w:hint="eastAsia" w:ascii="Times New Roman" w:hAnsi="Times New Roman"/>
          <w:color w:val="auto"/>
          <w:szCs w:val="21"/>
        </w:rPr>
        <w:t>5. （其他补充说明）。</w:t>
      </w:r>
    </w:p>
    <w:bookmarkEnd w:id="215"/>
    <w:bookmarkEnd w:id="216"/>
    <w:bookmarkEnd w:id="217"/>
    <w:bookmarkEnd w:id="218"/>
    <w:bookmarkEnd w:id="219"/>
    <w:bookmarkEnd w:id="220"/>
    <w:bookmarkEnd w:id="221"/>
    <w:bookmarkEnd w:id="222"/>
    <w:bookmarkEnd w:id="223"/>
    <w:p w14:paraId="2CC0E150">
      <w:pPr>
        <w:spacing w:line="440" w:lineRule="exact"/>
        <w:ind w:firstLine="3780" w:firstLineChars="1800"/>
        <w:jc w:val="left"/>
        <w:rPr>
          <w:rFonts w:ascii="Times New Roman" w:hAnsi="Times New Roman"/>
          <w:color w:val="auto"/>
          <w:szCs w:val="21"/>
        </w:rPr>
      </w:pPr>
      <w:bookmarkStart w:id="779" w:name="_Toc16568"/>
      <w:bookmarkEnd w:id="779"/>
      <w:bookmarkStart w:id="780" w:name="_Toc369531696"/>
      <w:bookmarkEnd w:id="780"/>
      <w:bookmarkStart w:id="781" w:name="_Toc16824"/>
      <w:bookmarkEnd w:id="781"/>
      <w:bookmarkStart w:id="782" w:name="_Toc352691659"/>
      <w:bookmarkEnd w:id="782"/>
      <w:bookmarkStart w:id="783" w:name="_Toc369531695"/>
      <w:bookmarkEnd w:id="783"/>
      <w:bookmarkStart w:id="784" w:name="_Toc352691660"/>
      <w:bookmarkEnd w:id="784"/>
      <w:r>
        <w:rPr>
          <w:rFonts w:ascii="Times New Roman" w:hAnsi="Times New Roman"/>
          <w:color w:val="auto"/>
          <w:szCs w:val="21"/>
        </w:rPr>
        <w:t>投 标 人：</w:t>
      </w:r>
      <w:r>
        <w:rPr>
          <w:rFonts w:hint="eastAsia" w:ascii="Times New Roman" w:hAnsi="Times New Roman"/>
          <w:color w:val="auto"/>
          <w:szCs w:val="21"/>
          <w:u w:val="single"/>
        </w:rPr>
        <w:t xml:space="preserve">                      </w:t>
      </w:r>
      <w:r>
        <w:rPr>
          <w:rFonts w:hint="eastAsia" w:ascii="Times New Roman" w:hAnsi="Times New Roman"/>
          <w:color w:val="auto"/>
          <w:szCs w:val="21"/>
        </w:rPr>
        <w:t xml:space="preserve"> （盖单位章） </w:t>
      </w:r>
      <w:r>
        <w:rPr>
          <w:rFonts w:hint="eastAsia"/>
          <w:color w:val="auto"/>
          <w:szCs w:val="21"/>
        </w:rPr>
        <w:t xml:space="preserve">   </w:t>
      </w:r>
    </w:p>
    <w:p w14:paraId="77194CC9">
      <w:pPr>
        <w:spacing w:line="440" w:lineRule="exact"/>
        <w:jc w:val="left"/>
        <w:rPr>
          <w:rFonts w:ascii="Times New Roman" w:hAnsi="Times New Roman"/>
          <w:color w:val="auto"/>
          <w:szCs w:val="21"/>
        </w:rPr>
      </w:pPr>
      <w:r>
        <w:rPr>
          <w:rFonts w:ascii="Times New Roman" w:hAnsi="Times New Roman"/>
          <w:color w:val="auto"/>
          <w:szCs w:val="21"/>
        </w:rPr>
        <w:t xml:space="preserve">                      </w:t>
      </w:r>
      <w:r>
        <w:rPr>
          <w:rFonts w:hint="eastAsia" w:ascii="Times New Roman" w:hAnsi="Times New Roman"/>
          <w:color w:val="auto"/>
          <w:szCs w:val="21"/>
        </w:rPr>
        <w:t xml:space="preserve">            </w:t>
      </w:r>
      <w:r>
        <w:rPr>
          <w:rFonts w:ascii="Times New Roman" w:hAnsi="Times New Roman"/>
          <w:color w:val="auto"/>
          <w:szCs w:val="21"/>
        </w:rPr>
        <w:t xml:space="preserve">  法定代表人或其委托代理人：</w:t>
      </w:r>
      <w:r>
        <w:rPr>
          <w:rFonts w:hint="eastAsia" w:ascii="Times New Roman" w:hAnsi="Times New Roman"/>
          <w:color w:val="auto"/>
          <w:szCs w:val="21"/>
          <w:u w:val="single"/>
        </w:rPr>
        <w:t xml:space="preserve">   </w:t>
      </w:r>
      <w:r>
        <w:rPr>
          <w:rFonts w:ascii="Times New Roman" w:hAnsi="Times New Roman"/>
          <w:color w:val="auto"/>
          <w:szCs w:val="21"/>
          <w:u w:val="single"/>
        </w:rPr>
        <w:tab/>
      </w:r>
      <w:r>
        <w:rPr>
          <w:rFonts w:ascii="Times New Roman" w:hAnsi="Times New Roman"/>
          <w:color w:val="auto"/>
          <w:szCs w:val="21"/>
        </w:rPr>
        <w:t>（签字或盖章）</w:t>
      </w:r>
    </w:p>
    <w:p w14:paraId="00EF28F9">
      <w:pPr>
        <w:spacing w:line="440" w:lineRule="exact"/>
        <w:ind w:firstLine="3780" w:firstLineChars="1800"/>
        <w:jc w:val="left"/>
        <w:rPr>
          <w:rFonts w:ascii="Times New Roman" w:hAnsi="Times New Roman"/>
          <w:color w:val="auto"/>
          <w:szCs w:val="21"/>
        </w:rPr>
      </w:pPr>
      <w:r>
        <w:rPr>
          <w:rFonts w:ascii="Times New Roman" w:hAnsi="Times New Roman"/>
          <w:color w:val="auto"/>
          <w:szCs w:val="21"/>
        </w:rPr>
        <w:t>地    址：</w:t>
      </w:r>
      <w:r>
        <w:rPr>
          <w:rFonts w:ascii="Times New Roman" w:hAnsi="Times New Roman"/>
          <w:color w:val="auto"/>
          <w:szCs w:val="21"/>
          <w:u w:val="single"/>
        </w:rPr>
        <w:tab/>
      </w:r>
      <w:r>
        <w:rPr>
          <w:rFonts w:hint="eastAsia" w:ascii="Times New Roman" w:hAnsi="Times New Roman"/>
          <w:color w:val="auto"/>
          <w:szCs w:val="21"/>
          <w:u w:val="single"/>
        </w:rPr>
        <w:t xml:space="preserve">               </w:t>
      </w:r>
      <w:r>
        <w:rPr>
          <w:rFonts w:ascii="Times New Roman" w:hAnsi="Times New Roman"/>
          <w:color w:val="auto"/>
          <w:szCs w:val="21"/>
          <w:u w:val="single"/>
        </w:rPr>
        <w:tab/>
      </w:r>
    </w:p>
    <w:p w14:paraId="0B8AEFA9">
      <w:pPr>
        <w:spacing w:line="440" w:lineRule="exact"/>
        <w:ind w:firstLine="3780" w:firstLineChars="1800"/>
        <w:jc w:val="left"/>
        <w:rPr>
          <w:rFonts w:ascii="Times New Roman" w:hAnsi="Times New Roman"/>
          <w:color w:val="auto"/>
          <w:szCs w:val="21"/>
        </w:rPr>
      </w:pPr>
      <w:r>
        <w:rPr>
          <w:rFonts w:ascii="Times New Roman" w:hAnsi="Times New Roman"/>
          <w:color w:val="auto"/>
          <w:szCs w:val="21"/>
        </w:rPr>
        <w:t>网    址：</w:t>
      </w:r>
      <w:r>
        <w:rPr>
          <w:rFonts w:hint="eastAsia" w:ascii="Times New Roman" w:hAnsi="Times New Roman"/>
          <w:color w:val="auto"/>
          <w:szCs w:val="21"/>
          <w:u w:val="single"/>
        </w:rPr>
        <w:t xml:space="preserve">               </w:t>
      </w:r>
      <w:r>
        <w:rPr>
          <w:rFonts w:ascii="Times New Roman" w:hAnsi="Times New Roman"/>
          <w:color w:val="auto"/>
          <w:szCs w:val="21"/>
          <w:u w:val="single"/>
        </w:rPr>
        <w:tab/>
      </w:r>
    </w:p>
    <w:p w14:paraId="35BAE84A">
      <w:pPr>
        <w:spacing w:line="440" w:lineRule="exact"/>
        <w:ind w:firstLine="3780" w:firstLineChars="1800"/>
        <w:jc w:val="left"/>
        <w:rPr>
          <w:rFonts w:ascii="Times New Roman" w:hAnsi="Times New Roman"/>
          <w:color w:val="auto"/>
          <w:szCs w:val="21"/>
        </w:rPr>
      </w:pPr>
      <w:r>
        <w:rPr>
          <w:rFonts w:ascii="Times New Roman" w:hAnsi="Times New Roman"/>
          <w:color w:val="auto"/>
          <w:szCs w:val="21"/>
        </w:rPr>
        <w:t>电    话：</w:t>
      </w:r>
      <w:r>
        <w:rPr>
          <w:rFonts w:ascii="Times New Roman" w:hAnsi="Times New Roman"/>
          <w:color w:val="auto"/>
          <w:szCs w:val="21"/>
          <w:u w:val="single"/>
        </w:rPr>
        <w:tab/>
      </w:r>
      <w:r>
        <w:rPr>
          <w:rFonts w:hint="eastAsia" w:ascii="Times New Roman" w:hAnsi="Times New Roman"/>
          <w:color w:val="auto"/>
          <w:szCs w:val="21"/>
          <w:u w:val="single"/>
        </w:rPr>
        <w:t xml:space="preserve">            </w:t>
      </w:r>
      <w:r>
        <w:rPr>
          <w:rFonts w:ascii="Times New Roman" w:hAnsi="Times New Roman"/>
          <w:color w:val="auto"/>
          <w:szCs w:val="21"/>
          <w:u w:val="single"/>
        </w:rPr>
        <w:tab/>
      </w:r>
    </w:p>
    <w:p w14:paraId="501CF548">
      <w:pPr>
        <w:spacing w:line="440" w:lineRule="exact"/>
        <w:ind w:firstLine="3780" w:firstLineChars="1800"/>
        <w:jc w:val="left"/>
        <w:rPr>
          <w:rFonts w:ascii="Times New Roman" w:hAnsi="Times New Roman"/>
          <w:color w:val="auto"/>
          <w:szCs w:val="21"/>
        </w:rPr>
      </w:pPr>
      <w:r>
        <w:rPr>
          <w:rFonts w:ascii="Times New Roman" w:hAnsi="Times New Roman"/>
          <w:color w:val="auto"/>
          <w:szCs w:val="21"/>
        </w:rPr>
        <w:t>传    真：</w:t>
      </w:r>
      <w:r>
        <w:rPr>
          <w:rFonts w:hint="eastAsia" w:ascii="Times New Roman" w:hAnsi="Times New Roman"/>
          <w:color w:val="auto"/>
          <w:szCs w:val="21"/>
          <w:u w:val="single"/>
        </w:rPr>
        <w:t xml:space="preserve"> </w:t>
      </w:r>
      <w:r>
        <w:rPr>
          <w:rFonts w:ascii="Times New Roman" w:hAnsi="Times New Roman"/>
          <w:color w:val="auto"/>
          <w:szCs w:val="21"/>
          <w:u w:val="single"/>
        </w:rPr>
        <w:tab/>
      </w:r>
      <w:r>
        <w:rPr>
          <w:rFonts w:hint="eastAsia" w:ascii="Times New Roman" w:hAnsi="Times New Roman"/>
          <w:color w:val="auto"/>
          <w:szCs w:val="21"/>
          <w:u w:val="single"/>
        </w:rPr>
        <w:t xml:space="preserve">                </w:t>
      </w:r>
    </w:p>
    <w:p w14:paraId="690D7C5E">
      <w:pPr>
        <w:spacing w:line="440" w:lineRule="exact"/>
        <w:ind w:firstLine="3780" w:firstLineChars="1800"/>
        <w:jc w:val="left"/>
        <w:rPr>
          <w:rFonts w:ascii="Times New Roman" w:hAnsi="Times New Roman"/>
          <w:color w:val="auto"/>
          <w:szCs w:val="21"/>
          <w:u w:val="single"/>
        </w:rPr>
      </w:pPr>
      <w:r>
        <w:rPr>
          <w:rFonts w:ascii="Times New Roman" w:hAnsi="Times New Roman"/>
          <w:color w:val="auto"/>
          <w:szCs w:val="21"/>
        </w:rPr>
        <w:t>邮政编码：</w:t>
      </w:r>
      <w:r>
        <w:rPr>
          <w:rFonts w:hint="eastAsia" w:ascii="Times New Roman" w:hAnsi="Times New Roman"/>
          <w:color w:val="auto"/>
          <w:szCs w:val="21"/>
          <w:u w:val="single"/>
        </w:rPr>
        <w:t xml:space="preserve">              </w:t>
      </w:r>
      <w:r>
        <w:rPr>
          <w:rFonts w:ascii="Times New Roman" w:hAnsi="Times New Roman"/>
          <w:color w:val="auto"/>
          <w:szCs w:val="21"/>
          <w:u w:val="single"/>
        </w:rPr>
        <w:tab/>
      </w:r>
    </w:p>
    <w:p w14:paraId="382B4963">
      <w:pPr>
        <w:wordWrap w:val="0"/>
        <w:spacing w:line="440" w:lineRule="exact"/>
        <w:ind w:firstLine="3990" w:firstLineChars="1900"/>
        <w:rPr>
          <w:rFonts w:ascii="Times New Roman" w:hAnsi="Times New Roman"/>
          <w:color w:val="auto"/>
          <w:szCs w:val="21"/>
        </w:rPr>
      </w:pPr>
      <w:r>
        <w:rPr>
          <w:rFonts w:hint="eastAsia" w:ascii="Times New Roman" w:hAnsi="Times New Roman"/>
          <w:color w:val="auto"/>
          <w:szCs w:val="21"/>
          <w:u w:val="single"/>
        </w:rPr>
        <w:t xml:space="preserve">       </w:t>
      </w:r>
      <w:r>
        <w:rPr>
          <w:rFonts w:hint="eastAsia" w:ascii="Times New Roman" w:hAnsi="Times New Roman"/>
          <w:color w:val="auto"/>
          <w:szCs w:val="21"/>
        </w:rPr>
        <w:t>年</w:t>
      </w:r>
      <w:r>
        <w:rPr>
          <w:rFonts w:hint="eastAsia" w:ascii="Times New Roman" w:hAnsi="Times New Roman"/>
          <w:color w:val="auto"/>
          <w:szCs w:val="21"/>
          <w:u w:val="single"/>
        </w:rPr>
        <w:t xml:space="preserve">      </w:t>
      </w:r>
      <w:r>
        <w:rPr>
          <w:rFonts w:hint="eastAsia" w:ascii="Times New Roman" w:hAnsi="Times New Roman"/>
          <w:color w:val="auto"/>
          <w:szCs w:val="21"/>
        </w:rPr>
        <w:t xml:space="preserve"> </w:t>
      </w:r>
      <w:r>
        <w:rPr>
          <w:rFonts w:ascii="Times New Roman" w:hAnsi="Times New Roman"/>
          <w:color w:val="auto"/>
          <w:szCs w:val="21"/>
        </w:rPr>
        <w:t>月</w:t>
      </w:r>
      <w:r>
        <w:rPr>
          <w:rFonts w:hint="eastAsia" w:ascii="Times New Roman" w:hAnsi="Times New Roman"/>
          <w:color w:val="auto"/>
          <w:szCs w:val="21"/>
          <w:u w:val="single"/>
        </w:rPr>
        <w:t xml:space="preserve">       </w:t>
      </w:r>
      <w:r>
        <w:rPr>
          <w:rFonts w:ascii="Times New Roman" w:hAnsi="Times New Roman"/>
          <w:color w:val="auto"/>
          <w:szCs w:val="21"/>
        </w:rPr>
        <w:t>日</w:t>
      </w:r>
    </w:p>
    <w:p w14:paraId="7CC58168">
      <w:pPr>
        <w:spacing w:line="440" w:lineRule="exact"/>
        <w:rPr>
          <w:rFonts w:ascii="Times New Roman" w:hAnsi="Times New Roman"/>
          <w:color w:val="auto"/>
          <w:szCs w:val="21"/>
        </w:rPr>
      </w:pPr>
    </w:p>
    <w:p w14:paraId="077B1379">
      <w:pPr>
        <w:spacing w:line="440" w:lineRule="exact"/>
        <w:rPr>
          <w:rFonts w:ascii="Times New Roman" w:hAnsi="Times New Roman"/>
          <w:color w:val="auto"/>
          <w:szCs w:val="21"/>
        </w:rPr>
      </w:pPr>
    </w:p>
    <w:p w14:paraId="6CAA3F0C">
      <w:pPr>
        <w:spacing w:line="440" w:lineRule="exact"/>
        <w:rPr>
          <w:rFonts w:ascii="Times New Roman" w:hAnsi="Times New Roman" w:eastAsia="黑体"/>
          <w:color w:val="auto"/>
          <w:sz w:val="20"/>
        </w:rPr>
      </w:pPr>
      <w:bookmarkStart w:id="785" w:name="_Toc247527827"/>
      <w:bookmarkStart w:id="786" w:name="_Toc352691661"/>
      <w:bookmarkStart w:id="787" w:name="_Toc144974856"/>
      <w:bookmarkStart w:id="788" w:name="_Toc152045787"/>
      <w:bookmarkStart w:id="789" w:name="_Toc300835209"/>
      <w:bookmarkStart w:id="790" w:name="_Toc152042576"/>
      <w:bookmarkStart w:id="791" w:name="_Toc369531697"/>
      <w:bookmarkStart w:id="792" w:name="_Toc384308375"/>
      <w:bookmarkStart w:id="793" w:name="_Toc247514246"/>
      <w:bookmarkStart w:id="794" w:name="_Toc17960"/>
      <w:bookmarkStart w:id="795" w:name="_Toc361508752"/>
    </w:p>
    <w:p w14:paraId="3D803D23">
      <w:pPr>
        <w:pStyle w:val="27"/>
        <w:rPr>
          <w:rFonts w:ascii="Times New Roman" w:hAnsi="Times New Roman" w:eastAsia="黑体"/>
          <w:color w:val="auto"/>
          <w:sz w:val="20"/>
        </w:rPr>
      </w:pPr>
    </w:p>
    <w:p w14:paraId="5A0B5943">
      <w:pPr>
        <w:rPr>
          <w:color w:val="auto"/>
        </w:rPr>
      </w:pPr>
    </w:p>
    <w:p w14:paraId="2AD49921">
      <w:pPr>
        <w:rPr>
          <w:color w:val="auto"/>
        </w:rPr>
      </w:pPr>
    </w:p>
    <w:p w14:paraId="2281EEA4">
      <w:pPr>
        <w:rPr>
          <w:rFonts w:ascii="Times New Roman" w:hAnsi="Times New Roman" w:eastAsia="黑体"/>
          <w:color w:val="auto"/>
          <w:sz w:val="20"/>
        </w:rPr>
      </w:pPr>
    </w:p>
    <w:p w14:paraId="174E0457">
      <w:pPr>
        <w:pStyle w:val="151"/>
        <w:ind w:firstLine="400"/>
        <w:rPr>
          <w:rFonts w:ascii="Times New Roman" w:hAnsi="Times New Roman" w:eastAsia="黑体"/>
          <w:color w:val="auto"/>
          <w:sz w:val="20"/>
        </w:rPr>
      </w:pPr>
    </w:p>
    <w:p w14:paraId="00BD4567">
      <w:pPr>
        <w:spacing w:line="500" w:lineRule="exact"/>
        <w:ind w:firstLine="640" w:firstLineChars="200"/>
        <w:jc w:val="center"/>
        <w:rPr>
          <w:rFonts w:ascii="黑体" w:hAnsi="黑体" w:eastAsia="黑体" w:cs="黑体"/>
          <w:bCs/>
          <w:color w:val="auto"/>
          <w:sz w:val="32"/>
          <w:szCs w:val="32"/>
        </w:rPr>
      </w:pPr>
      <w:r>
        <w:rPr>
          <w:rFonts w:hint="eastAsia" w:ascii="黑体" w:hAnsi="黑体" w:eastAsia="黑体" w:cs="黑体"/>
          <w:bCs/>
          <w:color w:val="auto"/>
          <w:sz w:val="32"/>
          <w:szCs w:val="32"/>
        </w:rPr>
        <w:t>（二）投标函附录</w:t>
      </w:r>
    </w:p>
    <w:p w14:paraId="15EC899B">
      <w:pPr>
        <w:spacing w:line="300" w:lineRule="exact"/>
        <w:ind w:left="420"/>
        <w:rPr>
          <w:rFonts w:ascii="宋体" w:hAnsi="宋体" w:cs="宋体"/>
          <w:b/>
          <w:bCs/>
          <w:color w:val="auto"/>
          <w:sz w:val="16"/>
        </w:rPr>
      </w:pPr>
    </w:p>
    <w:p w14:paraId="06F00CD1">
      <w:pPr>
        <w:spacing w:line="300" w:lineRule="exact"/>
        <w:ind w:left="420"/>
        <w:rPr>
          <w:rFonts w:ascii="宋体" w:hAnsi="宋体" w:cs="宋体"/>
          <w:b/>
          <w:bCs/>
          <w:color w:val="auto"/>
          <w:sz w:val="16"/>
        </w:rPr>
      </w:pP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6"/>
        <w:gridCol w:w="3674"/>
        <w:gridCol w:w="1669"/>
      </w:tblGrid>
      <w:tr w14:paraId="2774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56" w:type="dxa"/>
            <w:vAlign w:val="center"/>
          </w:tcPr>
          <w:p w14:paraId="57739D67">
            <w:pPr>
              <w:spacing w:line="600" w:lineRule="exact"/>
              <w:jc w:val="center"/>
              <w:rPr>
                <w:rFonts w:ascii="宋体" w:hAnsi="宋体" w:cs="宋体"/>
                <w:color w:val="auto"/>
                <w:szCs w:val="21"/>
              </w:rPr>
            </w:pPr>
            <w:r>
              <w:rPr>
                <w:rFonts w:hint="eastAsia" w:ascii="宋体" w:hAnsi="宋体" w:cs="宋体"/>
                <w:color w:val="auto"/>
                <w:szCs w:val="21"/>
              </w:rPr>
              <w:t>序号</w:t>
            </w:r>
          </w:p>
        </w:tc>
        <w:tc>
          <w:tcPr>
            <w:tcW w:w="2796" w:type="dxa"/>
            <w:vAlign w:val="center"/>
          </w:tcPr>
          <w:p w14:paraId="727CFF1D">
            <w:pPr>
              <w:spacing w:line="600" w:lineRule="exact"/>
              <w:jc w:val="center"/>
              <w:rPr>
                <w:rFonts w:ascii="宋体" w:hAnsi="宋体" w:cs="宋体"/>
                <w:color w:val="auto"/>
                <w:szCs w:val="21"/>
              </w:rPr>
            </w:pPr>
            <w:r>
              <w:rPr>
                <w:rFonts w:hint="eastAsia" w:ascii="宋体" w:hAnsi="宋体" w:cs="宋体"/>
                <w:color w:val="auto"/>
                <w:szCs w:val="21"/>
              </w:rPr>
              <w:t>项目内容</w:t>
            </w:r>
          </w:p>
        </w:tc>
        <w:tc>
          <w:tcPr>
            <w:tcW w:w="3674" w:type="dxa"/>
            <w:vAlign w:val="center"/>
          </w:tcPr>
          <w:p w14:paraId="307F1F68">
            <w:pPr>
              <w:spacing w:line="600" w:lineRule="exact"/>
              <w:jc w:val="center"/>
              <w:rPr>
                <w:rFonts w:ascii="宋体" w:hAnsi="宋体" w:cs="宋体"/>
                <w:color w:val="auto"/>
                <w:szCs w:val="21"/>
              </w:rPr>
            </w:pPr>
            <w:r>
              <w:rPr>
                <w:rFonts w:hint="eastAsia" w:ascii="宋体" w:hAnsi="宋体" w:cs="宋体"/>
                <w:color w:val="auto"/>
                <w:szCs w:val="21"/>
              </w:rPr>
              <w:t>约定内容</w:t>
            </w:r>
          </w:p>
        </w:tc>
        <w:tc>
          <w:tcPr>
            <w:tcW w:w="1669" w:type="dxa"/>
            <w:vAlign w:val="center"/>
          </w:tcPr>
          <w:p w14:paraId="0BB9E561">
            <w:pPr>
              <w:spacing w:line="600" w:lineRule="exact"/>
              <w:jc w:val="center"/>
              <w:rPr>
                <w:rFonts w:ascii="宋体" w:hAnsi="宋体" w:cs="宋体"/>
                <w:color w:val="auto"/>
                <w:szCs w:val="21"/>
              </w:rPr>
            </w:pPr>
            <w:r>
              <w:rPr>
                <w:rFonts w:hint="eastAsia" w:ascii="宋体" w:hAnsi="宋体" w:cs="宋体"/>
                <w:color w:val="auto"/>
                <w:szCs w:val="21"/>
              </w:rPr>
              <w:t>备注</w:t>
            </w:r>
          </w:p>
        </w:tc>
      </w:tr>
      <w:tr w14:paraId="23422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56" w:type="dxa"/>
            <w:vAlign w:val="center"/>
          </w:tcPr>
          <w:p w14:paraId="01D81EE0">
            <w:pPr>
              <w:spacing w:line="600" w:lineRule="exact"/>
              <w:jc w:val="center"/>
              <w:rPr>
                <w:rFonts w:ascii="宋体" w:hAnsi="宋体" w:cs="宋体"/>
                <w:color w:val="auto"/>
                <w:szCs w:val="21"/>
              </w:rPr>
            </w:pPr>
            <w:r>
              <w:rPr>
                <w:rFonts w:hint="eastAsia" w:ascii="宋体" w:hAnsi="宋体" w:cs="宋体"/>
                <w:color w:val="auto"/>
                <w:szCs w:val="21"/>
              </w:rPr>
              <w:t>1</w:t>
            </w:r>
          </w:p>
        </w:tc>
        <w:tc>
          <w:tcPr>
            <w:tcW w:w="2796" w:type="dxa"/>
            <w:vAlign w:val="center"/>
          </w:tcPr>
          <w:p w14:paraId="47AFBB76">
            <w:pPr>
              <w:spacing w:line="600" w:lineRule="exact"/>
              <w:jc w:val="center"/>
              <w:rPr>
                <w:rFonts w:ascii="宋体" w:hAnsi="宋体" w:cs="宋体"/>
                <w:color w:val="auto"/>
                <w:szCs w:val="21"/>
              </w:rPr>
            </w:pPr>
            <w:r>
              <w:rPr>
                <w:rFonts w:hint="eastAsia" w:ascii="宋体" w:hAnsi="宋体" w:cs="宋体"/>
                <w:color w:val="auto"/>
                <w:szCs w:val="21"/>
              </w:rPr>
              <w:t>项目经理</w:t>
            </w:r>
          </w:p>
        </w:tc>
        <w:tc>
          <w:tcPr>
            <w:tcW w:w="3674" w:type="dxa"/>
            <w:vAlign w:val="center"/>
          </w:tcPr>
          <w:p w14:paraId="012A799A">
            <w:pPr>
              <w:spacing w:line="600" w:lineRule="exact"/>
              <w:ind w:firstLine="840" w:firstLineChars="400"/>
              <w:rPr>
                <w:rFonts w:ascii="宋体" w:hAnsi="宋体" w:cs="宋体"/>
                <w:color w:val="auto"/>
                <w:szCs w:val="21"/>
                <w:u w:val="single"/>
              </w:rPr>
            </w:pPr>
            <w:r>
              <w:rPr>
                <w:rFonts w:hint="eastAsia" w:ascii="宋体" w:hAnsi="宋体" w:cs="宋体"/>
                <w:color w:val="auto"/>
                <w:szCs w:val="21"/>
              </w:rPr>
              <w:t>姓名：</w:t>
            </w:r>
            <w:r>
              <w:rPr>
                <w:rFonts w:hint="eastAsia" w:ascii="宋体" w:hAnsi="宋体" w:cs="宋体"/>
                <w:color w:val="auto"/>
                <w:szCs w:val="21"/>
                <w:u w:val="single"/>
              </w:rPr>
              <w:t xml:space="preserve">       </w:t>
            </w:r>
          </w:p>
        </w:tc>
        <w:tc>
          <w:tcPr>
            <w:tcW w:w="1669" w:type="dxa"/>
            <w:vAlign w:val="center"/>
          </w:tcPr>
          <w:p w14:paraId="1A78AC5E">
            <w:pPr>
              <w:spacing w:line="600" w:lineRule="exact"/>
              <w:jc w:val="center"/>
              <w:rPr>
                <w:rFonts w:ascii="宋体" w:hAnsi="宋体" w:cs="宋体"/>
                <w:color w:val="auto"/>
                <w:szCs w:val="21"/>
              </w:rPr>
            </w:pPr>
          </w:p>
        </w:tc>
      </w:tr>
      <w:tr w14:paraId="2355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956" w:type="dxa"/>
            <w:vAlign w:val="center"/>
          </w:tcPr>
          <w:p w14:paraId="6572D68A">
            <w:pPr>
              <w:spacing w:line="600" w:lineRule="exact"/>
              <w:jc w:val="center"/>
              <w:rPr>
                <w:rFonts w:ascii="宋体" w:hAnsi="宋体" w:cs="宋体"/>
                <w:color w:val="auto"/>
                <w:szCs w:val="21"/>
              </w:rPr>
            </w:pPr>
            <w:r>
              <w:rPr>
                <w:rFonts w:hint="eastAsia" w:ascii="宋体" w:hAnsi="宋体" w:cs="宋体"/>
                <w:color w:val="auto"/>
                <w:szCs w:val="21"/>
              </w:rPr>
              <w:t>2</w:t>
            </w:r>
          </w:p>
        </w:tc>
        <w:tc>
          <w:tcPr>
            <w:tcW w:w="2796" w:type="dxa"/>
            <w:vAlign w:val="center"/>
          </w:tcPr>
          <w:p w14:paraId="28DF9A52">
            <w:pPr>
              <w:spacing w:line="600" w:lineRule="exact"/>
              <w:jc w:val="center"/>
              <w:rPr>
                <w:rFonts w:ascii="宋体" w:hAnsi="宋体" w:cs="宋体"/>
                <w:color w:val="auto"/>
                <w:szCs w:val="21"/>
              </w:rPr>
            </w:pPr>
            <w:r>
              <w:rPr>
                <w:rFonts w:hint="eastAsia" w:ascii="宋体" w:hAnsi="宋体" w:cs="宋体"/>
                <w:color w:val="auto"/>
                <w:szCs w:val="21"/>
              </w:rPr>
              <w:t>施工总工期</w:t>
            </w:r>
          </w:p>
        </w:tc>
        <w:tc>
          <w:tcPr>
            <w:tcW w:w="3674" w:type="dxa"/>
            <w:vAlign w:val="center"/>
          </w:tcPr>
          <w:p w14:paraId="162100B7">
            <w:pPr>
              <w:spacing w:line="440" w:lineRule="exact"/>
              <w:jc w:val="center"/>
              <w:rPr>
                <w:rFonts w:ascii="宋体" w:hAnsi="宋体" w:cs="宋体"/>
                <w:color w:val="auto"/>
                <w:szCs w:val="21"/>
              </w:rPr>
            </w:pPr>
          </w:p>
        </w:tc>
        <w:tc>
          <w:tcPr>
            <w:tcW w:w="1669" w:type="dxa"/>
            <w:vAlign w:val="center"/>
          </w:tcPr>
          <w:p w14:paraId="1B9920B5">
            <w:pPr>
              <w:spacing w:line="600" w:lineRule="exact"/>
              <w:jc w:val="center"/>
              <w:rPr>
                <w:rFonts w:ascii="宋体" w:hAnsi="宋体" w:cs="宋体"/>
                <w:color w:val="auto"/>
                <w:szCs w:val="21"/>
              </w:rPr>
            </w:pPr>
          </w:p>
        </w:tc>
      </w:tr>
      <w:tr w14:paraId="4FE1E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56" w:type="dxa"/>
            <w:vAlign w:val="center"/>
          </w:tcPr>
          <w:p w14:paraId="35EC5F31">
            <w:pPr>
              <w:spacing w:line="600" w:lineRule="exact"/>
              <w:jc w:val="center"/>
              <w:rPr>
                <w:rFonts w:ascii="宋体" w:hAnsi="宋体" w:cs="宋体"/>
                <w:color w:val="auto"/>
                <w:szCs w:val="21"/>
              </w:rPr>
            </w:pPr>
            <w:r>
              <w:rPr>
                <w:rFonts w:hint="eastAsia" w:ascii="宋体" w:hAnsi="宋体" w:cs="宋体"/>
                <w:color w:val="auto"/>
                <w:szCs w:val="21"/>
              </w:rPr>
              <w:t>3</w:t>
            </w:r>
          </w:p>
        </w:tc>
        <w:tc>
          <w:tcPr>
            <w:tcW w:w="2796" w:type="dxa"/>
            <w:vAlign w:val="center"/>
          </w:tcPr>
          <w:p w14:paraId="439EBFE3">
            <w:pPr>
              <w:spacing w:line="500" w:lineRule="exact"/>
              <w:jc w:val="center"/>
              <w:rPr>
                <w:rFonts w:ascii="宋体" w:hAnsi="宋体" w:cs="宋体"/>
                <w:color w:val="auto"/>
                <w:szCs w:val="21"/>
              </w:rPr>
            </w:pPr>
            <w:r>
              <w:rPr>
                <w:rFonts w:hint="eastAsia" w:ascii="宋体" w:hAnsi="宋体" w:cs="宋体"/>
                <w:color w:val="auto"/>
                <w:szCs w:val="21"/>
              </w:rPr>
              <w:t>延误工期处罚金额</w:t>
            </w:r>
          </w:p>
        </w:tc>
        <w:tc>
          <w:tcPr>
            <w:tcW w:w="3674" w:type="dxa"/>
            <w:vAlign w:val="center"/>
          </w:tcPr>
          <w:p w14:paraId="4700E5C1">
            <w:pPr>
              <w:spacing w:line="500" w:lineRule="exact"/>
              <w:rPr>
                <w:rFonts w:ascii="宋体" w:hAnsi="宋体" w:cs="宋体"/>
                <w:color w:val="auto"/>
                <w:szCs w:val="21"/>
                <w:u w:val="single"/>
              </w:rPr>
            </w:pPr>
            <w:r>
              <w:rPr>
                <w:rFonts w:hint="eastAsia" w:ascii="宋体" w:hAnsi="宋体" w:cs="宋体"/>
                <w:color w:val="auto"/>
                <w:szCs w:val="21"/>
              </w:rPr>
              <w:t>工期每逾期一天，缴纳2000元的违约金</w:t>
            </w:r>
          </w:p>
        </w:tc>
        <w:tc>
          <w:tcPr>
            <w:tcW w:w="1669" w:type="dxa"/>
            <w:vAlign w:val="center"/>
          </w:tcPr>
          <w:p w14:paraId="133D7656">
            <w:pPr>
              <w:spacing w:line="600" w:lineRule="exact"/>
              <w:jc w:val="center"/>
              <w:rPr>
                <w:rFonts w:ascii="宋体" w:hAnsi="宋体" w:cs="宋体"/>
                <w:color w:val="auto"/>
                <w:szCs w:val="21"/>
              </w:rPr>
            </w:pPr>
          </w:p>
        </w:tc>
      </w:tr>
      <w:tr w14:paraId="34BF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56" w:type="dxa"/>
            <w:vAlign w:val="center"/>
          </w:tcPr>
          <w:p w14:paraId="2D0D2D4B">
            <w:pPr>
              <w:spacing w:line="600" w:lineRule="exact"/>
              <w:jc w:val="center"/>
              <w:rPr>
                <w:rFonts w:ascii="宋体" w:hAnsi="宋体" w:cs="宋体"/>
                <w:color w:val="auto"/>
                <w:szCs w:val="21"/>
              </w:rPr>
            </w:pPr>
            <w:r>
              <w:rPr>
                <w:rFonts w:hint="eastAsia" w:ascii="宋体" w:hAnsi="宋体" w:cs="宋体"/>
                <w:color w:val="auto"/>
                <w:szCs w:val="21"/>
              </w:rPr>
              <w:t>4</w:t>
            </w:r>
          </w:p>
        </w:tc>
        <w:tc>
          <w:tcPr>
            <w:tcW w:w="2796" w:type="dxa"/>
            <w:vAlign w:val="center"/>
          </w:tcPr>
          <w:p w14:paraId="1D32E006">
            <w:pPr>
              <w:spacing w:line="400" w:lineRule="exact"/>
              <w:jc w:val="center"/>
              <w:rPr>
                <w:rFonts w:ascii="宋体" w:hAnsi="宋体" w:cs="宋体"/>
                <w:color w:val="auto"/>
                <w:szCs w:val="21"/>
              </w:rPr>
            </w:pPr>
            <w:r>
              <w:rPr>
                <w:rFonts w:hint="eastAsia" w:ascii="宋体" w:hAnsi="宋体" w:cs="宋体"/>
                <w:color w:val="auto"/>
                <w:szCs w:val="21"/>
              </w:rPr>
              <w:t>质量标准</w:t>
            </w:r>
          </w:p>
        </w:tc>
        <w:tc>
          <w:tcPr>
            <w:tcW w:w="3674" w:type="dxa"/>
            <w:vAlign w:val="center"/>
          </w:tcPr>
          <w:p w14:paraId="698C0EBA">
            <w:pPr>
              <w:spacing w:line="400" w:lineRule="exact"/>
              <w:jc w:val="center"/>
              <w:rPr>
                <w:rFonts w:ascii="宋体" w:hAnsi="宋体" w:cs="宋体"/>
                <w:color w:val="auto"/>
                <w:szCs w:val="21"/>
              </w:rPr>
            </w:pPr>
            <w:r>
              <w:rPr>
                <w:rFonts w:hint="eastAsia" w:ascii="宋体" w:hAnsi="宋体" w:cs="宋体"/>
                <w:color w:val="auto"/>
                <w:szCs w:val="21"/>
              </w:rPr>
              <w:t>要求达到国家现行《施工质量验收规范》合格标准和设计文件要求</w:t>
            </w:r>
          </w:p>
        </w:tc>
        <w:tc>
          <w:tcPr>
            <w:tcW w:w="1669" w:type="dxa"/>
            <w:vAlign w:val="center"/>
          </w:tcPr>
          <w:p w14:paraId="0122BC22">
            <w:pPr>
              <w:spacing w:line="600" w:lineRule="exact"/>
              <w:jc w:val="center"/>
              <w:rPr>
                <w:rFonts w:ascii="宋体" w:hAnsi="宋体" w:cs="宋体"/>
                <w:color w:val="auto"/>
                <w:szCs w:val="21"/>
              </w:rPr>
            </w:pPr>
          </w:p>
        </w:tc>
      </w:tr>
      <w:tr w14:paraId="20498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56" w:type="dxa"/>
            <w:vAlign w:val="center"/>
          </w:tcPr>
          <w:p w14:paraId="384C8D84">
            <w:pPr>
              <w:spacing w:line="600" w:lineRule="exact"/>
              <w:jc w:val="center"/>
              <w:rPr>
                <w:rFonts w:ascii="宋体" w:hAnsi="宋体" w:cs="宋体"/>
                <w:color w:val="auto"/>
                <w:szCs w:val="21"/>
              </w:rPr>
            </w:pPr>
            <w:r>
              <w:rPr>
                <w:rFonts w:hint="eastAsia" w:ascii="宋体" w:hAnsi="宋体" w:cs="宋体"/>
                <w:color w:val="auto"/>
                <w:szCs w:val="21"/>
              </w:rPr>
              <w:t>5</w:t>
            </w:r>
          </w:p>
        </w:tc>
        <w:tc>
          <w:tcPr>
            <w:tcW w:w="2796" w:type="dxa"/>
            <w:vAlign w:val="center"/>
          </w:tcPr>
          <w:p w14:paraId="2C6F5B94">
            <w:pPr>
              <w:spacing w:line="600" w:lineRule="exact"/>
              <w:jc w:val="center"/>
              <w:rPr>
                <w:rFonts w:ascii="宋体" w:hAnsi="宋体" w:cs="宋体"/>
                <w:color w:val="auto"/>
                <w:szCs w:val="21"/>
              </w:rPr>
            </w:pPr>
            <w:r>
              <w:rPr>
                <w:rFonts w:hint="eastAsia" w:ascii="宋体" w:hAnsi="宋体" w:cs="宋体"/>
                <w:color w:val="auto"/>
                <w:szCs w:val="21"/>
              </w:rPr>
              <w:t>工程进度款</w:t>
            </w:r>
          </w:p>
        </w:tc>
        <w:tc>
          <w:tcPr>
            <w:tcW w:w="3674" w:type="dxa"/>
            <w:vAlign w:val="center"/>
          </w:tcPr>
          <w:p w14:paraId="1604D045">
            <w:pPr>
              <w:spacing w:line="400" w:lineRule="exact"/>
              <w:jc w:val="center"/>
              <w:rPr>
                <w:rFonts w:ascii="宋体" w:hAnsi="宋体" w:cs="宋体"/>
                <w:color w:val="auto"/>
                <w:szCs w:val="21"/>
              </w:rPr>
            </w:pPr>
            <w:r>
              <w:rPr>
                <w:rFonts w:hint="eastAsia" w:ascii="宋体" w:hAnsi="宋体" w:cs="宋体"/>
                <w:color w:val="auto"/>
                <w:szCs w:val="21"/>
              </w:rPr>
              <w:t>执行招标文件《合同专用条款》工程进度款付款方式</w:t>
            </w:r>
          </w:p>
        </w:tc>
        <w:tc>
          <w:tcPr>
            <w:tcW w:w="1669" w:type="dxa"/>
            <w:vAlign w:val="center"/>
          </w:tcPr>
          <w:p w14:paraId="3EA597C1">
            <w:pPr>
              <w:spacing w:line="600" w:lineRule="exact"/>
              <w:jc w:val="center"/>
              <w:rPr>
                <w:rFonts w:ascii="宋体" w:hAnsi="宋体" w:cs="宋体"/>
                <w:color w:val="auto"/>
                <w:szCs w:val="21"/>
              </w:rPr>
            </w:pPr>
          </w:p>
        </w:tc>
      </w:tr>
      <w:tr w14:paraId="1CE48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56" w:type="dxa"/>
            <w:vAlign w:val="center"/>
          </w:tcPr>
          <w:p w14:paraId="50CFEEA2">
            <w:pPr>
              <w:spacing w:line="600" w:lineRule="exact"/>
              <w:jc w:val="center"/>
              <w:rPr>
                <w:rFonts w:ascii="宋体" w:hAnsi="宋体" w:cs="宋体"/>
                <w:color w:val="auto"/>
                <w:szCs w:val="21"/>
              </w:rPr>
            </w:pPr>
            <w:r>
              <w:rPr>
                <w:rFonts w:hint="eastAsia" w:ascii="宋体" w:hAnsi="宋体" w:cs="宋体"/>
                <w:color w:val="auto"/>
                <w:szCs w:val="21"/>
              </w:rPr>
              <w:t>6</w:t>
            </w:r>
          </w:p>
        </w:tc>
        <w:tc>
          <w:tcPr>
            <w:tcW w:w="2796" w:type="dxa"/>
            <w:vAlign w:val="center"/>
          </w:tcPr>
          <w:p w14:paraId="6436A194">
            <w:pPr>
              <w:spacing w:line="600" w:lineRule="exact"/>
              <w:jc w:val="center"/>
              <w:rPr>
                <w:rFonts w:ascii="宋体" w:hAnsi="宋体" w:cs="宋体"/>
                <w:color w:val="auto"/>
                <w:szCs w:val="21"/>
              </w:rPr>
            </w:pPr>
            <w:r>
              <w:rPr>
                <w:rFonts w:hint="eastAsia" w:ascii="宋体" w:hAnsi="宋体" w:cs="宋体"/>
                <w:color w:val="auto"/>
                <w:szCs w:val="21"/>
              </w:rPr>
              <w:t>保修期</w:t>
            </w:r>
          </w:p>
        </w:tc>
        <w:tc>
          <w:tcPr>
            <w:tcW w:w="3674" w:type="dxa"/>
            <w:vAlign w:val="center"/>
          </w:tcPr>
          <w:p w14:paraId="2E01FAD5">
            <w:pPr>
              <w:spacing w:line="600" w:lineRule="exact"/>
              <w:jc w:val="center"/>
              <w:rPr>
                <w:rFonts w:ascii="宋体" w:hAnsi="宋体" w:cs="宋体"/>
                <w:color w:val="auto"/>
                <w:szCs w:val="21"/>
              </w:rPr>
            </w:pPr>
            <w:r>
              <w:rPr>
                <w:rFonts w:hint="eastAsia" w:ascii="宋体" w:hAnsi="宋体" w:cs="宋体"/>
                <w:color w:val="auto"/>
                <w:szCs w:val="21"/>
              </w:rPr>
              <w:t>依据保修书约定的期限</w:t>
            </w:r>
          </w:p>
        </w:tc>
        <w:tc>
          <w:tcPr>
            <w:tcW w:w="1669" w:type="dxa"/>
            <w:vAlign w:val="center"/>
          </w:tcPr>
          <w:p w14:paraId="630711A1">
            <w:pPr>
              <w:spacing w:line="600" w:lineRule="exact"/>
              <w:jc w:val="center"/>
              <w:rPr>
                <w:rFonts w:ascii="宋体" w:hAnsi="宋体" w:cs="宋体"/>
                <w:color w:val="auto"/>
                <w:szCs w:val="21"/>
              </w:rPr>
            </w:pPr>
          </w:p>
        </w:tc>
      </w:tr>
    </w:tbl>
    <w:p w14:paraId="4A1AB7DF">
      <w:pPr>
        <w:spacing w:line="460" w:lineRule="exact"/>
        <w:jc w:val="center"/>
        <w:rPr>
          <w:rFonts w:ascii="宋体" w:hAnsi="宋体" w:cs="宋体"/>
          <w:b/>
          <w:color w:val="auto"/>
          <w:sz w:val="24"/>
          <w:szCs w:val="24"/>
        </w:rPr>
      </w:pPr>
    </w:p>
    <w:p w14:paraId="4E89F513">
      <w:pPr>
        <w:spacing w:line="500" w:lineRule="exact"/>
        <w:ind w:firstLine="482" w:firstLineChars="200"/>
        <w:jc w:val="center"/>
        <w:rPr>
          <w:rFonts w:ascii="宋体" w:hAnsi="宋体" w:cs="宋体"/>
          <w:b/>
          <w:color w:val="auto"/>
          <w:sz w:val="24"/>
          <w:szCs w:val="24"/>
        </w:rPr>
      </w:pPr>
    </w:p>
    <w:p w14:paraId="57EAC4C3">
      <w:pPr>
        <w:ind w:left="420" w:leftChars="200" w:firstLine="210" w:firstLineChars="100"/>
        <w:rPr>
          <w:rFonts w:ascii="宋体" w:hAnsi="宋体" w:cs="宋体"/>
          <w:color w:val="auto"/>
          <w:szCs w:val="21"/>
        </w:rPr>
      </w:pPr>
      <w:r>
        <w:rPr>
          <w:rFonts w:hint="eastAsia" w:ascii="宋体" w:hAnsi="宋体" w:cs="宋体"/>
          <w:color w:val="auto"/>
          <w:szCs w:val="21"/>
        </w:rPr>
        <w:t>投 标 人：（盖单位章）</w:t>
      </w:r>
    </w:p>
    <w:p w14:paraId="513B313D">
      <w:pPr>
        <w:ind w:left="420" w:leftChars="200"/>
        <w:rPr>
          <w:rFonts w:ascii="宋体" w:hAnsi="宋体" w:cs="宋体"/>
          <w:color w:val="auto"/>
          <w:szCs w:val="21"/>
        </w:rPr>
      </w:pPr>
    </w:p>
    <w:p w14:paraId="53CB8443">
      <w:pPr>
        <w:ind w:left="420" w:leftChars="200" w:firstLine="210" w:firstLineChars="100"/>
        <w:jc w:val="left"/>
        <w:rPr>
          <w:rFonts w:ascii="宋体" w:hAnsi="宋体" w:cs="宋体"/>
          <w:color w:val="auto"/>
          <w:szCs w:val="21"/>
        </w:rPr>
      </w:pPr>
      <w:r>
        <w:rPr>
          <w:rFonts w:hint="eastAsia" w:ascii="宋体" w:hAnsi="宋体" w:cs="宋体"/>
          <w:color w:val="auto"/>
          <w:szCs w:val="21"/>
        </w:rPr>
        <w:t xml:space="preserve">法定代表人或其委托代理人：   （签字或盖章）        </w:t>
      </w:r>
    </w:p>
    <w:p w14:paraId="5BC1C4F7">
      <w:pPr>
        <w:ind w:left="420" w:leftChars="200"/>
        <w:jc w:val="left"/>
        <w:rPr>
          <w:rFonts w:ascii="宋体" w:hAnsi="宋体" w:cs="宋体"/>
          <w:color w:val="auto"/>
          <w:szCs w:val="21"/>
        </w:rPr>
      </w:pPr>
      <w:r>
        <w:rPr>
          <w:rFonts w:hint="eastAsia" w:ascii="宋体" w:hAnsi="宋体" w:cs="宋体"/>
          <w:color w:val="auto"/>
          <w:szCs w:val="21"/>
        </w:rPr>
        <w:t xml:space="preserve">           </w:t>
      </w:r>
    </w:p>
    <w:p w14:paraId="1E915A7E">
      <w:pPr>
        <w:ind w:firstLine="630" w:firstLineChars="300"/>
        <w:jc w:val="left"/>
        <w:rPr>
          <w:rFonts w:ascii="宋体" w:hAnsi="宋体" w:cs="宋体"/>
          <w:color w:val="auto"/>
          <w:szCs w:val="21"/>
        </w:rPr>
      </w:pPr>
      <w:r>
        <w:rPr>
          <w:rFonts w:hint="eastAsia" w:ascii="宋体" w:hAnsi="宋体" w:cs="宋体"/>
          <w:color w:val="auto"/>
          <w:szCs w:val="21"/>
        </w:rPr>
        <w:t xml:space="preserve">  年     月     日</w:t>
      </w:r>
    </w:p>
    <w:p w14:paraId="0CA70C0A">
      <w:pPr>
        <w:spacing w:line="500" w:lineRule="exact"/>
        <w:ind w:firstLine="602" w:firstLineChars="200"/>
        <w:jc w:val="center"/>
        <w:rPr>
          <w:rFonts w:ascii="宋体" w:hAnsi="宋体" w:cs="宋体"/>
          <w:b/>
          <w:color w:val="auto"/>
          <w:sz w:val="30"/>
          <w:szCs w:val="30"/>
        </w:rPr>
      </w:pPr>
    </w:p>
    <w:p w14:paraId="76F1628A">
      <w:pPr>
        <w:spacing w:line="500" w:lineRule="exact"/>
        <w:ind w:firstLine="602" w:firstLineChars="200"/>
        <w:jc w:val="center"/>
        <w:rPr>
          <w:rFonts w:ascii="宋体" w:hAnsi="宋体" w:cs="宋体"/>
          <w:b/>
          <w:color w:val="auto"/>
          <w:sz w:val="30"/>
          <w:szCs w:val="30"/>
        </w:rPr>
      </w:pPr>
    </w:p>
    <w:p w14:paraId="7414C61F">
      <w:pPr>
        <w:spacing w:line="500" w:lineRule="exact"/>
        <w:ind w:firstLine="602" w:firstLineChars="200"/>
        <w:jc w:val="center"/>
        <w:rPr>
          <w:rFonts w:ascii="宋体" w:hAnsi="宋体" w:cs="宋体"/>
          <w:b/>
          <w:color w:val="auto"/>
          <w:sz w:val="30"/>
          <w:szCs w:val="30"/>
        </w:rPr>
      </w:pPr>
    </w:p>
    <w:p w14:paraId="4019CA3C">
      <w:pPr>
        <w:spacing w:line="500" w:lineRule="exact"/>
        <w:ind w:firstLine="602" w:firstLineChars="200"/>
        <w:jc w:val="center"/>
        <w:rPr>
          <w:rFonts w:ascii="宋体" w:hAnsi="宋体" w:cs="宋体"/>
          <w:b/>
          <w:color w:val="auto"/>
          <w:sz w:val="30"/>
          <w:szCs w:val="30"/>
        </w:rPr>
      </w:pPr>
    </w:p>
    <w:p w14:paraId="6BA6C695">
      <w:pPr>
        <w:spacing w:line="500" w:lineRule="exact"/>
        <w:rPr>
          <w:rFonts w:ascii="宋体" w:hAnsi="宋体" w:cs="宋体"/>
          <w:b/>
          <w:color w:val="auto"/>
          <w:sz w:val="30"/>
          <w:szCs w:val="30"/>
        </w:rPr>
      </w:pPr>
    </w:p>
    <w:p w14:paraId="5D466127">
      <w:pPr>
        <w:pStyle w:val="43"/>
        <w:ind w:left="1260"/>
        <w:rPr>
          <w:color w:val="auto"/>
        </w:rPr>
      </w:pPr>
    </w:p>
    <w:p w14:paraId="02B27EFB">
      <w:pPr>
        <w:rPr>
          <w:color w:val="auto"/>
        </w:rPr>
      </w:pPr>
    </w:p>
    <w:p w14:paraId="6B4A17F5">
      <w:pPr>
        <w:rPr>
          <w:color w:val="auto"/>
        </w:rPr>
      </w:pPr>
    </w:p>
    <w:p w14:paraId="26BEEBD9">
      <w:pPr>
        <w:pStyle w:val="2"/>
        <w:numPr>
          <w:ilvl w:val="0"/>
          <w:numId w:val="7"/>
        </w:numPr>
        <w:jc w:val="center"/>
        <w:rPr>
          <w:rFonts w:ascii="黑体" w:hAnsi="黑体" w:cs="黑体"/>
          <w:color w:val="auto"/>
        </w:rPr>
      </w:pPr>
      <w:bookmarkStart w:id="796" w:name="_Toc16889"/>
      <w:r>
        <w:rPr>
          <w:rFonts w:hint="eastAsia" w:ascii="黑体" w:hAnsi="黑体" w:cs="黑体"/>
          <w:color w:val="auto"/>
        </w:rPr>
        <w:t>报价一览表</w:t>
      </w:r>
      <w:bookmarkEnd w:id="796"/>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3"/>
        <w:gridCol w:w="2412"/>
        <w:gridCol w:w="2412"/>
        <w:gridCol w:w="2413"/>
      </w:tblGrid>
      <w:tr w14:paraId="080EB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243" w:type="dxa"/>
            <w:vAlign w:val="center"/>
          </w:tcPr>
          <w:p w14:paraId="28754792">
            <w:pPr>
              <w:tabs>
                <w:tab w:val="left" w:pos="2730"/>
              </w:tabs>
              <w:snapToGrid w:val="0"/>
              <w:spacing w:line="360" w:lineRule="auto"/>
              <w:jc w:val="center"/>
              <w:rPr>
                <w:rFonts w:ascii="宋体" w:hAnsi="宋体"/>
                <w:bCs/>
                <w:color w:val="auto"/>
                <w:kern w:val="0"/>
                <w:szCs w:val="21"/>
              </w:rPr>
            </w:pPr>
            <w:r>
              <w:rPr>
                <w:rFonts w:hint="eastAsia" w:ascii="宋体" w:hAnsi="宋体"/>
                <w:bCs/>
                <w:color w:val="auto"/>
                <w:kern w:val="0"/>
                <w:szCs w:val="21"/>
              </w:rPr>
              <w:t>项目名称</w:t>
            </w:r>
          </w:p>
        </w:tc>
        <w:tc>
          <w:tcPr>
            <w:tcW w:w="7237" w:type="dxa"/>
            <w:gridSpan w:val="3"/>
            <w:vAlign w:val="center"/>
          </w:tcPr>
          <w:p w14:paraId="156578D6">
            <w:pPr>
              <w:tabs>
                <w:tab w:val="left" w:pos="2730"/>
              </w:tabs>
              <w:snapToGrid w:val="0"/>
              <w:spacing w:line="360" w:lineRule="auto"/>
              <w:jc w:val="center"/>
              <w:rPr>
                <w:rFonts w:ascii="宋体" w:hAnsi="宋体"/>
                <w:bCs/>
                <w:color w:val="auto"/>
                <w:kern w:val="0"/>
                <w:szCs w:val="21"/>
              </w:rPr>
            </w:pPr>
          </w:p>
        </w:tc>
      </w:tr>
      <w:tr w14:paraId="448D4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2243" w:type="dxa"/>
            <w:vAlign w:val="center"/>
          </w:tcPr>
          <w:p w14:paraId="305CD655">
            <w:pPr>
              <w:tabs>
                <w:tab w:val="left" w:pos="2730"/>
              </w:tabs>
              <w:snapToGrid w:val="0"/>
              <w:spacing w:line="360" w:lineRule="auto"/>
              <w:jc w:val="center"/>
              <w:rPr>
                <w:rFonts w:ascii="宋体" w:hAnsi="宋体"/>
                <w:bCs/>
                <w:color w:val="auto"/>
                <w:kern w:val="0"/>
                <w:szCs w:val="21"/>
              </w:rPr>
            </w:pPr>
            <w:r>
              <w:rPr>
                <w:rFonts w:hint="eastAsia" w:ascii="宋体" w:hAnsi="宋体"/>
                <w:bCs/>
                <w:color w:val="auto"/>
                <w:kern w:val="0"/>
                <w:szCs w:val="21"/>
              </w:rPr>
              <w:t>投标人名称</w:t>
            </w:r>
          </w:p>
        </w:tc>
        <w:tc>
          <w:tcPr>
            <w:tcW w:w="7237" w:type="dxa"/>
            <w:gridSpan w:val="3"/>
            <w:vAlign w:val="center"/>
          </w:tcPr>
          <w:p w14:paraId="5988F089">
            <w:pPr>
              <w:tabs>
                <w:tab w:val="left" w:pos="2730"/>
              </w:tabs>
              <w:snapToGrid w:val="0"/>
              <w:spacing w:line="360" w:lineRule="auto"/>
              <w:jc w:val="center"/>
              <w:rPr>
                <w:rFonts w:ascii="宋体" w:hAnsi="宋体"/>
                <w:bCs/>
                <w:color w:val="auto"/>
                <w:kern w:val="0"/>
                <w:szCs w:val="21"/>
              </w:rPr>
            </w:pPr>
          </w:p>
        </w:tc>
      </w:tr>
      <w:tr w14:paraId="4D45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243" w:type="dxa"/>
            <w:vAlign w:val="center"/>
          </w:tcPr>
          <w:p w14:paraId="5D7E0412">
            <w:pPr>
              <w:tabs>
                <w:tab w:val="left" w:pos="2730"/>
              </w:tabs>
              <w:snapToGrid w:val="0"/>
              <w:spacing w:line="360" w:lineRule="auto"/>
              <w:jc w:val="center"/>
              <w:rPr>
                <w:rFonts w:ascii="宋体" w:hAnsi="宋体"/>
                <w:bCs/>
                <w:color w:val="auto"/>
                <w:kern w:val="0"/>
                <w:szCs w:val="21"/>
              </w:rPr>
            </w:pPr>
            <w:r>
              <w:rPr>
                <w:rFonts w:hint="eastAsia" w:ascii="宋体" w:hAnsi="宋体"/>
                <w:bCs/>
                <w:color w:val="auto"/>
                <w:kern w:val="0"/>
                <w:szCs w:val="21"/>
              </w:rPr>
              <w:t>总报价（元）</w:t>
            </w:r>
          </w:p>
        </w:tc>
        <w:tc>
          <w:tcPr>
            <w:tcW w:w="7237" w:type="dxa"/>
            <w:gridSpan w:val="3"/>
            <w:vAlign w:val="center"/>
          </w:tcPr>
          <w:p w14:paraId="4673730F">
            <w:pPr>
              <w:tabs>
                <w:tab w:val="left" w:pos="2730"/>
              </w:tabs>
              <w:snapToGrid w:val="0"/>
              <w:spacing w:line="360" w:lineRule="auto"/>
              <w:ind w:firstLine="210" w:firstLineChars="100"/>
              <w:rPr>
                <w:rFonts w:ascii="宋体" w:hAnsi="宋体"/>
                <w:bCs/>
                <w:color w:val="auto"/>
                <w:kern w:val="0"/>
                <w:szCs w:val="21"/>
                <w:u w:val="single"/>
              </w:rPr>
            </w:pPr>
            <w:r>
              <w:rPr>
                <w:rFonts w:hint="eastAsia" w:ascii="宋体" w:hAnsi="宋体"/>
                <w:bCs/>
                <w:color w:val="auto"/>
                <w:kern w:val="0"/>
                <w:szCs w:val="21"/>
              </w:rPr>
              <w:t>大写：</w:t>
            </w:r>
            <w:r>
              <w:rPr>
                <w:rFonts w:hint="eastAsia" w:ascii="宋体" w:hAnsi="宋体"/>
                <w:bCs/>
                <w:color w:val="auto"/>
                <w:kern w:val="0"/>
                <w:szCs w:val="21"/>
                <w:u w:val="single"/>
              </w:rPr>
              <w:t xml:space="preserve">                        </w:t>
            </w:r>
          </w:p>
          <w:p w14:paraId="683E084D">
            <w:pPr>
              <w:tabs>
                <w:tab w:val="left" w:pos="2730"/>
              </w:tabs>
              <w:snapToGrid w:val="0"/>
              <w:spacing w:line="360" w:lineRule="auto"/>
              <w:ind w:firstLine="210" w:firstLineChars="100"/>
              <w:rPr>
                <w:rFonts w:ascii="宋体" w:hAnsi="宋体"/>
                <w:bCs/>
                <w:color w:val="auto"/>
                <w:kern w:val="0"/>
                <w:szCs w:val="21"/>
              </w:rPr>
            </w:pPr>
            <w:r>
              <w:rPr>
                <w:rFonts w:hint="eastAsia" w:ascii="宋体" w:hAnsi="宋体"/>
                <w:bCs/>
                <w:color w:val="auto"/>
                <w:kern w:val="0"/>
                <w:szCs w:val="21"/>
              </w:rPr>
              <w:t>小写：</w:t>
            </w:r>
            <w:r>
              <w:rPr>
                <w:rFonts w:hint="eastAsia" w:ascii="宋体" w:hAnsi="宋体"/>
                <w:bCs/>
                <w:color w:val="auto"/>
                <w:kern w:val="0"/>
                <w:szCs w:val="21"/>
                <w:u w:val="single"/>
              </w:rPr>
              <w:t xml:space="preserve">                        </w:t>
            </w:r>
          </w:p>
        </w:tc>
      </w:tr>
      <w:tr w14:paraId="0697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243" w:type="dxa"/>
            <w:vAlign w:val="center"/>
          </w:tcPr>
          <w:p w14:paraId="3C10B0AF">
            <w:pPr>
              <w:tabs>
                <w:tab w:val="left" w:pos="2730"/>
              </w:tabs>
              <w:snapToGrid w:val="0"/>
              <w:spacing w:line="360" w:lineRule="auto"/>
              <w:jc w:val="center"/>
              <w:rPr>
                <w:rFonts w:ascii="宋体" w:hAnsi="宋体"/>
                <w:bCs/>
                <w:color w:val="auto"/>
                <w:kern w:val="0"/>
                <w:szCs w:val="21"/>
              </w:rPr>
            </w:pPr>
            <w:r>
              <w:rPr>
                <w:rFonts w:hint="eastAsia" w:ascii="宋体" w:hAnsi="宋体"/>
                <w:bCs/>
                <w:color w:val="auto"/>
                <w:kern w:val="0"/>
                <w:szCs w:val="21"/>
              </w:rPr>
              <w:t>计划工期</w:t>
            </w:r>
          </w:p>
        </w:tc>
        <w:tc>
          <w:tcPr>
            <w:tcW w:w="7237" w:type="dxa"/>
            <w:gridSpan w:val="3"/>
            <w:vAlign w:val="center"/>
          </w:tcPr>
          <w:p w14:paraId="61527508">
            <w:pPr>
              <w:tabs>
                <w:tab w:val="left" w:pos="2730"/>
              </w:tabs>
              <w:snapToGrid w:val="0"/>
              <w:spacing w:line="360" w:lineRule="auto"/>
              <w:jc w:val="center"/>
              <w:rPr>
                <w:rFonts w:ascii="宋体" w:hAnsi="宋体"/>
                <w:bCs/>
                <w:color w:val="auto"/>
                <w:kern w:val="0"/>
                <w:szCs w:val="21"/>
              </w:rPr>
            </w:pPr>
          </w:p>
        </w:tc>
      </w:tr>
      <w:tr w14:paraId="5B08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243" w:type="dxa"/>
            <w:vAlign w:val="center"/>
          </w:tcPr>
          <w:p w14:paraId="222EDBD3">
            <w:pPr>
              <w:tabs>
                <w:tab w:val="left" w:pos="2730"/>
              </w:tabs>
              <w:snapToGrid w:val="0"/>
              <w:spacing w:line="360" w:lineRule="auto"/>
              <w:jc w:val="center"/>
              <w:rPr>
                <w:rFonts w:ascii="宋体" w:hAnsi="宋体"/>
                <w:bCs/>
                <w:color w:val="auto"/>
                <w:kern w:val="0"/>
                <w:szCs w:val="21"/>
              </w:rPr>
            </w:pPr>
            <w:r>
              <w:rPr>
                <w:rFonts w:hint="eastAsia" w:ascii="宋体" w:hAnsi="宋体" w:cs="宋体"/>
                <w:bCs/>
                <w:color w:val="auto"/>
                <w:kern w:val="0"/>
                <w:szCs w:val="21"/>
              </w:rPr>
              <w:t>质量标准</w:t>
            </w:r>
          </w:p>
        </w:tc>
        <w:tc>
          <w:tcPr>
            <w:tcW w:w="7237" w:type="dxa"/>
            <w:gridSpan w:val="3"/>
            <w:vAlign w:val="center"/>
          </w:tcPr>
          <w:p w14:paraId="6DDB527F">
            <w:pPr>
              <w:tabs>
                <w:tab w:val="left" w:pos="2730"/>
              </w:tabs>
              <w:snapToGrid w:val="0"/>
              <w:spacing w:line="360" w:lineRule="auto"/>
              <w:jc w:val="center"/>
              <w:rPr>
                <w:rFonts w:ascii="宋体" w:hAnsi="宋体"/>
                <w:bCs/>
                <w:color w:val="auto"/>
                <w:kern w:val="0"/>
                <w:szCs w:val="21"/>
              </w:rPr>
            </w:pPr>
          </w:p>
        </w:tc>
      </w:tr>
      <w:tr w14:paraId="0F664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2243" w:type="dxa"/>
            <w:vAlign w:val="center"/>
          </w:tcPr>
          <w:p w14:paraId="7C71B547">
            <w:pPr>
              <w:tabs>
                <w:tab w:val="left" w:pos="2730"/>
              </w:tabs>
              <w:snapToGrid w:val="0"/>
              <w:spacing w:line="360" w:lineRule="auto"/>
              <w:jc w:val="center"/>
              <w:rPr>
                <w:rFonts w:ascii="宋体" w:hAnsi="宋体" w:cs="宋体"/>
                <w:bCs/>
                <w:color w:val="auto"/>
                <w:kern w:val="0"/>
                <w:szCs w:val="21"/>
              </w:rPr>
            </w:pPr>
            <w:r>
              <w:rPr>
                <w:rFonts w:hint="eastAsia" w:ascii="宋体" w:hAnsi="宋体" w:cs="宋体"/>
                <w:bCs/>
                <w:color w:val="auto"/>
                <w:kern w:val="0"/>
                <w:szCs w:val="21"/>
              </w:rPr>
              <w:t>项目经理</w:t>
            </w:r>
          </w:p>
        </w:tc>
        <w:tc>
          <w:tcPr>
            <w:tcW w:w="2412" w:type="dxa"/>
            <w:vAlign w:val="center"/>
          </w:tcPr>
          <w:p w14:paraId="486E4FBD">
            <w:pPr>
              <w:tabs>
                <w:tab w:val="left" w:pos="2730"/>
              </w:tabs>
              <w:snapToGrid w:val="0"/>
              <w:spacing w:line="360" w:lineRule="auto"/>
              <w:jc w:val="center"/>
              <w:rPr>
                <w:rFonts w:ascii="宋体" w:hAnsi="宋体" w:cs="宋体"/>
                <w:bCs/>
                <w:color w:val="auto"/>
                <w:kern w:val="0"/>
                <w:szCs w:val="21"/>
              </w:rPr>
            </w:pPr>
          </w:p>
        </w:tc>
        <w:tc>
          <w:tcPr>
            <w:tcW w:w="2412" w:type="dxa"/>
            <w:vAlign w:val="center"/>
          </w:tcPr>
          <w:p w14:paraId="7C1BCAC1">
            <w:pPr>
              <w:tabs>
                <w:tab w:val="left" w:pos="2730"/>
              </w:tabs>
              <w:snapToGrid w:val="0"/>
              <w:spacing w:line="360" w:lineRule="auto"/>
              <w:jc w:val="center"/>
              <w:rPr>
                <w:rFonts w:ascii="宋体" w:hAnsi="宋体" w:cs="宋体"/>
                <w:bCs/>
                <w:color w:val="auto"/>
                <w:kern w:val="0"/>
                <w:szCs w:val="21"/>
              </w:rPr>
            </w:pPr>
            <w:r>
              <w:rPr>
                <w:rFonts w:hint="eastAsia" w:ascii="宋体" w:hAnsi="宋体" w:cs="宋体"/>
                <w:bCs/>
                <w:color w:val="auto"/>
                <w:kern w:val="0"/>
                <w:szCs w:val="21"/>
              </w:rPr>
              <w:t>证书编号</w:t>
            </w:r>
          </w:p>
        </w:tc>
        <w:tc>
          <w:tcPr>
            <w:tcW w:w="2413" w:type="dxa"/>
            <w:vAlign w:val="center"/>
          </w:tcPr>
          <w:p w14:paraId="6A79B855">
            <w:pPr>
              <w:tabs>
                <w:tab w:val="left" w:pos="2730"/>
              </w:tabs>
              <w:snapToGrid w:val="0"/>
              <w:spacing w:line="360" w:lineRule="auto"/>
              <w:jc w:val="center"/>
              <w:rPr>
                <w:rFonts w:ascii="宋体" w:hAnsi="宋体"/>
                <w:bCs/>
                <w:color w:val="auto"/>
                <w:kern w:val="0"/>
                <w:szCs w:val="21"/>
              </w:rPr>
            </w:pPr>
          </w:p>
        </w:tc>
      </w:tr>
      <w:tr w14:paraId="3E021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2243" w:type="dxa"/>
            <w:vAlign w:val="center"/>
          </w:tcPr>
          <w:p w14:paraId="6C2D458F">
            <w:pPr>
              <w:tabs>
                <w:tab w:val="left" w:pos="2730"/>
              </w:tabs>
              <w:snapToGrid w:val="0"/>
              <w:jc w:val="center"/>
              <w:rPr>
                <w:rFonts w:ascii="宋体" w:hAnsi="宋体"/>
                <w:bCs/>
                <w:color w:val="auto"/>
                <w:kern w:val="0"/>
                <w:szCs w:val="21"/>
              </w:rPr>
            </w:pPr>
            <w:r>
              <w:rPr>
                <w:rFonts w:hint="eastAsia" w:ascii="宋体" w:hAnsi="宋体"/>
                <w:bCs/>
                <w:color w:val="auto"/>
                <w:kern w:val="0"/>
                <w:szCs w:val="21"/>
              </w:rPr>
              <w:t>对招标文件的认同程度</w:t>
            </w:r>
          </w:p>
        </w:tc>
        <w:tc>
          <w:tcPr>
            <w:tcW w:w="7237" w:type="dxa"/>
            <w:gridSpan w:val="3"/>
            <w:vAlign w:val="center"/>
          </w:tcPr>
          <w:p w14:paraId="6135F224">
            <w:pPr>
              <w:tabs>
                <w:tab w:val="left" w:pos="2730"/>
              </w:tabs>
              <w:snapToGrid w:val="0"/>
              <w:spacing w:line="360" w:lineRule="auto"/>
              <w:jc w:val="center"/>
              <w:rPr>
                <w:rFonts w:ascii="宋体" w:hAnsi="宋体"/>
                <w:bCs/>
                <w:color w:val="auto"/>
                <w:kern w:val="0"/>
                <w:szCs w:val="21"/>
              </w:rPr>
            </w:pPr>
          </w:p>
        </w:tc>
      </w:tr>
      <w:tr w14:paraId="77A7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2243" w:type="dxa"/>
            <w:vAlign w:val="center"/>
          </w:tcPr>
          <w:p w14:paraId="357113D8">
            <w:pPr>
              <w:tabs>
                <w:tab w:val="left" w:pos="2730"/>
              </w:tabs>
              <w:snapToGrid w:val="0"/>
              <w:jc w:val="center"/>
              <w:rPr>
                <w:rFonts w:ascii="宋体" w:hAnsi="宋体"/>
                <w:bCs/>
                <w:color w:val="auto"/>
                <w:kern w:val="0"/>
                <w:szCs w:val="21"/>
              </w:rPr>
            </w:pPr>
            <w:r>
              <w:rPr>
                <w:rFonts w:hint="eastAsia" w:ascii="宋体" w:hAnsi="宋体"/>
                <w:bCs/>
                <w:color w:val="auto"/>
                <w:kern w:val="0"/>
                <w:szCs w:val="21"/>
              </w:rPr>
              <w:t>备注（其他优惠条款及承诺）</w:t>
            </w:r>
          </w:p>
        </w:tc>
        <w:tc>
          <w:tcPr>
            <w:tcW w:w="7237" w:type="dxa"/>
            <w:gridSpan w:val="3"/>
            <w:vAlign w:val="center"/>
          </w:tcPr>
          <w:p w14:paraId="1B28EAD6">
            <w:pPr>
              <w:tabs>
                <w:tab w:val="left" w:pos="2730"/>
              </w:tabs>
              <w:snapToGrid w:val="0"/>
              <w:spacing w:line="360" w:lineRule="auto"/>
              <w:jc w:val="center"/>
              <w:rPr>
                <w:rFonts w:ascii="宋体" w:hAnsi="宋体"/>
                <w:bCs/>
                <w:color w:val="auto"/>
                <w:kern w:val="0"/>
                <w:szCs w:val="21"/>
              </w:rPr>
            </w:pPr>
          </w:p>
        </w:tc>
      </w:tr>
    </w:tbl>
    <w:p w14:paraId="7E422203">
      <w:pPr>
        <w:spacing w:line="360" w:lineRule="auto"/>
        <w:ind w:firstLine="422" w:firstLineChars="200"/>
        <w:rPr>
          <w:rFonts w:ascii="宋体" w:hAnsi="宋体" w:cs="宋体"/>
          <w:b/>
          <w:bCs/>
          <w:color w:val="auto"/>
          <w:kern w:val="0"/>
          <w:szCs w:val="21"/>
          <w:lang w:val="fr-FR"/>
        </w:rPr>
      </w:pPr>
      <w:r>
        <w:rPr>
          <w:rFonts w:hint="eastAsia" w:ascii="宋体" w:hAnsi="宋体" w:cs="宋体"/>
          <w:b/>
          <w:bCs/>
          <w:color w:val="auto"/>
          <w:kern w:val="0"/>
          <w:szCs w:val="21"/>
          <w:lang w:val="fr-FR"/>
        </w:rPr>
        <w:t>备注：1、报价保留两位小数；</w:t>
      </w:r>
    </w:p>
    <w:p w14:paraId="21533669">
      <w:pPr>
        <w:jc w:val="center"/>
        <w:rPr>
          <w:rFonts w:ascii="宋体" w:hAnsi="宋体" w:cs="宋体"/>
          <w:bCs/>
          <w:color w:val="auto"/>
          <w:szCs w:val="21"/>
        </w:rPr>
      </w:pPr>
    </w:p>
    <w:p w14:paraId="258A8287">
      <w:pPr>
        <w:ind w:left="420" w:leftChars="200"/>
        <w:rPr>
          <w:rFonts w:ascii="宋体" w:hAnsi="宋体" w:cs="宋体"/>
          <w:bCs/>
          <w:color w:val="auto"/>
          <w:szCs w:val="21"/>
        </w:rPr>
      </w:pPr>
    </w:p>
    <w:p w14:paraId="518D859E">
      <w:pPr>
        <w:spacing w:line="360" w:lineRule="auto"/>
        <w:ind w:firstLine="3360" w:firstLineChars="1600"/>
        <w:rPr>
          <w:rFonts w:ascii="宋体" w:hAnsi="宋体" w:cs="宋体"/>
          <w:color w:val="auto"/>
          <w:szCs w:val="21"/>
        </w:rPr>
      </w:pPr>
      <w:r>
        <w:rPr>
          <w:rFonts w:hint="eastAsia" w:ascii="宋体" w:hAnsi="宋体" w:cs="宋体"/>
          <w:color w:val="auto"/>
          <w:szCs w:val="21"/>
        </w:rPr>
        <w:t xml:space="preserve"> 投标人： </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6A52211E">
      <w:pPr>
        <w:spacing w:line="360" w:lineRule="auto"/>
        <w:ind w:firstLine="3418" w:firstLineChars="1628"/>
        <w:jc w:val="left"/>
        <w:rPr>
          <w:rFonts w:ascii="宋体" w:hAnsi="宋体" w:cs="宋体"/>
          <w:color w:val="auto"/>
          <w:szCs w:val="21"/>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14:paraId="5CBDC61E">
      <w:pPr>
        <w:spacing w:line="360" w:lineRule="auto"/>
        <w:ind w:firstLine="4258" w:firstLineChars="2028"/>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0030DF22">
      <w:pPr>
        <w:spacing w:line="360" w:lineRule="auto"/>
        <w:rPr>
          <w:rFonts w:ascii="宋体" w:hAnsi="宋体" w:cs="宋体"/>
          <w:color w:val="auto"/>
          <w:szCs w:val="21"/>
        </w:rPr>
        <w:sectPr>
          <w:footerReference r:id="rId3" w:type="default"/>
          <w:pgSz w:w="11906" w:h="16838"/>
          <w:pgMar w:top="1440" w:right="1080" w:bottom="1440" w:left="1276" w:header="964" w:footer="992" w:gutter="0"/>
          <w:cols w:space="720" w:num="1"/>
          <w:docGrid w:type="lines" w:linePitch="312" w:charSpace="0"/>
        </w:sectPr>
      </w:pPr>
    </w:p>
    <w:bookmarkEnd w:id="785"/>
    <w:bookmarkEnd w:id="786"/>
    <w:bookmarkEnd w:id="787"/>
    <w:bookmarkEnd w:id="788"/>
    <w:bookmarkEnd w:id="789"/>
    <w:bookmarkEnd w:id="790"/>
    <w:bookmarkEnd w:id="791"/>
    <w:bookmarkEnd w:id="792"/>
    <w:bookmarkEnd w:id="793"/>
    <w:bookmarkEnd w:id="794"/>
    <w:bookmarkEnd w:id="795"/>
    <w:p w14:paraId="63C6D7DE">
      <w:pPr>
        <w:pStyle w:val="2"/>
        <w:jc w:val="center"/>
        <w:rPr>
          <w:rFonts w:ascii="Times New Roman" w:hAnsi="Times New Roman"/>
          <w:color w:val="auto"/>
        </w:rPr>
      </w:pPr>
      <w:bookmarkStart w:id="797" w:name="_Toc7091"/>
      <w:bookmarkStart w:id="798" w:name="_Toc534190153"/>
      <w:r>
        <w:rPr>
          <w:rFonts w:hint="eastAsia" w:ascii="Times New Roman" w:hAnsi="Times New Roman"/>
          <w:color w:val="auto"/>
        </w:rPr>
        <w:t>三</w:t>
      </w:r>
      <w:r>
        <w:rPr>
          <w:rFonts w:ascii="Times New Roman" w:hAnsi="Times New Roman"/>
          <w:color w:val="auto"/>
        </w:rPr>
        <w:t>、法定代表人身份证明</w:t>
      </w:r>
      <w:bookmarkEnd w:id="797"/>
      <w:bookmarkEnd w:id="798"/>
    </w:p>
    <w:p w14:paraId="0C1A2E74">
      <w:pPr>
        <w:spacing w:line="360" w:lineRule="auto"/>
        <w:jc w:val="center"/>
        <w:rPr>
          <w:rFonts w:ascii="宋体" w:hAnsi="宋体" w:cs="宋体"/>
          <w:b/>
          <w:color w:val="auto"/>
          <w:szCs w:val="21"/>
        </w:rPr>
      </w:pPr>
    </w:p>
    <w:p w14:paraId="0861BD75">
      <w:pPr>
        <w:spacing w:line="480" w:lineRule="auto"/>
        <w:ind w:firstLine="630" w:firstLineChars="300"/>
        <w:rPr>
          <w:rFonts w:ascii="宋体" w:hAnsi="宋体" w:cs="宋体"/>
          <w:color w:val="auto"/>
          <w:szCs w:val="21"/>
        </w:rPr>
      </w:pPr>
      <w:r>
        <w:rPr>
          <w:rFonts w:hint="eastAsia" w:ascii="宋体" w:hAnsi="宋体" w:cs="宋体"/>
          <w:color w:val="auto"/>
          <w:szCs w:val="21"/>
        </w:rPr>
        <w:t>投标人名称：</w:t>
      </w:r>
      <w:r>
        <w:rPr>
          <w:rFonts w:hint="eastAsia" w:ascii="宋体" w:hAnsi="宋体" w:cs="宋体"/>
          <w:color w:val="auto"/>
          <w:szCs w:val="21"/>
          <w:u w:val="single"/>
        </w:rPr>
        <w:t xml:space="preserve">                                 </w:t>
      </w:r>
    </w:p>
    <w:p w14:paraId="6F9CDCC3">
      <w:pPr>
        <w:spacing w:line="480" w:lineRule="auto"/>
        <w:ind w:firstLine="630" w:firstLineChars="300"/>
        <w:rPr>
          <w:rFonts w:ascii="宋体" w:hAnsi="宋体" w:cs="宋体"/>
          <w:color w:val="auto"/>
          <w:szCs w:val="21"/>
        </w:rPr>
      </w:pPr>
      <w:r>
        <w:rPr>
          <w:rFonts w:hint="eastAsia" w:ascii="宋体" w:hAnsi="宋体" w:cs="宋体"/>
          <w:color w:val="auto"/>
          <w:szCs w:val="21"/>
        </w:rPr>
        <w:t>单位性质：</w:t>
      </w:r>
      <w:r>
        <w:rPr>
          <w:rFonts w:hint="eastAsia" w:ascii="宋体" w:hAnsi="宋体" w:cs="宋体"/>
          <w:color w:val="auto"/>
          <w:szCs w:val="21"/>
          <w:u w:val="single"/>
        </w:rPr>
        <w:t xml:space="preserve">                                   </w:t>
      </w:r>
    </w:p>
    <w:p w14:paraId="6CDFC58F">
      <w:pPr>
        <w:spacing w:line="480" w:lineRule="auto"/>
        <w:ind w:firstLine="630" w:firstLineChars="300"/>
        <w:rPr>
          <w:rFonts w:ascii="宋体" w:hAnsi="宋体" w:cs="宋体"/>
          <w:color w:val="auto"/>
          <w:szCs w:val="21"/>
        </w:rPr>
      </w:pPr>
      <w:r>
        <w:rPr>
          <w:rFonts w:hint="eastAsia" w:ascii="宋体" w:hAnsi="宋体" w:cs="宋体"/>
          <w:color w:val="auto"/>
          <w:szCs w:val="21"/>
        </w:rPr>
        <w:t>地址：</w:t>
      </w:r>
      <w:r>
        <w:rPr>
          <w:rFonts w:hint="eastAsia" w:ascii="宋体" w:hAnsi="宋体" w:cs="宋体"/>
          <w:color w:val="auto"/>
          <w:szCs w:val="21"/>
          <w:u w:val="single"/>
        </w:rPr>
        <w:t xml:space="preserve">                                       </w:t>
      </w:r>
    </w:p>
    <w:p w14:paraId="2B8B091F">
      <w:pPr>
        <w:spacing w:line="480" w:lineRule="auto"/>
        <w:ind w:firstLine="630" w:firstLineChars="300"/>
        <w:rPr>
          <w:rFonts w:ascii="宋体" w:hAnsi="宋体" w:cs="宋体"/>
          <w:color w:val="auto"/>
          <w:szCs w:val="21"/>
        </w:rPr>
      </w:pPr>
      <w:r>
        <w:rPr>
          <w:rFonts w:hint="eastAsia" w:ascii="宋体" w:hAnsi="宋体" w:cs="宋体"/>
          <w:color w:val="auto"/>
          <w:szCs w:val="21"/>
        </w:rPr>
        <w:t xml:space="preserve">成立时间：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 xml:space="preserve">月 </w:t>
      </w:r>
      <w:r>
        <w:rPr>
          <w:rFonts w:hint="eastAsia" w:ascii="宋体" w:hAnsi="宋体" w:cs="宋体"/>
          <w:color w:val="auto"/>
          <w:szCs w:val="21"/>
          <w:u w:val="single"/>
        </w:rPr>
        <w:t xml:space="preserve">      </w:t>
      </w:r>
      <w:r>
        <w:rPr>
          <w:rFonts w:hint="eastAsia" w:ascii="宋体" w:hAnsi="宋体" w:cs="宋体"/>
          <w:color w:val="auto"/>
          <w:szCs w:val="21"/>
        </w:rPr>
        <w:t>日</w:t>
      </w:r>
    </w:p>
    <w:p w14:paraId="6AB760B6">
      <w:pPr>
        <w:spacing w:line="480" w:lineRule="auto"/>
        <w:ind w:firstLine="630" w:firstLineChars="300"/>
        <w:rPr>
          <w:rFonts w:ascii="宋体" w:hAnsi="宋体" w:cs="宋体"/>
          <w:color w:val="auto"/>
          <w:szCs w:val="21"/>
        </w:rPr>
      </w:pPr>
      <w:r>
        <w:rPr>
          <w:rFonts w:hint="eastAsia" w:ascii="宋体" w:hAnsi="宋体" w:cs="宋体"/>
          <w:color w:val="auto"/>
          <w:szCs w:val="21"/>
        </w:rPr>
        <w:t>经营期限：</w:t>
      </w:r>
      <w:r>
        <w:rPr>
          <w:rFonts w:hint="eastAsia" w:ascii="宋体" w:hAnsi="宋体" w:cs="宋体"/>
          <w:color w:val="auto"/>
          <w:szCs w:val="21"/>
          <w:u w:val="single"/>
        </w:rPr>
        <w:t xml:space="preserve">                            </w:t>
      </w:r>
    </w:p>
    <w:p w14:paraId="69F9EA0A">
      <w:pPr>
        <w:spacing w:line="480" w:lineRule="auto"/>
        <w:ind w:firstLine="630" w:firstLineChars="300"/>
        <w:rPr>
          <w:rFonts w:ascii="宋体" w:hAnsi="宋体" w:cs="宋体"/>
          <w:color w:val="auto"/>
          <w:szCs w:val="21"/>
        </w:rPr>
      </w:pPr>
      <w:r>
        <w:rPr>
          <w:rFonts w:hint="eastAsia" w:ascii="宋体" w:hAnsi="宋体" w:cs="宋体"/>
          <w:color w:val="auto"/>
          <w:szCs w:val="21"/>
        </w:rPr>
        <w:t>姓名：</w:t>
      </w:r>
      <w:r>
        <w:rPr>
          <w:rFonts w:hint="eastAsia" w:ascii="宋体" w:hAnsi="宋体" w:cs="宋体"/>
          <w:color w:val="auto"/>
          <w:szCs w:val="21"/>
          <w:u w:val="single"/>
        </w:rPr>
        <w:t xml:space="preserve">        </w:t>
      </w:r>
      <w:r>
        <w:rPr>
          <w:rFonts w:hint="eastAsia" w:ascii="宋体" w:hAnsi="宋体" w:cs="宋体"/>
          <w:color w:val="auto"/>
          <w:szCs w:val="21"/>
        </w:rPr>
        <w:t xml:space="preserve"> 性别：</w:t>
      </w:r>
      <w:r>
        <w:rPr>
          <w:rFonts w:hint="eastAsia" w:ascii="宋体" w:hAnsi="宋体" w:cs="宋体"/>
          <w:color w:val="auto"/>
          <w:szCs w:val="21"/>
          <w:u w:val="single"/>
        </w:rPr>
        <w:t xml:space="preserve">       </w:t>
      </w:r>
      <w:r>
        <w:rPr>
          <w:rFonts w:hint="eastAsia" w:ascii="宋体" w:hAnsi="宋体" w:cs="宋体"/>
          <w:color w:val="auto"/>
          <w:szCs w:val="21"/>
        </w:rPr>
        <w:t xml:space="preserve"> 年龄：</w:t>
      </w:r>
      <w:r>
        <w:rPr>
          <w:rFonts w:hint="eastAsia" w:ascii="宋体" w:hAnsi="宋体" w:cs="宋体"/>
          <w:color w:val="auto"/>
          <w:szCs w:val="21"/>
          <w:u w:val="single"/>
        </w:rPr>
        <w:t xml:space="preserve">       </w:t>
      </w:r>
      <w:r>
        <w:rPr>
          <w:rFonts w:hint="eastAsia" w:ascii="宋体" w:hAnsi="宋体" w:cs="宋体"/>
          <w:color w:val="auto"/>
          <w:szCs w:val="21"/>
        </w:rPr>
        <w:t xml:space="preserve"> 职务：</w:t>
      </w:r>
      <w:r>
        <w:rPr>
          <w:rFonts w:hint="eastAsia" w:ascii="宋体" w:hAnsi="宋体" w:cs="宋体"/>
          <w:color w:val="auto"/>
          <w:szCs w:val="21"/>
          <w:u w:val="single"/>
        </w:rPr>
        <w:t xml:space="preserve">        </w:t>
      </w:r>
    </w:p>
    <w:p w14:paraId="4CFB8065">
      <w:pPr>
        <w:spacing w:line="480" w:lineRule="auto"/>
        <w:ind w:firstLine="630" w:firstLineChars="300"/>
        <w:rPr>
          <w:rFonts w:ascii="宋体" w:hAnsi="宋体" w:cs="宋体"/>
          <w:color w:val="auto"/>
          <w:szCs w:val="21"/>
        </w:rPr>
      </w:pPr>
      <w:r>
        <w:rPr>
          <w:rFonts w:hint="eastAsia" w:ascii="宋体" w:hAnsi="宋体" w:cs="宋体"/>
          <w:color w:val="auto"/>
          <w:szCs w:val="21"/>
        </w:rPr>
        <w:t xml:space="preserve">系 </w:t>
      </w:r>
      <w:r>
        <w:rPr>
          <w:rFonts w:hint="eastAsia" w:ascii="宋体" w:hAnsi="宋体" w:cs="宋体"/>
          <w:color w:val="auto"/>
          <w:szCs w:val="21"/>
          <w:u w:val="single"/>
        </w:rPr>
        <w:t xml:space="preserve">                       </w:t>
      </w:r>
      <w:r>
        <w:rPr>
          <w:rFonts w:hint="eastAsia" w:ascii="宋体" w:hAnsi="宋体" w:cs="宋体"/>
          <w:color w:val="auto"/>
          <w:szCs w:val="21"/>
        </w:rPr>
        <w:t>（投标人名称）的法定代表人。</w:t>
      </w:r>
    </w:p>
    <w:p w14:paraId="5B8B87BC">
      <w:pPr>
        <w:spacing w:line="480" w:lineRule="auto"/>
        <w:ind w:firstLine="630" w:firstLineChars="300"/>
        <w:rPr>
          <w:rFonts w:ascii="宋体" w:hAnsi="宋体" w:cs="宋体"/>
          <w:color w:val="auto"/>
          <w:szCs w:val="21"/>
        </w:rPr>
      </w:pPr>
      <w:r>
        <w:rPr>
          <w:rFonts w:hint="eastAsia" w:ascii="宋体" w:hAnsi="宋体" w:cs="宋体"/>
          <w:color w:val="auto"/>
          <w:szCs w:val="21"/>
        </w:rPr>
        <w:t>特此证明。</w:t>
      </w:r>
    </w:p>
    <w:p w14:paraId="7AC31177">
      <w:pPr>
        <w:spacing w:before="78" w:line="185" w:lineRule="auto"/>
        <w:ind w:firstLine="612" w:firstLineChars="300"/>
        <w:rPr>
          <w:rFonts w:ascii="宋体" w:hAnsi="宋体" w:cs="宋体"/>
          <w:color w:val="auto"/>
          <w:szCs w:val="21"/>
        </w:rPr>
      </w:pPr>
      <w:r>
        <w:rPr>
          <w:rFonts w:ascii="宋体" w:hAnsi="宋体" w:cs="宋体"/>
          <w:color w:val="auto"/>
          <w:spacing w:val="-3"/>
          <w:szCs w:val="21"/>
        </w:rPr>
        <w:t>附法定代表人身份证复印件。</w:t>
      </w:r>
    </w:p>
    <w:p w14:paraId="62602738">
      <w:pPr>
        <w:pStyle w:val="151"/>
        <w:ind w:firstLine="420"/>
        <w:rPr>
          <w:color w:val="auto"/>
          <w:sz w:val="21"/>
          <w:szCs w:val="21"/>
        </w:rPr>
      </w:pPr>
    </w:p>
    <w:p w14:paraId="42223CFB">
      <w:pPr>
        <w:spacing w:line="480" w:lineRule="auto"/>
        <w:ind w:firstLine="4678" w:firstLineChars="2228"/>
        <w:rPr>
          <w:rFonts w:ascii="宋体" w:hAnsi="宋体" w:cs="宋体"/>
          <w:color w:val="auto"/>
          <w:szCs w:val="21"/>
        </w:rPr>
      </w:pPr>
    </w:p>
    <w:p w14:paraId="32E4488D">
      <w:pPr>
        <w:spacing w:line="480" w:lineRule="auto"/>
        <w:ind w:firstLine="4678" w:firstLineChars="2228"/>
        <w:rPr>
          <w:rFonts w:ascii="宋体" w:hAnsi="宋体" w:cs="宋体"/>
          <w:color w:val="auto"/>
          <w:szCs w:val="21"/>
        </w:rPr>
      </w:pPr>
      <w:r>
        <w:rPr>
          <w:rFonts w:hint="eastAsia" w:ascii="宋体" w:hAnsi="宋体" w:cs="宋体"/>
          <w:color w:val="auto"/>
          <w:szCs w:val="21"/>
        </w:rPr>
        <w:t>投标人：</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0EA4A654">
      <w:pPr>
        <w:spacing w:line="480" w:lineRule="auto"/>
        <w:ind w:firstLine="4888" w:firstLineChars="2328"/>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 xml:space="preserve"> 年</w:t>
      </w:r>
      <w:r>
        <w:rPr>
          <w:rFonts w:hint="eastAsia" w:ascii="宋体" w:hAnsi="宋体" w:cs="宋体"/>
          <w:color w:val="auto"/>
          <w:szCs w:val="21"/>
          <w:u w:val="single"/>
        </w:rPr>
        <w:t xml:space="preserve">      </w:t>
      </w:r>
      <w:r>
        <w:rPr>
          <w:rFonts w:hint="eastAsia" w:ascii="宋体" w:hAnsi="宋体" w:cs="宋体"/>
          <w:color w:val="auto"/>
          <w:szCs w:val="21"/>
        </w:rPr>
        <w:t xml:space="preserve">  月 </w:t>
      </w:r>
      <w:r>
        <w:rPr>
          <w:rFonts w:hint="eastAsia" w:ascii="宋体" w:hAnsi="宋体" w:cs="宋体"/>
          <w:color w:val="auto"/>
          <w:szCs w:val="21"/>
          <w:u w:val="single"/>
        </w:rPr>
        <w:t xml:space="preserve">      </w:t>
      </w:r>
      <w:r>
        <w:rPr>
          <w:rFonts w:hint="eastAsia" w:ascii="宋体" w:hAnsi="宋体" w:cs="宋体"/>
          <w:color w:val="auto"/>
          <w:szCs w:val="21"/>
        </w:rPr>
        <w:t xml:space="preserve"> 日</w:t>
      </w:r>
    </w:p>
    <w:p w14:paraId="25FB2618">
      <w:pPr>
        <w:pStyle w:val="2"/>
        <w:jc w:val="center"/>
        <w:rPr>
          <w:rFonts w:ascii="Times New Roman" w:hAnsi="Times New Roman"/>
          <w:color w:val="auto"/>
          <w:sz w:val="21"/>
          <w:szCs w:val="21"/>
        </w:rPr>
      </w:pPr>
    </w:p>
    <w:p w14:paraId="3FA31E26">
      <w:pPr>
        <w:rPr>
          <w:rFonts w:ascii="Times New Roman" w:hAnsi="Times New Roman"/>
          <w:color w:val="auto"/>
        </w:rPr>
      </w:pPr>
    </w:p>
    <w:p w14:paraId="37C9F553">
      <w:pPr>
        <w:rPr>
          <w:rFonts w:ascii="Times New Roman" w:hAnsi="Times New Roman"/>
          <w:color w:val="auto"/>
        </w:rPr>
      </w:pPr>
    </w:p>
    <w:p w14:paraId="7F2A418C">
      <w:pPr>
        <w:rPr>
          <w:rFonts w:ascii="Times New Roman" w:hAnsi="Times New Roman"/>
          <w:color w:val="auto"/>
        </w:rPr>
      </w:pPr>
    </w:p>
    <w:p w14:paraId="58AE14CC">
      <w:pPr>
        <w:rPr>
          <w:rFonts w:ascii="Times New Roman" w:hAnsi="Times New Roman"/>
          <w:color w:val="auto"/>
        </w:rPr>
      </w:pPr>
    </w:p>
    <w:p w14:paraId="1A80DA88">
      <w:pPr>
        <w:widowControl/>
        <w:jc w:val="left"/>
        <w:rPr>
          <w:rFonts w:ascii="Times New Roman" w:hAnsi="Times New Roman"/>
          <w:color w:val="auto"/>
        </w:rPr>
      </w:pPr>
      <w:r>
        <w:rPr>
          <w:rFonts w:ascii="Times New Roman" w:hAnsi="Times New Roman"/>
          <w:color w:val="auto"/>
        </w:rPr>
        <w:br w:type="page"/>
      </w:r>
      <w:bookmarkStart w:id="799" w:name="_Toc534190154"/>
    </w:p>
    <w:p w14:paraId="0CD5ABE6">
      <w:pPr>
        <w:pStyle w:val="2"/>
        <w:spacing w:line="240" w:lineRule="auto"/>
        <w:jc w:val="center"/>
        <w:rPr>
          <w:rFonts w:ascii="Times New Roman" w:hAnsi="Times New Roman"/>
          <w:color w:val="auto"/>
        </w:rPr>
      </w:pPr>
      <w:r>
        <w:rPr>
          <w:rFonts w:ascii="Times New Roman" w:hAnsi="Times New Roman"/>
          <w:color w:val="auto"/>
        </w:rPr>
        <w:t>授权委托书</w:t>
      </w:r>
      <w:bookmarkEnd w:id="799"/>
    </w:p>
    <w:p w14:paraId="196DD00C">
      <w:pPr>
        <w:jc w:val="center"/>
        <w:rPr>
          <w:rFonts w:ascii="宋体" w:hAnsi="宋体" w:cs="宋体"/>
          <w:color w:val="auto"/>
          <w:spacing w:val="-1"/>
          <w:szCs w:val="21"/>
        </w:rPr>
      </w:pPr>
      <w:r>
        <w:rPr>
          <w:rFonts w:ascii="宋体" w:hAnsi="宋体" w:cs="宋体"/>
          <w:color w:val="auto"/>
          <w:spacing w:val="-1"/>
          <w:szCs w:val="21"/>
        </w:rPr>
        <w:t>（委托代理人参加会议的提供）</w:t>
      </w:r>
    </w:p>
    <w:p w14:paraId="58F7F136">
      <w:pPr>
        <w:pStyle w:val="151"/>
        <w:ind w:firstLine="420"/>
        <w:rPr>
          <w:color w:val="auto"/>
          <w:sz w:val="21"/>
          <w:szCs w:val="21"/>
        </w:rPr>
      </w:pPr>
    </w:p>
    <w:p w14:paraId="1D0A2746">
      <w:pPr>
        <w:topLinePunct/>
        <w:spacing w:line="360" w:lineRule="auto"/>
        <w:ind w:firstLine="420" w:firstLineChars="200"/>
        <w:rPr>
          <w:rFonts w:ascii="Times New Roman" w:hAnsi="Times New Roman"/>
          <w:color w:val="auto"/>
          <w:szCs w:val="21"/>
        </w:rPr>
      </w:pPr>
      <w:r>
        <w:rPr>
          <w:rFonts w:ascii="Times New Roman" w:hAnsi="Times New Roman"/>
          <w:color w:val="auto"/>
          <w:szCs w:val="21"/>
        </w:rPr>
        <w:t>本人</w:t>
      </w:r>
      <w:r>
        <w:rPr>
          <w:rFonts w:ascii="Times New Roman" w:hAnsi="Times New Roman"/>
          <w:color w:val="auto"/>
          <w:szCs w:val="21"/>
          <w:u w:val="single"/>
        </w:rPr>
        <w:t>（姓名）</w:t>
      </w:r>
      <w:r>
        <w:rPr>
          <w:rFonts w:ascii="Times New Roman" w:hAnsi="Times New Roman"/>
          <w:color w:val="auto"/>
          <w:szCs w:val="21"/>
        </w:rPr>
        <w:t>系</w:t>
      </w:r>
      <w:r>
        <w:rPr>
          <w:rFonts w:hint="eastAsia" w:ascii="Times New Roman" w:hAnsi="Times New Roman"/>
          <w:color w:val="auto"/>
          <w:szCs w:val="21"/>
          <w:u w:val="single"/>
        </w:rPr>
        <w:t xml:space="preserve">     </w:t>
      </w:r>
      <w:r>
        <w:rPr>
          <w:rFonts w:ascii="Times New Roman" w:hAnsi="Times New Roman"/>
          <w:color w:val="auto"/>
          <w:szCs w:val="21"/>
          <w:u w:val="single"/>
        </w:rPr>
        <w:t>（投标人名称）</w:t>
      </w:r>
      <w:r>
        <w:rPr>
          <w:rFonts w:hint="eastAsia" w:ascii="Times New Roman" w:hAnsi="Times New Roman"/>
          <w:color w:val="auto"/>
          <w:szCs w:val="21"/>
          <w:u w:val="single"/>
        </w:rPr>
        <w:t xml:space="preserve">    </w:t>
      </w:r>
      <w:r>
        <w:rPr>
          <w:rFonts w:ascii="Times New Roman" w:hAnsi="Times New Roman"/>
          <w:color w:val="auto"/>
          <w:szCs w:val="21"/>
        </w:rPr>
        <w:t>的法定代表人，现委托</w:t>
      </w:r>
      <w:r>
        <w:rPr>
          <w:rFonts w:hint="eastAsia" w:ascii="Times New Roman" w:hAnsi="Times New Roman"/>
          <w:color w:val="auto"/>
          <w:szCs w:val="21"/>
          <w:u w:val="single"/>
        </w:rPr>
        <w:t xml:space="preserve">  </w:t>
      </w:r>
      <w:r>
        <w:rPr>
          <w:rFonts w:ascii="Times New Roman" w:hAnsi="Times New Roman"/>
          <w:color w:val="auto"/>
          <w:szCs w:val="21"/>
          <w:u w:val="single"/>
        </w:rPr>
        <w:t>（姓名）</w:t>
      </w:r>
      <w:r>
        <w:rPr>
          <w:rFonts w:hint="eastAsia" w:ascii="Times New Roman" w:hAnsi="Times New Roman"/>
          <w:color w:val="auto"/>
          <w:szCs w:val="21"/>
          <w:u w:val="single"/>
        </w:rPr>
        <w:t xml:space="preserve"> </w:t>
      </w:r>
      <w:r>
        <w:rPr>
          <w:rFonts w:ascii="Times New Roman" w:hAnsi="Times New Roman"/>
          <w:color w:val="auto"/>
          <w:szCs w:val="21"/>
        </w:rPr>
        <w:t>为我方代理人。代理人根据授权，以我方名义签署、澄清确认、递交、撤回、修改</w:t>
      </w:r>
      <w:r>
        <w:rPr>
          <w:rFonts w:hint="eastAsia" w:ascii="Times New Roman" w:hAnsi="Times New Roman"/>
          <w:color w:val="auto"/>
          <w:szCs w:val="21"/>
          <w:u w:val="single"/>
        </w:rPr>
        <w:t xml:space="preserve">                    </w:t>
      </w:r>
      <w:r>
        <w:rPr>
          <w:rFonts w:ascii="Times New Roman" w:hAnsi="Times New Roman"/>
          <w:color w:val="auto"/>
          <w:szCs w:val="21"/>
        </w:rPr>
        <w:t>招标项目投标文件、签订合同和处理有关事宜，其法律后果由我方承担。</w:t>
      </w:r>
    </w:p>
    <w:p w14:paraId="5306B32F">
      <w:pPr>
        <w:spacing w:line="360" w:lineRule="auto"/>
        <w:rPr>
          <w:rFonts w:ascii="Times New Roman" w:hAnsi="Times New Roman"/>
          <w:color w:val="auto"/>
          <w:szCs w:val="21"/>
        </w:rPr>
      </w:pPr>
      <w:r>
        <w:rPr>
          <w:rFonts w:ascii="Times New Roman" w:hAnsi="Times New Roman"/>
          <w:color w:val="auto"/>
          <w:szCs w:val="21"/>
        </w:rPr>
        <w:t>委托期限：</w:t>
      </w:r>
      <w:r>
        <w:rPr>
          <w:rFonts w:hint="eastAsia" w:ascii="Times New Roman" w:hAnsi="Times New Roman"/>
          <w:color w:val="auto"/>
          <w:szCs w:val="21"/>
          <w:u w:val="single"/>
        </w:rPr>
        <w:t xml:space="preserve">                         </w:t>
      </w:r>
      <w:r>
        <w:rPr>
          <w:rFonts w:ascii="Times New Roman" w:hAnsi="Times New Roman"/>
          <w:color w:val="auto"/>
          <w:szCs w:val="21"/>
        </w:rPr>
        <w:t>。</w:t>
      </w:r>
    </w:p>
    <w:p w14:paraId="7C2DCB77">
      <w:pPr>
        <w:spacing w:line="360" w:lineRule="auto"/>
        <w:ind w:firstLine="420" w:firstLineChars="200"/>
        <w:rPr>
          <w:rFonts w:ascii="Times New Roman" w:hAnsi="Times New Roman"/>
          <w:color w:val="auto"/>
          <w:szCs w:val="21"/>
        </w:rPr>
      </w:pPr>
      <w:r>
        <w:rPr>
          <w:rFonts w:ascii="Times New Roman" w:hAnsi="Times New Roman"/>
          <w:color w:val="auto"/>
          <w:szCs w:val="21"/>
        </w:rPr>
        <w:t>代理人无转委托权。</w:t>
      </w:r>
    </w:p>
    <w:p w14:paraId="7BA5EF12">
      <w:pPr>
        <w:spacing w:line="440" w:lineRule="exact"/>
        <w:ind w:firstLine="420" w:firstLineChars="200"/>
        <w:rPr>
          <w:rFonts w:ascii="Times New Roman" w:hAnsi="Times New Roman"/>
          <w:color w:val="auto"/>
          <w:szCs w:val="21"/>
        </w:rPr>
      </w:pPr>
    </w:p>
    <w:p w14:paraId="265F5E45">
      <w:pPr>
        <w:spacing w:line="440" w:lineRule="exact"/>
        <w:rPr>
          <w:rFonts w:ascii="Times New Roman" w:hAnsi="Times New Roman"/>
          <w:color w:val="auto"/>
          <w:szCs w:val="21"/>
        </w:rPr>
      </w:pPr>
      <w:r>
        <w:rPr>
          <w:rFonts w:ascii="Times New Roman" w:hAnsi="Times New Roman"/>
          <w:color w:val="auto"/>
          <w:szCs w:val="21"/>
        </w:rPr>
        <w:t>附：法定代表人身份证</w:t>
      </w:r>
      <w:r>
        <w:rPr>
          <w:rFonts w:hint="eastAsia" w:ascii="Times New Roman" w:hAnsi="Times New Roman"/>
          <w:color w:val="auto"/>
          <w:szCs w:val="21"/>
        </w:rPr>
        <w:t>复印件</w:t>
      </w:r>
      <w:r>
        <w:rPr>
          <w:rFonts w:ascii="Times New Roman" w:hAnsi="Times New Roman"/>
          <w:color w:val="auto"/>
          <w:szCs w:val="21"/>
        </w:rPr>
        <w:t>及委托代理人身份证</w:t>
      </w:r>
      <w:r>
        <w:rPr>
          <w:rFonts w:hint="eastAsia" w:ascii="Times New Roman" w:hAnsi="Times New Roman"/>
          <w:color w:val="auto"/>
          <w:szCs w:val="21"/>
        </w:rPr>
        <w:t>复印件</w:t>
      </w:r>
    </w:p>
    <w:p w14:paraId="327FC1E8">
      <w:pPr>
        <w:spacing w:line="440" w:lineRule="exact"/>
        <w:rPr>
          <w:rFonts w:ascii="Times New Roman" w:hAnsi="Times New Roman"/>
          <w:color w:val="auto"/>
          <w:szCs w:val="21"/>
        </w:rPr>
      </w:pPr>
    </w:p>
    <w:p w14:paraId="314BED00">
      <w:pPr>
        <w:spacing w:line="480" w:lineRule="auto"/>
        <w:ind w:firstLine="4139" w:firstLineChars="1971"/>
        <w:rPr>
          <w:rFonts w:ascii="宋体" w:hAnsi="宋体" w:cs="宋体"/>
          <w:color w:val="auto"/>
          <w:szCs w:val="21"/>
        </w:rPr>
      </w:pPr>
      <w:bookmarkStart w:id="800" w:name="_Toc534190156"/>
    </w:p>
    <w:p w14:paraId="02343B1A">
      <w:pPr>
        <w:spacing w:line="480" w:lineRule="auto"/>
        <w:ind w:firstLine="4139" w:firstLineChars="1971"/>
        <w:rPr>
          <w:rFonts w:ascii="宋体" w:hAnsi="宋体" w:cs="宋体"/>
          <w:color w:val="auto"/>
          <w:szCs w:val="21"/>
        </w:rPr>
      </w:pPr>
    </w:p>
    <w:p w14:paraId="44736D9D">
      <w:pPr>
        <w:spacing w:line="480" w:lineRule="auto"/>
        <w:ind w:firstLine="4139" w:firstLineChars="1971"/>
        <w:rPr>
          <w:rFonts w:ascii="宋体" w:hAnsi="宋体" w:cs="宋体"/>
          <w:color w:val="auto"/>
          <w:szCs w:val="21"/>
        </w:rPr>
      </w:pPr>
      <w:r>
        <w:rPr>
          <w:rFonts w:hint="eastAsia" w:ascii="宋体" w:hAnsi="宋体" w:cs="宋体"/>
          <w:color w:val="auto"/>
          <w:szCs w:val="21"/>
        </w:rPr>
        <w:t xml:space="preserve">投标人： </w:t>
      </w:r>
      <w:r>
        <w:rPr>
          <w:rFonts w:hint="eastAsia" w:ascii="宋体" w:hAnsi="宋体" w:cs="宋体"/>
          <w:color w:val="auto"/>
          <w:szCs w:val="21"/>
          <w:u w:val="single"/>
        </w:rPr>
        <w:t xml:space="preserve">                         </w:t>
      </w:r>
      <w:r>
        <w:rPr>
          <w:rFonts w:hint="eastAsia" w:ascii="宋体" w:hAnsi="宋体" w:cs="宋体"/>
          <w:color w:val="auto"/>
          <w:szCs w:val="21"/>
        </w:rPr>
        <w:t xml:space="preserve"> （盖单位章）</w:t>
      </w:r>
    </w:p>
    <w:p w14:paraId="705490B8">
      <w:pPr>
        <w:spacing w:line="480" w:lineRule="auto"/>
        <w:ind w:firstLine="4139" w:firstLineChars="1971"/>
        <w:rPr>
          <w:rFonts w:ascii="宋体" w:hAnsi="宋体" w:cs="宋体"/>
          <w:color w:val="auto"/>
          <w:szCs w:val="21"/>
        </w:rPr>
      </w:pPr>
      <w:r>
        <w:rPr>
          <w:rFonts w:hint="eastAsia" w:ascii="宋体" w:hAnsi="宋体" w:cs="宋体"/>
          <w:color w:val="auto"/>
          <w:szCs w:val="21"/>
        </w:rPr>
        <w:t xml:space="preserve">法定代表人： </w:t>
      </w:r>
      <w:r>
        <w:rPr>
          <w:rFonts w:hint="eastAsia" w:ascii="宋体" w:hAnsi="宋体" w:cs="宋体"/>
          <w:color w:val="auto"/>
          <w:szCs w:val="21"/>
          <w:u w:val="single"/>
        </w:rPr>
        <w:t xml:space="preserve">                </w:t>
      </w:r>
      <w:r>
        <w:rPr>
          <w:rFonts w:hint="eastAsia" w:ascii="宋体" w:hAnsi="宋体" w:cs="宋体"/>
          <w:color w:val="auto"/>
          <w:szCs w:val="21"/>
        </w:rPr>
        <w:t xml:space="preserve"> （签字或盖章）</w:t>
      </w:r>
    </w:p>
    <w:p w14:paraId="78B7234F">
      <w:pPr>
        <w:spacing w:line="480" w:lineRule="auto"/>
        <w:ind w:firstLine="4139" w:firstLineChars="1971"/>
        <w:rPr>
          <w:rFonts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02DA741">
      <w:pPr>
        <w:spacing w:line="480" w:lineRule="auto"/>
        <w:ind w:firstLine="4139" w:firstLineChars="1971"/>
        <w:rPr>
          <w:rFonts w:ascii="宋体" w:hAnsi="宋体" w:cs="宋体"/>
          <w:color w:val="auto"/>
          <w:szCs w:val="21"/>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（签字或盖章）</w:t>
      </w:r>
    </w:p>
    <w:p w14:paraId="770A1C80">
      <w:pPr>
        <w:spacing w:line="480" w:lineRule="auto"/>
        <w:ind w:firstLine="4139" w:firstLineChars="1971"/>
        <w:rPr>
          <w:rFonts w:ascii="宋体" w:hAnsi="宋体" w:cs="宋体"/>
          <w:color w:val="auto"/>
          <w:szCs w:val="21"/>
        </w:rPr>
      </w:pPr>
      <w:r>
        <w:rPr>
          <w:rFonts w:hint="eastAsia" w:ascii="宋体" w:hAnsi="宋体" w:cs="宋体"/>
          <w:color w:val="auto"/>
          <w:szCs w:val="21"/>
        </w:rPr>
        <w:t>身份证号码：</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1111E558">
      <w:pPr>
        <w:spacing w:line="480" w:lineRule="auto"/>
        <w:ind w:firstLine="4139" w:firstLineChars="1971"/>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1FE9FB8">
      <w:pPr>
        <w:pStyle w:val="2"/>
        <w:spacing w:line="240" w:lineRule="auto"/>
        <w:jc w:val="center"/>
        <w:rPr>
          <w:rFonts w:ascii="Times New Roman" w:hAnsi="Times New Roman"/>
          <w:color w:val="auto"/>
        </w:rPr>
      </w:pPr>
    </w:p>
    <w:p w14:paraId="1D5BF176">
      <w:pPr>
        <w:rPr>
          <w:color w:val="auto"/>
        </w:rPr>
      </w:pPr>
    </w:p>
    <w:p w14:paraId="72126D91">
      <w:pPr>
        <w:rPr>
          <w:color w:val="auto"/>
        </w:rPr>
      </w:pPr>
    </w:p>
    <w:p w14:paraId="479CEE94">
      <w:pPr>
        <w:pStyle w:val="149"/>
        <w:rPr>
          <w:rFonts w:ascii="Times New Roman" w:hAnsi="Times New Roman"/>
          <w:color w:val="auto"/>
        </w:rPr>
      </w:pPr>
    </w:p>
    <w:p w14:paraId="1932ABF5">
      <w:pPr>
        <w:pStyle w:val="149"/>
        <w:rPr>
          <w:rFonts w:ascii="Times New Roman" w:hAnsi="Times New Roman"/>
          <w:color w:val="auto"/>
        </w:rPr>
      </w:pPr>
    </w:p>
    <w:p w14:paraId="6A516C0E">
      <w:pPr>
        <w:pStyle w:val="149"/>
        <w:rPr>
          <w:rFonts w:ascii="Times New Roman" w:hAnsi="Times New Roman"/>
          <w:color w:val="auto"/>
        </w:rPr>
      </w:pPr>
    </w:p>
    <w:p w14:paraId="2E61B79A">
      <w:pPr>
        <w:pStyle w:val="149"/>
        <w:rPr>
          <w:rFonts w:ascii="Times New Roman" w:hAnsi="Times New Roman"/>
          <w:color w:val="auto"/>
        </w:rPr>
      </w:pPr>
    </w:p>
    <w:p w14:paraId="3F9C4A7D">
      <w:pPr>
        <w:pStyle w:val="149"/>
        <w:rPr>
          <w:rFonts w:ascii="Times New Roman" w:hAnsi="Times New Roman"/>
          <w:color w:val="auto"/>
        </w:rPr>
      </w:pPr>
    </w:p>
    <w:p w14:paraId="229667B0">
      <w:pPr>
        <w:pStyle w:val="149"/>
        <w:rPr>
          <w:rFonts w:ascii="Times New Roman" w:hAnsi="Times New Roman"/>
          <w:color w:val="auto"/>
        </w:rPr>
      </w:pPr>
    </w:p>
    <w:p w14:paraId="5BC05BBF">
      <w:pPr>
        <w:pStyle w:val="149"/>
        <w:rPr>
          <w:rFonts w:ascii="Times New Roman" w:hAnsi="Times New Roman"/>
          <w:color w:val="auto"/>
        </w:rPr>
      </w:pPr>
    </w:p>
    <w:p w14:paraId="5AD0C212">
      <w:pPr>
        <w:pStyle w:val="149"/>
        <w:rPr>
          <w:rFonts w:ascii="Times New Roman" w:hAnsi="Times New Roman"/>
          <w:color w:val="auto"/>
        </w:rPr>
      </w:pPr>
    </w:p>
    <w:p w14:paraId="2D51AAEB">
      <w:pPr>
        <w:pStyle w:val="4"/>
        <w:keepNext w:val="0"/>
        <w:keepLines w:val="0"/>
        <w:autoSpaceDE w:val="0"/>
        <w:autoSpaceDN w:val="0"/>
        <w:adjustRightInd w:val="0"/>
        <w:spacing w:before="0" w:after="0" w:line="360" w:lineRule="auto"/>
        <w:jc w:val="center"/>
        <w:rPr>
          <w:rFonts w:ascii="黑体" w:hAnsi="黑体" w:eastAsia="黑体" w:cs="黑体"/>
          <w:color w:val="auto"/>
          <w:sz w:val="32"/>
          <w:szCs w:val="32"/>
        </w:rPr>
      </w:pPr>
      <w:bookmarkStart w:id="801" w:name="_Toc21109"/>
      <w:bookmarkStart w:id="802" w:name="_Toc12573"/>
      <w:bookmarkStart w:id="803" w:name="_Toc8636"/>
      <w:bookmarkStart w:id="804" w:name="_Toc29193"/>
      <w:r>
        <w:rPr>
          <w:rFonts w:hint="eastAsia" w:ascii="黑体" w:hAnsi="黑体" w:eastAsia="黑体" w:cs="黑体"/>
          <w:color w:val="auto"/>
          <w:sz w:val="32"/>
          <w:szCs w:val="32"/>
        </w:rPr>
        <w:t>四、</w:t>
      </w:r>
      <w:bookmarkEnd w:id="800"/>
      <w:bookmarkEnd w:id="801"/>
      <w:bookmarkEnd w:id="802"/>
      <w:bookmarkStart w:id="805" w:name="_Toc24451"/>
      <w:bookmarkStart w:id="806" w:name="_Toc11613590"/>
      <w:bookmarkStart w:id="807" w:name="_Toc8404"/>
      <w:bookmarkStart w:id="808" w:name="_Toc263258869"/>
      <w:bookmarkStart w:id="809" w:name="_Toc294124246"/>
      <w:bookmarkStart w:id="810" w:name="_Toc401"/>
      <w:bookmarkStart w:id="811" w:name="_Toc11710017"/>
      <w:bookmarkStart w:id="812" w:name="_Toc534190157"/>
      <w:r>
        <w:rPr>
          <w:rFonts w:hint="eastAsia" w:ascii="黑体" w:hAnsi="黑体" w:eastAsia="黑体" w:cs="黑体"/>
          <w:color w:val="auto"/>
          <w:sz w:val="32"/>
          <w:szCs w:val="32"/>
        </w:rPr>
        <w:t>已标价工程量清单</w:t>
      </w:r>
      <w:bookmarkEnd w:id="803"/>
      <w:bookmarkEnd w:id="804"/>
      <w:bookmarkEnd w:id="805"/>
    </w:p>
    <w:bookmarkEnd w:id="806"/>
    <w:bookmarkEnd w:id="807"/>
    <w:bookmarkEnd w:id="808"/>
    <w:bookmarkEnd w:id="809"/>
    <w:bookmarkEnd w:id="810"/>
    <w:bookmarkEnd w:id="811"/>
    <w:p w14:paraId="51BF66A2">
      <w:pPr>
        <w:pStyle w:val="2"/>
        <w:jc w:val="center"/>
        <w:rPr>
          <w:rFonts w:ascii="Times New Roman" w:hAnsi="Times New Roman"/>
          <w:color w:val="auto"/>
        </w:rPr>
      </w:pPr>
    </w:p>
    <w:p w14:paraId="57AFA71B">
      <w:pPr>
        <w:pStyle w:val="2"/>
        <w:jc w:val="center"/>
        <w:rPr>
          <w:rFonts w:ascii="Times New Roman" w:hAnsi="Times New Roman"/>
          <w:color w:val="auto"/>
        </w:rPr>
      </w:pPr>
    </w:p>
    <w:p w14:paraId="0152D151">
      <w:pPr>
        <w:rPr>
          <w:rFonts w:ascii="Times New Roman" w:hAnsi="Times New Roman"/>
          <w:color w:val="auto"/>
        </w:rPr>
      </w:pPr>
    </w:p>
    <w:p w14:paraId="237A7B22">
      <w:pPr>
        <w:pStyle w:val="151"/>
        <w:rPr>
          <w:rFonts w:ascii="Times New Roman" w:hAnsi="Times New Roman"/>
          <w:color w:val="auto"/>
        </w:rPr>
      </w:pPr>
    </w:p>
    <w:p w14:paraId="37D619EB">
      <w:pPr>
        <w:rPr>
          <w:rFonts w:ascii="Times New Roman" w:hAnsi="Times New Roman"/>
          <w:color w:val="auto"/>
        </w:rPr>
      </w:pPr>
    </w:p>
    <w:p w14:paraId="442F7EC8">
      <w:pPr>
        <w:pStyle w:val="151"/>
        <w:rPr>
          <w:rFonts w:ascii="Times New Roman" w:hAnsi="Times New Roman"/>
          <w:color w:val="auto"/>
        </w:rPr>
      </w:pPr>
    </w:p>
    <w:p w14:paraId="021C3895">
      <w:pPr>
        <w:rPr>
          <w:rFonts w:ascii="Times New Roman" w:hAnsi="Times New Roman"/>
          <w:color w:val="auto"/>
        </w:rPr>
      </w:pPr>
    </w:p>
    <w:p w14:paraId="3A525C8A">
      <w:pPr>
        <w:pStyle w:val="151"/>
        <w:rPr>
          <w:rFonts w:ascii="Times New Roman" w:hAnsi="Times New Roman"/>
          <w:color w:val="auto"/>
        </w:rPr>
      </w:pPr>
    </w:p>
    <w:p w14:paraId="765CD3E7">
      <w:pPr>
        <w:rPr>
          <w:rFonts w:ascii="Times New Roman" w:hAnsi="Times New Roman"/>
          <w:color w:val="auto"/>
        </w:rPr>
      </w:pPr>
    </w:p>
    <w:p w14:paraId="1D083EF1">
      <w:pPr>
        <w:pStyle w:val="151"/>
        <w:rPr>
          <w:rFonts w:ascii="Times New Roman" w:hAnsi="Times New Roman"/>
          <w:color w:val="auto"/>
        </w:rPr>
      </w:pPr>
    </w:p>
    <w:p w14:paraId="73A9B73B">
      <w:pPr>
        <w:rPr>
          <w:rFonts w:ascii="Times New Roman" w:hAnsi="Times New Roman"/>
          <w:color w:val="auto"/>
        </w:rPr>
      </w:pPr>
    </w:p>
    <w:p w14:paraId="212B293B">
      <w:pPr>
        <w:pStyle w:val="151"/>
        <w:rPr>
          <w:rFonts w:ascii="Times New Roman" w:hAnsi="Times New Roman"/>
          <w:color w:val="auto"/>
        </w:rPr>
      </w:pPr>
    </w:p>
    <w:p w14:paraId="2F7542D1">
      <w:pPr>
        <w:rPr>
          <w:rFonts w:ascii="Times New Roman" w:hAnsi="Times New Roman"/>
          <w:color w:val="auto"/>
        </w:rPr>
      </w:pPr>
    </w:p>
    <w:p w14:paraId="7135D730">
      <w:pPr>
        <w:pStyle w:val="151"/>
        <w:rPr>
          <w:rFonts w:ascii="Times New Roman" w:hAnsi="Times New Roman"/>
          <w:color w:val="auto"/>
        </w:rPr>
      </w:pPr>
    </w:p>
    <w:p w14:paraId="0240A2E2">
      <w:pPr>
        <w:rPr>
          <w:rFonts w:ascii="Times New Roman" w:hAnsi="Times New Roman"/>
          <w:color w:val="auto"/>
        </w:rPr>
      </w:pPr>
    </w:p>
    <w:p w14:paraId="1D3ADB85">
      <w:pPr>
        <w:pStyle w:val="151"/>
        <w:rPr>
          <w:rFonts w:ascii="Times New Roman" w:hAnsi="Times New Roman"/>
          <w:color w:val="auto"/>
        </w:rPr>
      </w:pPr>
    </w:p>
    <w:p w14:paraId="7DF9B418">
      <w:pPr>
        <w:rPr>
          <w:rFonts w:ascii="Times New Roman" w:hAnsi="Times New Roman"/>
          <w:color w:val="auto"/>
        </w:rPr>
      </w:pPr>
    </w:p>
    <w:p w14:paraId="1BFF16ED">
      <w:pPr>
        <w:pStyle w:val="151"/>
        <w:rPr>
          <w:rFonts w:ascii="Times New Roman" w:hAnsi="Times New Roman"/>
          <w:color w:val="auto"/>
        </w:rPr>
      </w:pPr>
    </w:p>
    <w:p w14:paraId="057EE915">
      <w:pPr>
        <w:rPr>
          <w:rFonts w:ascii="Times New Roman" w:hAnsi="Times New Roman"/>
          <w:color w:val="auto"/>
        </w:rPr>
      </w:pPr>
    </w:p>
    <w:p w14:paraId="559CCDB2">
      <w:pPr>
        <w:pStyle w:val="151"/>
        <w:rPr>
          <w:rFonts w:ascii="Times New Roman" w:hAnsi="Times New Roman"/>
          <w:color w:val="auto"/>
        </w:rPr>
      </w:pPr>
    </w:p>
    <w:p w14:paraId="564A1C98">
      <w:pPr>
        <w:rPr>
          <w:rFonts w:ascii="Times New Roman" w:hAnsi="Times New Roman"/>
          <w:color w:val="auto"/>
        </w:rPr>
      </w:pPr>
    </w:p>
    <w:p w14:paraId="2B97950F">
      <w:pPr>
        <w:pStyle w:val="151"/>
        <w:rPr>
          <w:rFonts w:ascii="Times New Roman" w:hAnsi="Times New Roman"/>
          <w:color w:val="auto"/>
        </w:rPr>
      </w:pPr>
    </w:p>
    <w:p w14:paraId="1BD0DD63">
      <w:pPr>
        <w:rPr>
          <w:rFonts w:ascii="Times New Roman" w:hAnsi="Times New Roman"/>
          <w:color w:val="auto"/>
        </w:rPr>
      </w:pPr>
    </w:p>
    <w:p w14:paraId="6F95902E">
      <w:pPr>
        <w:pStyle w:val="151"/>
        <w:rPr>
          <w:rFonts w:ascii="Times New Roman" w:hAnsi="Times New Roman"/>
          <w:color w:val="auto"/>
        </w:rPr>
      </w:pPr>
    </w:p>
    <w:p w14:paraId="16D54D2A">
      <w:pPr>
        <w:rPr>
          <w:rFonts w:ascii="Times New Roman" w:hAnsi="Times New Roman"/>
          <w:color w:val="auto"/>
        </w:rPr>
      </w:pPr>
    </w:p>
    <w:p w14:paraId="68C69DC6">
      <w:pPr>
        <w:pStyle w:val="151"/>
        <w:rPr>
          <w:rFonts w:ascii="Times New Roman" w:hAnsi="Times New Roman"/>
          <w:color w:val="auto"/>
        </w:rPr>
      </w:pPr>
    </w:p>
    <w:p w14:paraId="51783037">
      <w:pPr>
        <w:rPr>
          <w:rFonts w:ascii="Times New Roman" w:hAnsi="Times New Roman"/>
          <w:color w:val="auto"/>
        </w:rPr>
      </w:pPr>
    </w:p>
    <w:p w14:paraId="6A698EB7">
      <w:pPr>
        <w:pStyle w:val="151"/>
        <w:rPr>
          <w:rFonts w:ascii="Times New Roman" w:hAnsi="Times New Roman"/>
          <w:color w:val="auto"/>
        </w:rPr>
      </w:pPr>
    </w:p>
    <w:p w14:paraId="65D30B53">
      <w:pPr>
        <w:rPr>
          <w:rFonts w:ascii="Times New Roman" w:hAnsi="Times New Roman"/>
          <w:color w:val="auto"/>
        </w:rPr>
      </w:pPr>
    </w:p>
    <w:p w14:paraId="3A95E59C">
      <w:pPr>
        <w:pStyle w:val="151"/>
        <w:rPr>
          <w:rFonts w:ascii="Times New Roman" w:hAnsi="Times New Roman"/>
          <w:color w:val="auto"/>
        </w:rPr>
      </w:pPr>
    </w:p>
    <w:p w14:paraId="742C1717">
      <w:pPr>
        <w:rPr>
          <w:color w:val="auto"/>
        </w:rPr>
      </w:pPr>
    </w:p>
    <w:p w14:paraId="7AF31F31">
      <w:pPr>
        <w:rPr>
          <w:color w:val="auto"/>
        </w:rPr>
      </w:pPr>
    </w:p>
    <w:bookmarkEnd w:id="812"/>
    <w:p w14:paraId="4B3F1538">
      <w:pPr>
        <w:pStyle w:val="2"/>
        <w:numPr>
          <w:ilvl w:val="0"/>
          <w:numId w:val="8"/>
        </w:numPr>
        <w:jc w:val="center"/>
        <w:rPr>
          <w:rFonts w:ascii="Times New Roman" w:hAnsi="Times New Roman"/>
          <w:color w:val="auto"/>
        </w:rPr>
      </w:pPr>
      <w:r>
        <w:rPr>
          <w:rFonts w:hint="eastAsia" w:ascii="Times New Roman" w:hAnsi="Times New Roman"/>
          <w:color w:val="auto"/>
        </w:rPr>
        <w:t>施工组织设计</w:t>
      </w:r>
    </w:p>
    <w:p w14:paraId="226AC8AE">
      <w:pPr>
        <w:spacing w:before="263" w:line="185" w:lineRule="auto"/>
        <w:rPr>
          <w:rFonts w:ascii="宋体" w:hAnsi="宋体" w:cs="宋体"/>
          <w:color w:val="auto"/>
          <w:spacing w:val="-5"/>
          <w:sz w:val="24"/>
          <w:szCs w:val="24"/>
        </w:rPr>
      </w:pPr>
    </w:p>
    <w:p w14:paraId="74ADEE95">
      <w:pPr>
        <w:spacing w:before="263" w:line="360" w:lineRule="auto"/>
        <w:ind w:firstLine="506"/>
        <w:rPr>
          <w:rFonts w:ascii="宋体" w:hAnsi="宋体" w:cs="宋体"/>
          <w:color w:val="auto"/>
          <w:szCs w:val="21"/>
        </w:rPr>
      </w:pPr>
      <w:r>
        <w:rPr>
          <w:rFonts w:ascii="宋体" w:hAnsi="宋体" w:cs="宋体"/>
          <w:color w:val="auto"/>
          <w:spacing w:val="-5"/>
          <w:szCs w:val="21"/>
        </w:rPr>
        <w:t>1．投标人编制施工组织设计的要求：编制时应采用文字并结合图表形式说明施工方</w:t>
      </w:r>
      <w:r>
        <w:rPr>
          <w:rFonts w:ascii="宋体" w:hAnsi="宋体" w:cs="宋体"/>
          <w:color w:val="auto"/>
          <w:spacing w:val="-6"/>
          <w:szCs w:val="21"/>
        </w:rPr>
        <w:t>法；拟投入本工程的主要施工设备情况、拟配备本工程的试验和检测仪器设备情况、劳动</w:t>
      </w:r>
      <w:r>
        <w:rPr>
          <w:rFonts w:ascii="宋体" w:hAnsi="宋体" w:cs="宋体"/>
          <w:color w:val="auto"/>
          <w:spacing w:val="-7"/>
          <w:szCs w:val="21"/>
        </w:rPr>
        <w:t>力计划等；结合工程特点提出切实可行的工程质量、安全生产、文明施工、工程进度、技</w:t>
      </w:r>
      <w:r>
        <w:rPr>
          <w:rFonts w:ascii="宋体" w:hAnsi="宋体" w:cs="宋体"/>
          <w:color w:val="auto"/>
          <w:spacing w:val="-2"/>
          <w:szCs w:val="21"/>
        </w:rPr>
        <w:t>术组织措施，同时应对关键工序、复杂环节重点提出相应技术措施，如雨季施工技术、减</w:t>
      </w:r>
      <w:r>
        <w:rPr>
          <w:rFonts w:ascii="宋体" w:hAnsi="宋体" w:cs="宋体"/>
          <w:color w:val="auto"/>
          <w:spacing w:val="-1"/>
          <w:szCs w:val="21"/>
        </w:rPr>
        <w:t>少噪音、降低环境污染、地下管线及其他地上地下设施的保护加固措施等。</w:t>
      </w:r>
    </w:p>
    <w:p w14:paraId="2AE287C5">
      <w:pPr>
        <w:spacing w:line="360" w:lineRule="auto"/>
        <w:ind w:firstLine="420"/>
        <w:rPr>
          <w:color w:val="auto"/>
          <w:szCs w:val="21"/>
        </w:rPr>
      </w:pPr>
      <w:r>
        <w:rPr>
          <w:rFonts w:ascii="宋体" w:hAnsi="宋体" w:cs="宋体"/>
          <w:color w:val="auto"/>
          <w:spacing w:val="-1"/>
          <w:szCs w:val="21"/>
        </w:rPr>
        <w:t>2．施工组织设计除采用文字表述外可附下列图表，图表及格式要求附后。</w:t>
      </w:r>
    </w:p>
    <w:p w14:paraId="0F73EB48">
      <w:pPr>
        <w:pStyle w:val="151"/>
        <w:ind w:firstLine="420"/>
        <w:rPr>
          <w:color w:val="auto"/>
          <w:sz w:val="21"/>
          <w:szCs w:val="21"/>
        </w:rPr>
      </w:pPr>
    </w:p>
    <w:p w14:paraId="0D9E982C">
      <w:pPr>
        <w:pStyle w:val="151"/>
        <w:ind w:firstLine="420"/>
        <w:rPr>
          <w:color w:val="auto"/>
          <w:sz w:val="21"/>
          <w:szCs w:val="21"/>
        </w:rPr>
      </w:pPr>
      <w:r>
        <w:rPr>
          <w:rFonts w:hint="eastAsia"/>
          <w:color w:val="auto"/>
          <w:sz w:val="21"/>
          <w:szCs w:val="21"/>
        </w:rPr>
        <w:t>附表一  拟投入本工程的主要施工设备表</w:t>
      </w:r>
    </w:p>
    <w:p w14:paraId="3ECD12A9">
      <w:pPr>
        <w:pStyle w:val="151"/>
        <w:ind w:firstLine="420"/>
        <w:rPr>
          <w:color w:val="auto"/>
          <w:sz w:val="21"/>
          <w:szCs w:val="21"/>
        </w:rPr>
      </w:pPr>
      <w:r>
        <w:rPr>
          <w:rFonts w:hint="eastAsia"/>
          <w:color w:val="auto"/>
          <w:sz w:val="21"/>
          <w:szCs w:val="21"/>
        </w:rPr>
        <w:t>附表二  拟配备本工程的试验和检测仪器设备表</w:t>
      </w:r>
    </w:p>
    <w:p w14:paraId="598ABCD5">
      <w:pPr>
        <w:pStyle w:val="151"/>
        <w:ind w:firstLine="420"/>
        <w:rPr>
          <w:color w:val="auto"/>
          <w:sz w:val="21"/>
          <w:szCs w:val="21"/>
        </w:rPr>
      </w:pPr>
      <w:r>
        <w:rPr>
          <w:rFonts w:hint="eastAsia"/>
          <w:color w:val="auto"/>
          <w:sz w:val="21"/>
          <w:szCs w:val="21"/>
        </w:rPr>
        <w:t>附表三 劳动力计划表</w:t>
      </w:r>
    </w:p>
    <w:p w14:paraId="1EF1CC18">
      <w:pPr>
        <w:pStyle w:val="151"/>
        <w:ind w:firstLine="420"/>
        <w:rPr>
          <w:color w:val="auto"/>
          <w:sz w:val="21"/>
          <w:szCs w:val="21"/>
        </w:rPr>
      </w:pPr>
      <w:r>
        <w:rPr>
          <w:rFonts w:hint="eastAsia"/>
          <w:color w:val="auto"/>
          <w:sz w:val="21"/>
          <w:szCs w:val="21"/>
        </w:rPr>
        <w:t>附表四 计划开、竣工日期和施工进度网络图</w:t>
      </w:r>
    </w:p>
    <w:p w14:paraId="6AD6E6C1">
      <w:pPr>
        <w:pStyle w:val="151"/>
        <w:ind w:firstLine="420"/>
        <w:rPr>
          <w:color w:val="auto"/>
          <w:sz w:val="21"/>
          <w:szCs w:val="21"/>
        </w:rPr>
      </w:pPr>
      <w:r>
        <w:rPr>
          <w:rFonts w:hint="eastAsia"/>
          <w:color w:val="auto"/>
          <w:sz w:val="21"/>
          <w:szCs w:val="21"/>
        </w:rPr>
        <w:t>附表五 施工总平面图</w:t>
      </w:r>
    </w:p>
    <w:p w14:paraId="5F1F5C02">
      <w:pPr>
        <w:pStyle w:val="151"/>
        <w:rPr>
          <w:color w:val="auto"/>
        </w:rPr>
      </w:pPr>
    </w:p>
    <w:p w14:paraId="13BF9082">
      <w:pPr>
        <w:rPr>
          <w:color w:val="auto"/>
        </w:rPr>
      </w:pPr>
    </w:p>
    <w:p w14:paraId="215E06A1">
      <w:pPr>
        <w:pStyle w:val="151"/>
        <w:rPr>
          <w:color w:val="auto"/>
        </w:rPr>
      </w:pPr>
    </w:p>
    <w:p w14:paraId="3CC206C7">
      <w:pPr>
        <w:rPr>
          <w:color w:val="auto"/>
        </w:rPr>
      </w:pPr>
    </w:p>
    <w:p w14:paraId="6A629CE3">
      <w:pPr>
        <w:pStyle w:val="151"/>
        <w:rPr>
          <w:color w:val="auto"/>
        </w:rPr>
      </w:pPr>
    </w:p>
    <w:p w14:paraId="4EFB0190">
      <w:pPr>
        <w:rPr>
          <w:color w:val="auto"/>
        </w:rPr>
      </w:pPr>
    </w:p>
    <w:p w14:paraId="3C535BE2">
      <w:pPr>
        <w:pStyle w:val="151"/>
        <w:rPr>
          <w:color w:val="auto"/>
        </w:rPr>
      </w:pPr>
    </w:p>
    <w:p w14:paraId="4D0AEC83">
      <w:pPr>
        <w:rPr>
          <w:color w:val="auto"/>
        </w:rPr>
      </w:pPr>
    </w:p>
    <w:p w14:paraId="1908B2A5">
      <w:pPr>
        <w:pStyle w:val="151"/>
        <w:rPr>
          <w:color w:val="auto"/>
        </w:rPr>
      </w:pPr>
    </w:p>
    <w:p w14:paraId="03617BA8">
      <w:pPr>
        <w:rPr>
          <w:color w:val="auto"/>
        </w:rPr>
      </w:pPr>
    </w:p>
    <w:p w14:paraId="46477C74">
      <w:pPr>
        <w:pStyle w:val="151"/>
        <w:rPr>
          <w:color w:val="auto"/>
        </w:rPr>
      </w:pPr>
    </w:p>
    <w:p w14:paraId="0DAEA330">
      <w:pPr>
        <w:rPr>
          <w:color w:val="auto"/>
        </w:rPr>
      </w:pPr>
    </w:p>
    <w:p w14:paraId="12FBC23C">
      <w:pPr>
        <w:pStyle w:val="151"/>
        <w:rPr>
          <w:color w:val="auto"/>
        </w:rPr>
      </w:pPr>
    </w:p>
    <w:p w14:paraId="5B837E4C">
      <w:pPr>
        <w:pStyle w:val="151"/>
        <w:ind w:firstLine="0" w:firstLineChars="0"/>
        <w:rPr>
          <w:color w:val="auto"/>
        </w:rPr>
      </w:pPr>
    </w:p>
    <w:p w14:paraId="09F705D1">
      <w:pPr>
        <w:rPr>
          <w:color w:val="auto"/>
        </w:rPr>
      </w:pPr>
    </w:p>
    <w:p w14:paraId="261CAA96">
      <w:pPr>
        <w:spacing w:before="91" w:line="186" w:lineRule="auto"/>
        <w:ind w:firstLine="37"/>
        <w:rPr>
          <w:rFonts w:ascii="宋体" w:hAnsi="宋体" w:cs="宋体"/>
          <w:color w:val="auto"/>
          <w:spacing w:val="-13"/>
          <w:sz w:val="28"/>
          <w:szCs w:val="28"/>
        </w:rPr>
      </w:pPr>
    </w:p>
    <w:p w14:paraId="6CB3D2A8">
      <w:pPr>
        <w:pStyle w:val="87"/>
        <w:rPr>
          <w:rFonts w:ascii="宋体" w:hAnsi="宋体" w:cs="宋体"/>
          <w:color w:val="auto"/>
          <w:spacing w:val="-13"/>
          <w:sz w:val="28"/>
          <w:szCs w:val="28"/>
        </w:rPr>
      </w:pPr>
    </w:p>
    <w:p w14:paraId="14302392">
      <w:pPr>
        <w:pStyle w:val="86"/>
        <w:ind w:firstLine="210"/>
        <w:rPr>
          <w:color w:val="auto"/>
        </w:rPr>
      </w:pPr>
    </w:p>
    <w:p w14:paraId="1EB846CC">
      <w:pPr>
        <w:spacing w:before="91" w:line="186" w:lineRule="auto"/>
        <w:ind w:firstLine="37"/>
        <w:rPr>
          <w:rFonts w:ascii="宋体" w:hAnsi="宋体" w:cs="宋体"/>
          <w:color w:val="auto"/>
          <w:spacing w:val="-13"/>
          <w:sz w:val="28"/>
          <w:szCs w:val="28"/>
        </w:rPr>
      </w:pPr>
    </w:p>
    <w:p w14:paraId="55B42958">
      <w:pPr>
        <w:spacing w:before="91" w:line="186" w:lineRule="auto"/>
        <w:ind w:firstLine="37"/>
        <w:rPr>
          <w:rFonts w:ascii="宋体" w:hAnsi="宋体" w:cs="宋体"/>
          <w:color w:val="auto"/>
          <w:sz w:val="28"/>
          <w:szCs w:val="28"/>
        </w:rPr>
      </w:pPr>
      <w:r>
        <w:rPr>
          <w:rFonts w:ascii="宋体" w:hAnsi="宋体" w:cs="宋体"/>
          <w:color w:val="auto"/>
          <w:spacing w:val="-13"/>
          <w:sz w:val="28"/>
          <w:szCs w:val="28"/>
        </w:rPr>
        <w:t>附表一：</w:t>
      </w:r>
      <w:r>
        <w:rPr>
          <w:rFonts w:ascii="宋体" w:hAnsi="宋体" w:cs="宋体"/>
          <w:color w:val="auto"/>
          <w:spacing w:val="80"/>
          <w:sz w:val="28"/>
          <w:szCs w:val="28"/>
        </w:rPr>
        <w:t xml:space="preserve"> </w:t>
      </w:r>
      <w:r>
        <w:rPr>
          <w:rFonts w:ascii="宋体" w:hAnsi="宋体" w:cs="宋体"/>
          <w:color w:val="auto"/>
          <w:spacing w:val="-13"/>
          <w:sz w:val="28"/>
          <w:szCs w:val="28"/>
        </w:rPr>
        <w:t>拟投入本工程的主要施工设备表</w:t>
      </w:r>
    </w:p>
    <w:p w14:paraId="16E045B6">
      <w:pPr>
        <w:spacing w:line="38" w:lineRule="exact"/>
        <w:rPr>
          <w:color w:val="auto"/>
        </w:rPr>
      </w:pPr>
    </w:p>
    <w:tbl>
      <w:tblPr>
        <w:tblStyle w:val="177"/>
        <w:tblW w:w="94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184"/>
        <w:gridCol w:w="795"/>
        <w:gridCol w:w="816"/>
        <w:gridCol w:w="816"/>
        <w:gridCol w:w="1079"/>
        <w:gridCol w:w="1259"/>
        <w:gridCol w:w="973"/>
        <w:gridCol w:w="1079"/>
        <w:gridCol w:w="716"/>
      </w:tblGrid>
      <w:tr w14:paraId="4A86D7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724" w:type="dxa"/>
          </w:tcPr>
          <w:p w14:paraId="74B6941C">
            <w:pPr>
              <w:spacing w:before="290" w:line="184" w:lineRule="auto"/>
              <w:ind w:firstLine="158"/>
              <w:rPr>
                <w:rFonts w:ascii="宋体" w:hAnsi="宋体" w:cs="宋体"/>
                <w:color w:val="auto"/>
                <w:szCs w:val="21"/>
              </w:rPr>
            </w:pPr>
            <w:r>
              <w:rPr>
                <w:rFonts w:ascii="宋体" w:hAnsi="宋体" w:cs="宋体"/>
                <w:color w:val="auto"/>
                <w:spacing w:val="-5"/>
                <w:szCs w:val="21"/>
              </w:rPr>
              <w:t>序号</w:t>
            </w:r>
          </w:p>
        </w:tc>
        <w:tc>
          <w:tcPr>
            <w:tcW w:w="1184" w:type="dxa"/>
          </w:tcPr>
          <w:p w14:paraId="2788BCE8">
            <w:pPr>
              <w:spacing w:before="290" w:line="184" w:lineRule="auto"/>
              <w:ind w:firstLine="179"/>
              <w:rPr>
                <w:rFonts w:ascii="宋体" w:hAnsi="宋体" w:cs="宋体"/>
                <w:color w:val="auto"/>
                <w:szCs w:val="21"/>
              </w:rPr>
            </w:pPr>
            <w:r>
              <w:rPr>
                <w:rFonts w:ascii="宋体" w:hAnsi="宋体" w:cs="宋体"/>
                <w:color w:val="auto"/>
                <w:spacing w:val="-4"/>
                <w:szCs w:val="21"/>
              </w:rPr>
              <w:t>设备名称</w:t>
            </w:r>
          </w:p>
        </w:tc>
        <w:tc>
          <w:tcPr>
            <w:tcW w:w="795" w:type="dxa"/>
          </w:tcPr>
          <w:p w14:paraId="11ACC781">
            <w:pPr>
              <w:spacing w:before="84" w:line="408" w:lineRule="exact"/>
              <w:ind w:firstLine="199"/>
              <w:rPr>
                <w:rFonts w:ascii="宋体" w:hAnsi="宋体" w:cs="宋体"/>
                <w:color w:val="auto"/>
                <w:szCs w:val="21"/>
              </w:rPr>
            </w:pPr>
            <w:r>
              <w:rPr>
                <w:rFonts w:ascii="宋体" w:hAnsi="宋体" w:cs="宋体"/>
                <w:color w:val="auto"/>
                <w:spacing w:val="-8"/>
                <w:position w:val="14"/>
                <w:szCs w:val="21"/>
              </w:rPr>
              <w:t>型号</w:t>
            </w:r>
          </w:p>
          <w:p w14:paraId="6973B87B">
            <w:pPr>
              <w:spacing w:line="204" w:lineRule="auto"/>
              <w:ind w:firstLine="193"/>
              <w:rPr>
                <w:rFonts w:ascii="宋体" w:hAnsi="宋体" w:cs="宋体"/>
                <w:color w:val="auto"/>
                <w:szCs w:val="21"/>
              </w:rPr>
            </w:pPr>
            <w:r>
              <w:rPr>
                <w:rFonts w:ascii="宋体" w:hAnsi="宋体" w:cs="宋体"/>
                <w:color w:val="auto"/>
                <w:spacing w:val="-5"/>
                <w:szCs w:val="21"/>
              </w:rPr>
              <w:t>规格</w:t>
            </w:r>
          </w:p>
        </w:tc>
        <w:tc>
          <w:tcPr>
            <w:tcW w:w="816" w:type="dxa"/>
          </w:tcPr>
          <w:p w14:paraId="626D847E">
            <w:pPr>
              <w:spacing w:before="290" w:line="184" w:lineRule="auto"/>
              <w:ind w:firstLine="205"/>
              <w:rPr>
                <w:rFonts w:ascii="宋体" w:hAnsi="宋体" w:cs="宋体"/>
                <w:color w:val="auto"/>
                <w:szCs w:val="21"/>
              </w:rPr>
            </w:pPr>
            <w:r>
              <w:rPr>
                <w:rFonts w:ascii="宋体" w:hAnsi="宋体" w:cs="宋体"/>
                <w:color w:val="auto"/>
                <w:spacing w:val="-6"/>
                <w:szCs w:val="21"/>
              </w:rPr>
              <w:t>数量</w:t>
            </w:r>
          </w:p>
        </w:tc>
        <w:tc>
          <w:tcPr>
            <w:tcW w:w="816" w:type="dxa"/>
          </w:tcPr>
          <w:p w14:paraId="08985402">
            <w:pPr>
              <w:spacing w:before="84" w:line="408" w:lineRule="exact"/>
              <w:ind w:firstLine="224"/>
              <w:rPr>
                <w:rFonts w:ascii="宋体" w:hAnsi="宋体" w:cs="宋体"/>
                <w:color w:val="auto"/>
                <w:szCs w:val="21"/>
              </w:rPr>
            </w:pPr>
            <w:r>
              <w:rPr>
                <w:rFonts w:ascii="宋体" w:hAnsi="宋体" w:cs="宋体"/>
                <w:color w:val="auto"/>
                <w:spacing w:val="-15"/>
                <w:position w:val="14"/>
                <w:szCs w:val="21"/>
              </w:rPr>
              <w:t>国别</w:t>
            </w:r>
          </w:p>
          <w:p w14:paraId="42585F7D">
            <w:pPr>
              <w:spacing w:line="204" w:lineRule="auto"/>
              <w:ind w:firstLine="203"/>
              <w:rPr>
                <w:rFonts w:ascii="宋体" w:hAnsi="宋体" w:cs="宋体"/>
                <w:color w:val="auto"/>
                <w:szCs w:val="21"/>
              </w:rPr>
            </w:pPr>
            <w:r>
              <w:rPr>
                <w:rFonts w:ascii="宋体" w:hAnsi="宋体" w:cs="宋体"/>
                <w:color w:val="auto"/>
                <w:spacing w:val="-5"/>
                <w:szCs w:val="21"/>
              </w:rPr>
              <w:t>产地</w:t>
            </w:r>
          </w:p>
        </w:tc>
        <w:tc>
          <w:tcPr>
            <w:tcW w:w="1079" w:type="dxa"/>
          </w:tcPr>
          <w:p w14:paraId="301E8385">
            <w:pPr>
              <w:spacing w:before="84" w:line="408" w:lineRule="exact"/>
              <w:ind w:firstLine="336"/>
              <w:rPr>
                <w:rFonts w:ascii="宋体" w:hAnsi="宋体" w:cs="宋体"/>
                <w:color w:val="auto"/>
                <w:szCs w:val="21"/>
              </w:rPr>
            </w:pPr>
            <w:r>
              <w:rPr>
                <w:rFonts w:ascii="宋体" w:hAnsi="宋体" w:cs="宋体"/>
                <w:color w:val="auto"/>
                <w:spacing w:val="-5"/>
                <w:position w:val="14"/>
                <w:szCs w:val="21"/>
              </w:rPr>
              <w:t>制造</w:t>
            </w:r>
          </w:p>
          <w:p w14:paraId="7344486C">
            <w:pPr>
              <w:spacing w:line="204" w:lineRule="auto"/>
              <w:ind w:firstLine="336"/>
              <w:rPr>
                <w:rFonts w:ascii="宋体" w:hAnsi="宋体" w:cs="宋体"/>
                <w:color w:val="auto"/>
                <w:szCs w:val="21"/>
              </w:rPr>
            </w:pPr>
            <w:r>
              <w:rPr>
                <w:rFonts w:ascii="宋体" w:hAnsi="宋体" w:cs="宋体"/>
                <w:color w:val="auto"/>
                <w:spacing w:val="-5"/>
                <w:szCs w:val="21"/>
              </w:rPr>
              <w:t>年份</w:t>
            </w:r>
          </w:p>
        </w:tc>
        <w:tc>
          <w:tcPr>
            <w:tcW w:w="1259" w:type="dxa"/>
          </w:tcPr>
          <w:p w14:paraId="64551C71">
            <w:pPr>
              <w:spacing w:before="83" w:line="359" w:lineRule="auto"/>
              <w:ind w:left="355" w:right="207" w:hanging="139"/>
              <w:rPr>
                <w:rFonts w:ascii="宋体" w:hAnsi="宋体" w:cs="宋体"/>
                <w:color w:val="auto"/>
                <w:szCs w:val="21"/>
              </w:rPr>
            </w:pPr>
            <w:r>
              <w:rPr>
                <w:rFonts w:ascii="宋体" w:hAnsi="宋体" w:cs="宋体"/>
                <w:color w:val="auto"/>
                <w:spacing w:val="-3"/>
                <w:szCs w:val="21"/>
              </w:rPr>
              <w:t>额定功率</w:t>
            </w:r>
            <w:r>
              <w:rPr>
                <w:rFonts w:ascii="宋体" w:hAnsi="宋体" w:cs="宋体"/>
                <w:color w:val="auto"/>
                <w:spacing w:val="1"/>
                <w:szCs w:val="21"/>
              </w:rPr>
              <w:t xml:space="preserve"> </w:t>
            </w:r>
            <w:r>
              <w:rPr>
                <w:rFonts w:ascii="宋体" w:hAnsi="宋体" w:cs="宋体"/>
                <w:color w:val="auto"/>
                <w:spacing w:val="-10"/>
                <w:w w:val="97"/>
                <w:szCs w:val="21"/>
              </w:rPr>
              <w:t>(</w:t>
            </w:r>
            <w:r>
              <w:rPr>
                <w:rFonts w:ascii="宋体" w:hAnsi="宋体" w:cs="宋体"/>
                <w:color w:val="auto"/>
                <w:spacing w:val="8"/>
                <w:szCs w:val="21"/>
              </w:rPr>
              <w:t xml:space="preserve"> </w:t>
            </w:r>
            <w:r>
              <w:rPr>
                <w:rFonts w:ascii="宋体" w:hAnsi="宋体" w:cs="宋体"/>
                <w:color w:val="auto"/>
                <w:spacing w:val="-10"/>
                <w:w w:val="97"/>
                <w:szCs w:val="21"/>
              </w:rPr>
              <w:t>KW</w:t>
            </w:r>
            <w:r>
              <w:rPr>
                <w:rFonts w:ascii="宋体" w:hAnsi="宋体" w:cs="宋体"/>
                <w:color w:val="auto"/>
                <w:spacing w:val="9"/>
                <w:szCs w:val="21"/>
              </w:rPr>
              <w:t xml:space="preserve"> </w:t>
            </w:r>
            <w:r>
              <w:rPr>
                <w:rFonts w:ascii="宋体" w:hAnsi="宋体" w:cs="宋体"/>
                <w:color w:val="auto"/>
                <w:spacing w:val="-10"/>
                <w:w w:val="97"/>
                <w:szCs w:val="21"/>
              </w:rPr>
              <w:t>)</w:t>
            </w:r>
          </w:p>
        </w:tc>
        <w:tc>
          <w:tcPr>
            <w:tcW w:w="973" w:type="dxa"/>
          </w:tcPr>
          <w:p w14:paraId="4C07A6AD">
            <w:pPr>
              <w:spacing w:before="84" w:line="408" w:lineRule="exact"/>
              <w:ind w:firstLine="224"/>
              <w:rPr>
                <w:rFonts w:ascii="宋体" w:hAnsi="宋体" w:cs="宋体"/>
                <w:color w:val="auto"/>
                <w:spacing w:val="-15"/>
                <w:position w:val="14"/>
                <w:szCs w:val="21"/>
              </w:rPr>
            </w:pPr>
            <w:r>
              <w:rPr>
                <w:rFonts w:ascii="宋体" w:hAnsi="宋体" w:cs="宋体"/>
                <w:color w:val="auto"/>
                <w:spacing w:val="-15"/>
                <w:position w:val="14"/>
                <w:szCs w:val="21"/>
              </w:rPr>
              <w:t>生产</w:t>
            </w:r>
          </w:p>
          <w:p w14:paraId="0011781D">
            <w:pPr>
              <w:spacing w:before="84" w:line="408" w:lineRule="exact"/>
              <w:ind w:firstLine="224"/>
              <w:rPr>
                <w:rFonts w:ascii="宋体" w:hAnsi="宋体" w:cs="宋体"/>
                <w:color w:val="auto"/>
                <w:spacing w:val="-15"/>
                <w:position w:val="14"/>
                <w:szCs w:val="21"/>
              </w:rPr>
            </w:pPr>
            <w:r>
              <w:rPr>
                <w:rFonts w:ascii="宋体" w:hAnsi="宋体" w:cs="宋体"/>
                <w:color w:val="auto"/>
                <w:spacing w:val="-15"/>
                <w:position w:val="14"/>
                <w:szCs w:val="21"/>
              </w:rPr>
              <w:t>能力</w:t>
            </w:r>
          </w:p>
        </w:tc>
        <w:tc>
          <w:tcPr>
            <w:tcW w:w="1079" w:type="dxa"/>
          </w:tcPr>
          <w:p w14:paraId="2401E606">
            <w:pPr>
              <w:spacing w:before="84" w:line="408" w:lineRule="exact"/>
              <w:ind w:firstLine="224"/>
              <w:rPr>
                <w:rFonts w:ascii="宋体" w:hAnsi="宋体" w:cs="宋体"/>
                <w:color w:val="auto"/>
                <w:spacing w:val="-15"/>
                <w:position w:val="14"/>
                <w:szCs w:val="21"/>
              </w:rPr>
            </w:pPr>
            <w:r>
              <w:rPr>
                <w:rFonts w:ascii="宋体" w:hAnsi="宋体" w:cs="宋体"/>
                <w:color w:val="auto"/>
                <w:spacing w:val="-15"/>
                <w:position w:val="14"/>
                <w:szCs w:val="21"/>
              </w:rPr>
              <w:t>用于施</w:t>
            </w:r>
          </w:p>
          <w:p w14:paraId="24E3C233">
            <w:pPr>
              <w:spacing w:before="84" w:line="408" w:lineRule="exact"/>
              <w:ind w:firstLine="224"/>
              <w:rPr>
                <w:rFonts w:ascii="宋体" w:hAnsi="宋体" w:cs="宋体"/>
                <w:color w:val="auto"/>
                <w:spacing w:val="-15"/>
                <w:position w:val="14"/>
                <w:szCs w:val="21"/>
              </w:rPr>
            </w:pPr>
            <w:r>
              <w:rPr>
                <w:rFonts w:ascii="宋体" w:hAnsi="宋体" w:cs="宋体"/>
                <w:color w:val="auto"/>
                <w:spacing w:val="-15"/>
                <w:position w:val="14"/>
                <w:szCs w:val="21"/>
              </w:rPr>
              <w:t>工部位</w:t>
            </w:r>
          </w:p>
        </w:tc>
        <w:tc>
          <w:tcPr>
            <w:tcW w:w="716" w:type="dxa"/>
          </w:tcPr>
          <w:p w14:paraId="74E22730">
            <w:pPr>
              <w:spacing w:before="290" w:line="184" w:lineRule="auto"/>
              <w:ind w:firstLine="117"/>
              <w:rPr>
                <w:rFonts w:ascii="宋体" w:hAnsi="宋体" w:cs="宋体"/>
                <w:color w:val="auto"/>
                <w:szCs w:val="21"/>
              </w:rPr>
            </w:pPr>
            <w:r>
              <w:rPr>
                <w:rFonts w:ascii="宋体" w:hAnsi="宋体" w:cs="宋体"/>
                <w:color w:val="auto"/>
                <w:spacing w:val="-6"/>
                <w:szCs w:val="21"/>
              </w:rPr>
              <w:t>备注</w:t>
            </w:r>
          </w:p>
        </w:tc>
      </w:tr>
      <w:tr w14:paraId="51134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4" w:type="dxa"/>
          </w:tcPr>
          <w:p w14:paraId="1E0BFCF7">
            <w:pPr>
              <w:rPr>
                <w:rFonts w:ascii="宋体"/>
                <w:color w:val="auto"/>
                <w:szCs w:val="21"/>
              </w:rPr>
            </w:pPr>
          </w:p>
        </w:tc>
        <w:tc>
          <w:tcPr>
            <w:tcW w:w="1184" w:type="dxa"/>
          </w:tcPr>
          <w:p w14:paraId="05CAE4C9">
            <w:pPr>
              <w:rPr>
                <w:rFonts w:ascii="宋体"/>
                <w:color w:val="auto"/>
                <w:szCs w:val="21"/>
              </w:rPr>
            </w:pPr>
          </w:p>
        </w:tc>
        <w:tc>
          <w:tcPr>
            <w:tcW w:w="795" w:type="dxa"/>
          </w:tcPr>
          <w:p w14:paraId="0DBE49C0">
            <w:pPr>
              <w:rPr>
                <w:rFonts w:ascii="宋体"/>
                <w:color w:val="auto"/>
                <w:szCs w:val="21"/>
              </w:rPr>
            </w:pPr>
          </w:p>
        </w:tc>
        <w:tc>
          <w:tcPr>
            <w:tcW w:w="816" w:type="dxa"/>
          </w:tcPr>
          <w:p w14:paraId="1F83F2A4">
            <w:pPr>
              <w:rPr>
                <w:rFonts w:ascii="宋体"/>
                <w:color w:val="auto"/>
                <w:szCs w:val="21"/>
              </w:rPr>
            </w:pPr>
          </w:p>
        </w:tc>
        <w:tc>
          <w:tcPr>
            <w:tcW w:w="816" w:type="dxa"/>
          </w:tcPr>
          <w:p w14:paraId="58078FE9">
            <w:pPr>
              <w:rPr>
                <w:rFonts w:ascii="宋体"/>
                <w:color w:val="auto"/>
                <w:szCs w:val="21"/>
              </w:rPr>
            </w:pPr>
          </w:p>
        </w:tc>
        <w:tc>
          <w:tcPr>
            <w:tcW w:w="1079" w:type="dxa"/>
          </w:tcPr>
          <w:p w14:paraId="1763004A">
            <w:pPr>
              <w:rPr>
                <w:rFonts w:ascii="宋体"/>
                <w:color w:val="auto"/>
                <w:szCs w:val="21"/>
              </w:rPr>
            </w:pPr>
          </w:p>
        </w:tc>
        <w:tc>
          <w:tcPr>
            <w:tcW w:w="1259" w:type="dxa"/>
          </w:tcPr>
          <w:p w14:paraId="2B4D1F54">
            <w:pPr>
              <w:rPr>
                <w:rFonts w:ascii="宋体"/>
                <w:color w:val="auto"/>
                <w:szCs w:val="21"/>
              </w:rPr>
            </w:pPr>
          </w:p>
        </w:tc>
        <w:tc>
          <w:tcPr>
            <w:tcW w:w="973" w:type="dxa"/>
          </w:tcPr>
          <w:p w14:paraId="68AC587A">
            <w:pPr>
              <w:rPr>
                <w:rFonts w:ascii="宋体"/>
                <w:color w:val="auto"/>
                <w:szCs w:val="21"/>
              </w:rPr>
            </w:pPr>
          </w:p>
        </w:tc>
        <w:tc>
          <w:tcPr>
            <w:tcW w:w="1079" w:type="dxa"/>
          </w:tcPr>
          <w:p w14:paraId="6D9C8473">
            <w:pPr>
              <w:rPr>
                <w:rFonts w:ascii="宋体"/>
                <w:color w:val="auto"/>
                <w:szCs w:val="21"/>
              </w:rPr>
            </w:pPr>
          </w:p>
        </w:tc>
        <w:tc>
          <w:tcPr>
            <w:tcW w:w="716" w:type="dxa"/>
          </w:tcPr>
          <w:p w14:paraId="575616B8">
            <w:pPr>
              <w:rPr>
                <w:rFonts w:ascii="宋体"/>
                <w:color w:val="auto"/>
                <w:szCs w:val="21"/>
              </w:rPr>
            </w:pPr>
          </w:p>
        </w:tc>
      </w:tr>
      <w:tr w14:paraId="3A807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4" w:type="dxa"/>
          </w:tcPr>
          <w:p w14:paraId="12CC380E">
            <w:pPr>
              <w:rPr>
                <w:rFonts w:ascii="宋体"/>
                <w:color w:val="auto"/>
                <w:szCs w:val="21"/>
              </w:rPr>
            </w:pPr>
          </w:p>
        </w:tc>
        <w:tc>
          <w:tcPr>
            <w:tcW w:w="1184" w:type="dxa"/>
          </w:tcPr>
          <w:p w14:paraId="3EFB18C7">
            <w:pPr>
              <w:rPr>
                <w:rFonts w:ascii="宋体"/>
                <w:color w:val="auto"/>
                <w:szCs w:val="21"/>
              </w:rPr>
            </w:pPr>
          </w:p>
        </w:tc>
        <w:tc>
          <w:tcPr>
            <w:tcW w:w="795" w:type="dxa"/>
          </w:tcPr>
          <w:p w14:paraId="0E5C8CDF">
            <w:pPr>
              <w:rPr>
                <w:rFonts w:ascii="宋体"/>
                <w:color w:val="auto"/>
                <w:szCs w:val="21"/>
              </w:rPr>
            </w:pPr>
          </w:p>
        </w:tc>
        <w:tc>
          <w:tcPr>
            <w:tcW w:w="816" w:type="dxa"/>
          </w:tcPr>
          <w:p w14:paraId="08355DB9">
            <w:pPr>
              <w:rPr>
                <w:rFonts w:ascii="宋体"/>
                <w:color w:val="auto"/>
                <w:szCs w:val="21"/>
              </w:rPr>
            </w:pPr>
          </w:p>
        </w:tc>
        <w:tc>
          <w:tcPr>
            <w:tcW w:w="816" w:type="dxa"/>
          </w:tcPr>
          <w:p w14:paraId="474F38A3">
            <w:pPr>
              <w:rPr>
                <w:rFonts w:ascii="宋体"/>
                <w:color w:val="auto"/>
                <w:szCs w:val="21"/>
              </w:rPr>
            </w:pPr>
          </w:p>
        </w:tc>
        <w:tc>
          <w:tcPr>
            <w:tcW w:w="1079" w:type="dxa"/>
          </w:tcPr>
          <w:p w14:paraId="781F94E0">
            <w:pPr>
              <w:rPr>
                <w:rFonts w:ascii="宋体"/>
                <w:color w:val="auto"/>
                <w:szCs w:val="21"/>
              </w:rPr>
            </w:pPr>
          </w:p>
        </w:tc>
        <w:tc>
          <w:tcPr>
            <w:tcW w:w="1259" w:type="dxa"/>
          </w:tcPr>
          <w:p w14:paraId="76AA14ED">
            <w:pPr>
              <w:rPr>
                <w:rFonts w:ascii="宋体"/>
                <w:color w:val="auto"/>
                <w:szCs w:val="21"/>
              </w:rPr>
            </w:pPr>
          </w:p>
        </w:tc>
        <w:tc>
          <w:tcPr>
            <w:tcW w:w="973" w:type="dxa"/>
          </w:tcPr>
          <w:p w14:paraId="06E2B3CD">
            <w:pPr>
              <w:rPr>
                <w:rFonts w:ascii="宋体"/>
                <w:color w:val="auto"/>
                <w:szCs w:val="21"/>
              </w:rPr>
            </w:pPr>
          </w:p>
        </w:tc>
        <w:tc>
          <w:tcPr>
            <w:tcW w:w="1079" w:type="dxa"/>
          </w:tcPr>
          <w:p w14:paraId="354C4188">
            <w:pPr>
              <w:rPr>
                <w:rFonts w:ascii="宋体"/>
                <w:color w:val="auto"/>
                <w:szCs w:val="21"/>
              </w:rPr>
            </w:pPr>
          </w:p>
        </w:tc>
        <w:tc>
          <w:tcPr>
            <w:tcW w:w="716" w:type="dxa"/>
          </w:tcPr>
          <w:p w14:paraId="76847A17">
            <w:pPr>
              <w:rPr>
                <w:rFonts w:ascii="宋体"/>
                <w:color w:val="auto"/>
                <w:szCs w:val="21"/>
              </w:rPr>
            </w:pPr>
          </w:p>
        </w:tc>
      </w:tr>
      <w:tr w14:paraId="19C75D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24" w:type="dxa"/>
          </w:tcPr>
          <w:p w14:paraId="3B60220C">
            <w:pPr>
              <w:rPr>
                <w:rFonts w:ascii="宋体"/>
                <w:color w:val="auto"/>
                <w:szCs w:val="21"/>
              </w:rPr>
            </w:pPr>
          </w:p>
        </w:tc>
        <w:tc>
          <w:tcPr>
            <w:tcW w:w="1184" w:type="dxa"/>
          </w:tcPr>
          <w:p w14:paraId="746702F1">
            <w:pPr>
              <w:rPr>
                <w:rFonts w:ascii="宋体"/>
                <w:color w:val="auto"/>
                <w:szCs w:val="21"/>
              </w:rPr>
            </w:pPr>
          </w:p>
        </w:tc>
        <w:tc>
          <w:tcPr>
            <w:tcW w:w="795" w:type="dxa"/>
          </w:tcPr>
          <w:p w14:paraId="6716B606">
            <w:pPr>
              <w:rPr>
                <w:rFonts w:ascii="宋体"/>
                <w:color w:val="auto"/>
                <w:szCs w:val="21"/>
              </w:rPr>
            </w:pPr>
          </w:p>
        </w:tc>
        <w:tc>
          <w:tcPr>
            <w:tcW w:w="816" w:type="dxa"/>
          </w:tcPr>
          <w:p w14:paraId="0A699488">
            <w:pPr>
              <w:rPr>
                <w:rFonts w:ascii="宋体"/>
                <w:color w:val="auto"/>
                <w:szCs w:val="21"/>
              </w:rPr>
            </w:pPr>
          </w:p>
        </w:tc>
        <w:tc>
          <w:tcPr>
            <w:tcW w:w="816" w:type="dxa"/>
          </w:tcPr>
          <w:p w14:paraId="36C2A732">
            <w:pPr>
              <w:rPr>
                <w:rFonts w:ascii="宋体"/>
                <w:color w:val="auto"/>
                <w:szCs w:val="21"/>
              </w:rPr>
            </w:pPr>
          </w:p>
        </w:tc>
        <w:tc>
          <w:tcPr>
            <w:tcW w:w="1079" w:type="dxa"/>
          </w:tcPr>
          <w:p w14:paraId="3DA2FEA6">
            <w:pPr>
              <w:rPr>
                <w:rFonts w:ascii="宋体"/>
                <w:color w:val="auto"/>
                <w:szCs w:val="21"/>
              </w:rPr>
            </w:pPr>
          </w:p>
        </w:tc>
        <w:tc>
          <w:tcPr>
            <w:tcW w:w="1259" w:type="dxa"/>
          </w:tcPr>
          <w:p w14:paraId="3963EF83">
            <w:pPr>
              <w:rPr>
                <w:rFonts w:ascii="宋体"/>
                <w:color w:val="auto"/>
                <w:szCs w:val="21"/>
              </w:rPr>
            </w:pPr>
          </w:p>
        </w:tc>
        <w:tc>
          <w:tcPr>
            <w:tcW w:w="973" w:type="dxa"/>
          </w:tcPr>
          <w:p w14:paraId="12EFF450">
            <w:pPr>
              <w:rPr>
                <w:rFonts w:ascii="宋体"/>
                <w:color w:val="auto"/>
                <w:szCs w:val="21"/>
              </w:rPr>
            </w:pPr>
          </w:p>
        </w:tc>
        <w:tc>
          <w:tcPr>
            <w:tcW w:w="1079" w:type="dxa"/>
          </w:tcPr>
          <w:p w14:paraId="41633ECA">
            <w:pPr>
              <w:rPr>
                <w:rFonts w:ascii="宋体"/>
                <w:color w:val="auto"/>
                <w:szCs w:val="21"/>
              </w:rPr>
            </w:pPr>
          </w:p>
        </w:tc>
        <w:tc>
          <w:tcPr>
            <w:tcW w:w="716" w:type="dxa"/>
          </w:tcPr>
          <w:p w14:paraId="57159839">
            <w:pPr>
              <w:rPr>
                <w:rFonts w:ascii="宋体"/>
                <w:color w:val="auto"/>
                <w:szCs w:val="21"/>
              </w:rPr>
            </w:pPr>
          </w:p>
        </w:tc>
      </w:tr>
      <w:tr w14:paraId="78775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24" w:type="dxa"/>
          </w:tcPr>
          <w:p w14:paraId="51C036CB">
            <w:pPr>
              <w:rPr>
                <w:rFonts w:ascii="宋体"/>
                <w:color w:val="auto"/>
                <w:szCs w:val="21"/>
              </w:rPr>
            </w:pPr>
          </w:p>
        </w:tc>
        <w:tc>
          <w:tcPr>
            <w:tcW w:w="1184" w:type="dxa"/>
          </w:tcPr>
          <w:p w14:paraId="1C2B8038">
            <w:pPr>
              <w:rPr>
                <w:rFonts w:ascii="宋体"/>
                <w:color w:val="auto"/>
                <w:szCs w:val="21"/>
              </w:rPr>
            </w:pPr>
          </w:p>
        </w:tc>
        <w:tc>
          <w:tcPr>
            <w:tcW w:w="795" w:type="dxa"/>
          </w:tcPr>
          <w:p w14:paraId="3CB3470B">
            <w:pPr>
              <w:rPr>
                <w:rFonts w:ascii="宋体"/>
                <w:color w:val="auto"/>
                <w:szCs w:val="21"/>
              </w:rPr>
            </w:pPr>
          </w:p>
        </w:tc>
        <w:tc>
          <w:tcPr>
            <w:tcW w:w="816" w:type="dxa"/>
          </w:tcPr>
          <w:p w14:paraId="245AE4B9">
            <w:pPr>
              <w:rPr>
                <w:rFonts w:ascii="宋体"/>
                <w:color w:val="auto"/>
                <w:szCs w:val="21"/>
              </w:rPr>
            </w:pPr>
          </w:p>
        </w:tc>
        <w:tc>
          <w:tcPr>
            <w:tcW w:w="816" w:type="dxa"/>
          </w:tcPr>
          <w:p w14:paraId="6A2A076B">
            <w:pPr>
              <w:rPr>
                <w:rFonts w:ascii="宋体"/>
                <w:color w:val="auto"/>
                <w:szCs w:val="21"/>
              </w:rPr>
            </w:pPr>
          </w:p>
        </w:tc>
        <w:tc>
          <w:tcPr>
            <w:tcW w:w="1079" w:type="dxa"/>
          </w:tcPr>
          <w:p w14:paraId="674A0684">
            <w:pPr>
              <w:rPr>
                <w:rFonts w:ascii="宋体"/>
                <w:color w:val="auto"/>
                <w:szCs w:val="21"/>
              </w:rPr>
            </w:pPr>
          </w:p>
        </w:tc>
        <w:tc>
          <w:tcPr>
            <w:tcW w:w="1259" w:type="dxa"/>
          </w:tcPr>
          <w:p w14:paraId="4220E146">
            <w:pPr>
              <w:rPr>
                <w:rFonts w:ascii="宋体"/>
                <w:color w:val="auto"/>
                <w:szCs w:val="21"/>
              </w:rPr>
            </w:pPr>
          </w:p>
        </w:tc>
        <w:tc>
          <w:tcPr>
            <w:tcW w:w="973" w:type="dxa"/>
          </w:tcPr>
          <w:p w14:paraId="452648E9">
            <w:pPr>
              <w:rPr>
                <w:rFonts w:ascii="宋体"/>
                <w:color w:val="auto"/>
                <w:szCs w:val="21"/>
              </w:rPr>
            </w:pPr>
          </w:p>
        </w:tc>
        <w:tc>
          <w:tcPr>
            <w:tcW w:w="1079" w:type="dxa"/>
          </w:tcPr>
          <w:p w14:paraId="601565EB">
            <w:pPr>
              <w:rPr>
                <w:rFonts w:ascii="宋体"/>
                <w:color w:val="auto"/>
                <w:szCs w:val="21"/>
              </w:rPr>
            </w:pPr>
          </w:p>
        </w:tc>
        <w:tc>
          <w:tcPr>
            <w:tcW w:w="716" w:type="dxa"/>
          </w:tcPr>
          <w:p w14:paraId="5BFCBF0B">
            <w:pPr>
              <w:rPr>
                <w:rFonts w:ascii="宋体"/>
                <w:color w:val="auto"/>
                <w:szCs w:val="21"/>
              </w:rPr>
            </w:pPr>
          </w:p>
        </w:tc>
      </w:tr>
      <w:tr w14:paraId="3A1A1B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24" w:type="dxa"/>
          </w:tcPr>
          <w:p w14:paraId="304662C9">
            <w:pPr>
              <w:rPr>
                <w:rFonts w:ascii="宋体"/>
                <w:color w:val="auto"/>
                <w:szCs w:val="21"/>
              </w:rPr>
            </w:pPr>
          </w:p>
        </w:tc>
        <w:tc>
          <w:tcPr>
            <w:tcW w:w="1184" w:type="dxa"/>
          </w:tcPr>
          <w:p w14:paraId="198485A3">
            <w:pPr>
              <w:rPr>
                <w:rFonts w:ascii="宋体"/>
                <w:color w:val="auto"/>
                <w:szCs w:val="21"/>
              </w:rPr>
            </w:pPr>
          </w:p>
        </w:tc>
        <w:tc>
          <w:tcPr>
            <w:tcW w:w="795" w:type="dxa"/>
          </w:tcPr>
          <w:p w14:paraId="62F73AEF">
            <w:pPr>
              <w:rPr>
                <w:rFonts w:ascii="宋体"/>
                <w:color w:val="auto"/>
                <w:szCs w:val="21"/>
              </w:rPr>
            </w:pPr>
          </w:p>
        </w:tc>
        <w:tc>
          <w:tcPr>
            <w:tcW w:w="816" w:type="dxa"/>
          </w:tcPr>
          <w:p w14:paraId="1E936EFF">
            <w:pPr>
              <w:rPr>
                <w:rFonts w:ascii="宋体"/>
                <w:color w:val="auto"/>
                <w:szCs w:val="21"/>
              </w:rPr>
            </w:pPr>
          </w:p>
        </w:tc>
        <w:tc>
          <w:tcPr>
            <w:tcW w:w="816" w:type="dxa"/>
          </w:tcPr>
          <w:p w14:paraId="4B5C3498">
            <w:pPr>
              <w:rPr>
                <w:rFonts w:ascii="宋体"/>
                <w:color w:val="auto"/>
                <w:szCs w:val="21"/>
              </w:rPr>
            </w:pPr>
          </w:p>
        </w:tc>
        <w:tc>
          <w:tcPr>
            <w:tcW w:w="1079" w:type="dxa"/>
          </w:tcPr>
          <w:p w14:paraId="67D1CDBE">
            <w:pPr>
              <w:rPr>
                <w:rFonts w:ascii="宋体"/>
                <w:color w:val="auto"/>
                <w:szCs w:val="21"/>
              </w:rPr>
            </w:pPr>
          </w:p>
        </w:tc>
        <w:tc>
          <w:tcPr>
            <w:tcW w:w="1259" w:type="dxa"/>
          </w:tcPr>
          <w:p w14:paraId="0FB61C12">
            <w:pPr>
              <w:rPr>
                <w:rFonts w:ascii="宋体"/>
                <w:color w:val="auto"/>
                <w:szCs w:val="21"/>
              </w:rPr>
            </w:pPr>
          </w:p>
        </w:tc>
        <w:tc>
          <w:tcPr>
            <w:tcW w:w="973" w:type="dxa"/>
          </w:tcPr>
          <w:p w14:paraId="0B0B1D56">
            <w:pPr>
              <w:rPr>
                <w:rFonts w:ascii="宋体"/>
                <w:color w:val="auto"/>
                <w:szCs w:val="21"/>
              </w:rPr>
            </w:pPr>
          </w:p>
        </w:tc>
        <w:tc>
          <w:tcPr>
            <w:tcW w:w="1079" w:type="dxa"/>
          </w:tcPr>
          <w:p w14:paraId="1AB88C91">
            <w:pPr>
              <w:rPr>
                <w:rFonts w:ascii="宋体"/>
                <w:color w:val="auto"/>
                <w:szCs w:val="21"/>
              </w:rPr>
            </w:pPr>
          </w:p>
        </w:tc>
        <w:tc>
          <w:tcPr>
            <w:tcW w:w="716" w:type="dxa"/>
          </w:tcPr>
          <w:p w14:paraId="31BD6323">
            <w:pPr>
              <w:rPr>
                <w:rFonts w:ascii="宋体"/>
                <w:color w:val="auto"/>
                <w:szCs w:val="21"/>
              </w:rPr>
            </w:pPr>
          </w:p>
        </w:tc>
      </w:tr>
      <w:tr w14:paraId="4B7D6C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4" w:type="dxa"/>
          </w:tcPr>
          <w:p w14:paraId="3E80B2D7">
            <w:pPr>
              <w:rPr>
                <w:rFonts w:ascii="宋体"/>
                <w:color w:val="auto"/>
                <w:szCs w:val="21"/>
              </w:rPr>
            </w:pPr>
          </w:p>
        </w:tc>
        <w:tc>
          <w:tcPr>
            <w:tcW w:w="1184" w:type="dxa"/>
          </w:tcPr>
          <w:p w14:paraId="483B9C11">
            <w:pPr>
              <w:rPr>
                <w:rFonts w:ascii="宋体"/>
                <w:color w:val="auto"/>
                <w:szCs w:val="21"/>
              </w:rPr>
            </w:pPr>
          </w:p>
        </w:tc>
        <w:tc>
          <w:tcPr>
            <w:tcW w:w="795" w:type="dxa"/>
          </w:tcPr>
          <w:p w14:paraId="70524BAC">
            <w:pPr>
              <w:rPr>
                <w:rFonts w:ascii="宋体"/>
                <w:color w:val="auto"/>
                <w:szCs w:val="21"/>
              </w:rPr>
            </w:pPr>
          </w:p>
        </w:tc>
        <w:tc>
          <w:tcPr>
            <w:tcW w:w="816" w:type="dxa"/>
          </w:tcPr>
          <w:p w14:paraId="6D7FBE1F">
            <w:pPr>
              <w:rPr>
                <w:rFonts w:ascii="宋体"/>
                <w:color w:val="auto"/>
                <w:szCs w:val="21"/>
              </w:rPr>
            </w:pPr>
          </w:p>
        </w:tc>
        <w:tc>
          <w:tcPr>
            <w:tcW w:w="816" w:type="dxa"/>
          </w:tcPr>
          <w:p w14:paraId="783582E8">
            <w:pPr>
              <w:rPr>
                <w:rFonts w:ascii="宋体"/>
                <w:color w:val="auto"/>
                <w:szCs w:val="21"/>
              </w:rPr>
            </w:pPr>
          </w:p>
        </w:tc>
        <w:tc>
          <w:tcPr>
            <w:tcW w:w="1079" w:type="dxa"/>
          </w:tcPr>
          <w:p w14:paraId="49216542">
            <w:pPr>
              <w:rPr>
                <w:rFonts w:ascii="宋体"/>
                <w:color w:val="auto"/>
                <w:szCs w:val="21"/>
              </w:rPr>
            </w:pPr>
          </w:p>
        </w:tc>
        <w:tc>
          <w:tcPr>
            <w:tcW w:w="1259" w:type="dxa"/>
          </w:tcPr>
          <w:p w14:paraId="7A3FF754">
            <w:pPr>
              <w:rPr>
                <w:rFonts w:ascii="宋体"/>
                <w:color w:val="auto"/>
                <w:szCs w:val="21"/>
              </w:rPr>
            </w:pPr>
          </w:p>
        </w:tc>
        <w:tc>
          <w:tcPr>
            <w:tcW w:w="973" w:type="dxa"/>
          </w:tcPr>
          <w:p w14:paraId="1B460919">
            <w:pPr>
              <w:rPr>
                <w:rFonts w:ascii="宋体"/>
                <w:color w:val="auto"/>
                <w:szCs w:val="21"/>
              </w:rPr>
            </w:pPr>
          </w:p>
        </w:tc>
        <w:tc>
          <w:tcPr>
            <w:tcW w:w="1079" w:type="dxa"/>
          </w:tcPr>
          <w:p w14:paraId="4FDE22FB">
            <w:pPr>
              <w:rPr>
                <w:rFonts w:ascii="宋体"/>
                <w:color w:val="auto"/>
                <w:szCs w:val="21"/>
              </w:rPr>
            </w:pPr>
          </w:p>
        </w:tc>
        <w:tc>
          <w:tcPr>
            <w:tcW w:w="716" w:type="dxa"/>
          </w:tcPr>
          <w:p w14:paraId="0CAF4C9D">
            <w:pPr>
              <w:rPr>
                <w:rFonts w:ascii="宋体"/>
                <w:color w:val="auto"/>
                <w:szCs w:val="21"/>
              </w:rPr>
            </w:pPr>
          </w:p>
        </w:tc>
      </w:tr>
      <w:tr w14:paraId="0285C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4" w:type="dxa"/>
          </w:tcPr>
          <w:p w14:paraId="6DD7EFF4">
            <w:pPr>
              <w:rPr>
                <w:rFonts w:ascii="宋体"/>
                <w:color w:val="auto"/>
                <w:szCs w:val="21"/>
              </w:rPr>
            </w:pPr>
          </w:p>
        </w:tc>
        <w:tc>
          <w:tcPr>
            <w:tcW w:w="1184" w:type="dxa"/>
          </w:tcPr>
          <w:p w14:paraId="04BC4305">
            <w:pPr>
              <w:rPr>
                <w:rFonts w:ascii="宋体"/>
                <w:color w:val="auto"/>
                <w:szCs w:val="21"/>
              </w:rPr>
            </w:pPr>
          </w:p>
        </w:tc>
        <w:tc>
          <w:tcPr>
            <w:tcW w:w="795" w:type="dxa"/>
          </w:tcPr>
          <w:p w14:paraId="77DF7A45">
            <w:pPr>
              <w:rPr>
                <w:rFonts w:ascii="宋体"/>
                <w:color w:val="auto"/>
                <w:szCs w:val="21"/>
              </w:rPr>
            </w:pPr>
          </w:p>
        </w:tc>
        <w:tc>
          <w:tcPr>
            <w:tcW w:w="816" w:type="dxa"/>
          </w:tcPr>
          <w:p w14:paraId="4EA00A8A">
            <w:pPr>
              <w:rPr>
                <w:rFonts w:ascii="宋体"/>
                <w:color w:val="auto"/>
                <w:szCs w:val="21"/>
              </w:rPr>
            </w:pPr>
          </w:p>
        </w:tc>
        <w:tc>
          <w:tcPr>
            <w:tcW w:w="816" w:type="dxa"/>
          </w:tcPr>
          <w:p w14:paraId="1879ACD0">
            <w:pPr>
              <w:rPr>
                <w:rFonts w:ascii="宋体"/>
                <w:color w:val="auto"/>
                <w:szCs w:val="21"/>
              </w:rPr>
            </w:pPr>
          </w:p>
        </w:tc>
        <w:tc>
          <w:tcPr>
            <w:tcW w:w="1079" w:type="dxa"/>
          </w:tcPr>
          <w:p w14:paraId="4BD01C37">
            <w:pPr>
              <w:rPr>
                <w:rFonts w:ascii="宋体"/>
                <w:color w:val="auto"/>
                <w:szCs w:val="21"/>
              </w:rPr>
            </w:pPr>
          </w:p>
        </w:tc>
        <w:tc>
          <w:tcPr>
            <w:tcW w:w="1259" w:type="dxa"/>
          </w:tcPr>
          <w:p w14:paraId="4037F713">
            <w:pPr>
              <w:rPr>
                <w:rFonts w:ascii="宋体"/>
                <w:color w:val="auto"/>
                <w:szCs w:val="21"/>
              </w:rPr>
            </w:pPr>
          </w:p>
        </w:tc>
        <w:tc>
          <w:tcPr>
            <w:tcW w:w="973" w:type="dxa"/>
          </w:tcPr>
          <w:p w14:paraId="155933EB">
            <w:pPr>
              <w:rPr>
                <w:rFonts w:ascii="宋体"/>
                <w:color w:val="auto"/>
                <w:szCs w:val="21"/>
              </w:rPr>
            </w:pPr>
          </w:p>
        </w:tc>
        <w:tc>
          <w:tcPr>
            <w:tcW w:w="1079" w:type="dxa"/>
          </w:tcPr>
          <w:p w14:paraId="28779EAC">
            <w:pPr>
              <w:rPr>
                <w:rFonts w:ascii="宋体"/>
                <w:color w:val="auto"/>
                <w:szCs w:val="21"/>
              </w:rPr>
            </w:pPr>
          </w:p>
        </w:tc>
        <w:tc>
          <w:tcPr>
            <w:tcW w:w="716" w:type="dxa"/>
          </w:tcPr>
          <w:p w14:paraId="7974AE29">
            <w:pPr>
              <w:rPr>
                <w:rFonts w:ascii="宋体"/>
                <w:color w:val="auto"/>
                <w:szCs w:val="21"/>
              </w:rPr>
            </w:pPr>
          </w:p>
        </w:tc>
      </w:tr>
      <w:tr w14:paraId="6FC91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4" w:type="dxa"/>
          </w:tcPr>
          <w:p w14:paraId="4110FF2F">
            <w:pPr>
              <w:rPr>
                <w:rFonts w:ascii="宋体"/>
                <w:color w:val="auto"/>
                <w:szCs w:val="21"/>
              </w:rPr>
            </w:pPr>
          </w:p>
        </w:tc>
        <w:tc>
          <w:tcPr>
            <w:tcW w:w="1184" w:type="dxa"/>
          </w:tcPr>
          <w:p w14:paraId="5E60BFC4">
            <w:pPr>
              <w:rPr>
                <w:rFonts w:ascii="宋体"/>
                <w:color w:val="auto"/>
                <w:szCs w:val="21"/>
              </w:rPr>
            </w:pPr>
          </w:p>
        </w:tc>
        <w:tc>
          <w:tcPr>
            <w:tcW w:w="795" w:type="dxa"/>
          </w:tcPr>
          <w:p w14:paraId="2AAFFB05">
            <w:pPr>
              <w:rPr>
                <w:rFonts w:ascii="宋体"/>
                <w:color w:val="auto"/>
                <w:szCs w:val="21"/>
              </w:rPr>
            </w:pPr>
          </w:p>
        </w:tc>
        <w:tc>
          <w:tcPr>
            <w:tcW w:w="816" w:type="dxa"/>
          </w:tcPr>
          <w:p w14:paraId="22DE30E0">
            <w:pPr>
              <w:rPr>
                <w:rFonts w:ascii="宋体"/>
                <w:color w:val="auto"/>
                <w:szCs w:val="21"/>
              </w:rPr>
            </w:pPr>
          </w:p>
        </w:tc>
        <w:tc>
          <w:tcPr>
            <w:tcW w:w="816" w:type="dxa"/>
          </w:tcPr>
          <w:p w14:paraId="0ADFC06F">
            <w:pPr>
              <w:rPr>
                <w:rFonts w:ascii="宋体"/>
                <w:color w:val="auto"/>
                <w:szCs w:val="21"/>
              </w:rPr>
            </w:pPr>
          </w:p>
        </w:tc>
        <w:tc>
          <w:tcPr>
            <w:tcW w:w="1079" w:type="dxa"/>
          </w:tcPr>
          <w:p w14:paraId="5CAC19B7">
            <w:pPr>
              <w:rPr>
                <w:rFonts w:ascii="宋体"/>
                <w:color w:val="auto"/>
                <w:szCs w:val="21"/>
              </w:rPr>
            </w:pPr>
          </w:p>
        </w:tc>
        <w:tc>
          <w:tcPr>
            <w:tcW w:w="1259" w:type="dxa"/>
          </w:tcPr>
          <w:p w14:paraId="1999305B">
            <w:pPr>
              <w:rPr>
                <w:rFonts w:ascii="宋体"/>
                <w:color w:val="auto"/>
                <w:szCs w:val="21"/>
              </w:rPr>
            </w:pPr>
          </w:p>
        </w:tc>
        <w:tc>
          <w:tcPr>
            <w:tcW w:w="973" w:type="dxa"/>
          </w:tcPr>
          <w:p w14:paraId="58560BCC">
            <w:pPr>
              <w:rPr>
                <w:rFonts w:ascii="宋体"/>
                <w:color w:val="auto"/>
                <w:szCs w:val="21"/>
              </w:rPr>
            </w:pPr>
          </w:p>
        </w:tc>
        <w:tc>
          <w:tcPr>
            <w:tcW w:w="1079" w:type="dxa"/>
          </w:tcPr>
          <w:p w14:paraId="56E18BF2">
            <w:pPr>
              <w:rPr>
                <w:rFonts w:ascii="宋体"/>
                <w:color w:val="auto"/>
                <w:szCs w:val="21"/>
              </w:rPr>
            </w:pPr>
          </w:p>
        </w:tc>
        <w:tc>
          <w:tcPr>
            <w:tcW w:w="716" w:type="dxa"/>
          </w:tcPr>
          <w:p w14:paraId="06079A45">
            <w:pPr>
              <w:rPr>
                <w:rFonts w:ascii="宋体"/>
                <w:color w:val="auto"/>
                <w:szCs w:val="21"/>
              </w:rPr>
            </w:pPr>
          </w:p>
        </w:tc>
      </w:tr>
      <w:tr w14:paraId="05EDC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4" w:type="dxa"/>
          </w:tcPr>
          <w:p w14:paraId="35F313B1">
            <w:pPr>
              <w:rPr>
                <w:rFonts w:ascii="宋体"/>
                <w:color w:val="auto"/>
                <w:szCs w:val="21"/>
              </w:rPr>
            </w:pPr>
          </w:p>
        </w:tc>
        <w:tc>
          <w:tcPr>
            <w:tcW w:w="1184" w:type="dxa"/>
          </w:tcPr>
          <w:p w14:paraId="7925BB14">
            <w:pPr>
              <w:rPr>
                <w:rFonts w:ascii="宋体"/>
                <w:color w:val="auto"/>
                <w:szCs w:val="21"/>
              </w:rPr>
            </w:pPr>
          </w:p>
        </w:tc>
        <w:tc>
          <w:tcPr>
            <w:tcW w:w="795" w:type="dxa"/>
          </w:tcPr>
          <w:p w14:paraId="45F56C40">
            <w:pPr>
              <w:rPr>
                <w:rFonts w:ascii="宋体"/>
                <w:color w:val="auto"/>
                <w:szCs w:val="21"/>
              </w:rPr>
            </w:pPr>
          </w:p>
        </w:tc>
        <w:tc>
          <w:tcPr>
            <w:tcW w:w="816" w:type="dxa"/>
          </w:tcPr>
          <w:p w14:paraId="26F4943D">
            <w:pPr>
              <w:rPr>
                <w:rFonts w:ascii="宋体"/>
                <w:color w:val="auto"/>
                <w:szCs w:val="21"/>
              </w:rPr>
            </w:pPr>
          </w:p>
        </w:tc>
        <w:tc>
          <w:tcPr>
            <w:tcW w:w="816" w:type="dxa"/>
          </w:tcPr>
          <w:p w14:paraId="5380F395">
            <w:pPr>
              <w:rPr>
                <w:rFonts w:ascii="宋体"/>
                <w:color w:val="auto"/>
                <w:szCs w:val="21"/>
              </w:rPr>
            </w:pPr>
          </w:p>
        </w:tc>
        <w:tc>
          <w:tcPr>
            <w:tcW w:w="1079" w:type="dxa"/>
          </w:tcPr>
          <w:p w14:paraId="57DBECCC">
            <w:pPr>
              <w:rPr>
                <w:rFonts w:ascii="宋体"/>
                <w:color w:val="auto"/>
                <w:szCs w:val="21"/>
              </w:rPr>
            </w:pPr>
          </w:p>
        </w:tc>
        <w:tc>
          <w:tcPr>
            <w:tcW w:w="1259" w:type="dxa"/>
          </w:tcPr>
          <w:p w14:paraId="724A4B18">
            <w:pPr>
              <w:rPr>
                <w:rFonts w:ascii="宋体"/>
                <w:color w:val="auto"/>
                <w:szCs w:val="21"/>
              </w:rPr>
            </w:pPr>
          </w:p>
        </w:tc>
        <w:tc>
          <w:tcPr>
            <w:tcW w:w="973" w:type="dxa"/>
          </w:tcPr>
          <w:p w14:paraId="4133F8F2">
            <w:pPr>
              <w:rPr>
                <w:rFonts w:ascii="宋体"/>
                <w:color w:val="auto"/>
                <w:szCs w:val="21"/>
              </w:rPr>
            </w:pPr>
          </w:p>
        </w:tc>
        <w:tc>
          <w:tcPr>
            <w:tcW w:w="1079" w:type="dxa"/>
          </w:tcPr>
          <w:p w14:paraId="6016047C">
            <w:pPr>
              <w:rPr>
                <w:rFonts w:ascii="宋体"/>
                <w:color w:val="auto"/>
                <w:szCs w:val="21"/>
              </w:rPr>
            </w:pPr>
          </w:p>
        </w:tc>
        <w:tc>
          <w:tcPr>
            <w:tcW w:w="716" w:type="dxa"/>
          </w:tcPr>
          <w:p w14:paraId="06472279">
            <w:pPr>
              <w:rPr>
                <w:rFonts w:ascii="宋体"/>
                <w:color w:val="auto"/>
                <w:szCs w:val="21"/>
              </w:rPr>
            </w:pPr>
          </w:p>
        </w:tc>
      </w:tr>
      <w:tr w14:paraId="6DCDB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724" w:type="dxa"/>
          </w:tcPr>
          <w:p w14:paraId="6DE11186">
            <w:pPr>
              <w:rPr>
                <w:rFonts w:ascii="宋体"/>
                <w:color w:val="auto"/>
                <w:szCs w:val="21"/>
              </w:rPr>
            </w:pPr>
          </w:p>
        </w:tc>
        <w:tc>
          <w:tcPr>
            <w:tcW w:w="1184" w:type="dxa"/>
          </w:tcPr>
          <w:p w14:paraId="2D0E5489">
            <w:pPr>
              <w:rPr>
                <w:rFonts w:ascii="宋体"/>
                <w:color w:val="auto"/>
                <w:szCs w:val="21"/>
              </w:rPr>
            </w:pPr>
          </w:p>
        </w:tc>
        <w:tc>
          <w:tcPr>
            <w:tcW w:w="795" w:type="dxa"/>
          </w:tcPr>
          <w:p w14:paraId="4E7775BE">
            <w:pPr>
              <w:rPr>
                <w:rFonts w:ascii="宋体"/>
                <w:color w:val="auto"/>
                <w:szCs w:val="21"/>
              </w:rPr>
            </w:pPr>
          </w:p>
        </w:tc>
        <w:tc>
          <w:tcPr>
            <w:tcW w:w="816" w:type="dxa"/>
          </w:tcPr>
          <w:p w14:paraId="428CC40A">
            <w:pPr>
              <w:rPr>
                <w:rFonts w:ascii="宋体"/>
                <w:color w:val="auto"/>
                <w:szCs w:val="21"/>
              </w:rPr>
            </w:pPr>
          </w:p>
        </w:tc>
        <w:tc>
          <w:tcPr>
            <w:tcW w:w="816" w:type="dxa"/>
          </w:tcPr>
          <w:p w14:paraId="4F82B972">
            <w:pPr>
              <w:rPr>
                <w:rFonts w:ascii="宋体"/>
                <w:color w:val="auto"/>
                <w:szCs w:val="21"/>
              </w:rPr>
            </w:pPr>
          </w:p>
        </w:tc>
        <w:tc>
          <w:tcPr>
            <w:tcW w:w="1079" w:type="dxa"/>
          </w:tcPr>
          <w:p w14:paraId="224FE0EE">
            <w:pPr>
              <w:rPr>
                <w:rFonts w:ascii="宋体"/>
                <w:color w:val="auto"/>
                <w:szCs w:val="21"/>
              </w:rPr>
            </w:pPr>
          </w:p>
        </w:tc>
        <w:tc>
          <w:tcPr>
            <w:tcW w:w="1259" w:type="dxa"/>
          </w:tcPr>
          <w:p w14:paraId="6DD9FA76">
            <w:pPr>
              <w:rPr>
                <w:rFonts w:ascii="宋体"/>
                <w:color w:val="auto"/>
                <w:szCs w:val="21"/>
              </w:rPr>
            </w:pPr>
          </w:p>
        </w:tc>
        <w:tc>
          <w:tcPr>
            <w:tcW w:w="973" w:type="dxa"/>
          </w:tcPr>
          <w:p w14:paraId="1D800770">
            <w:pPr>
              <w:rPr>
                <w:rFonts w:ascii="宋体"/>
                <w:color w:val="auto"/>
                <w:szCs w:val="21"/>
              </w:rPr>
            </w:pPr>
          </w:p>
        </w:tc>
        <w:tc>
          <w:tcPr>
            <w:tcW w:w="1079" w:type="dxa"/>
          </w:tcPr>
          <w:p w14:paraId="667AD736">
            <w:pPr>
              <w:rPr>
                <w:rFonts w:ascii="宋体"/>
                <w:color w:val="auto"/>
                <w:szCs w:val="21"/>
              </w:rPr>
            </w:pPr>
          </w:p>
        </w:tc>
        <w:tc>
          <w:tcPr>
            <w:tcW w:w="716" w:type="dxa"/>
          </w:tcPr>
          <w:p w14:paraId="6C7D8BA3">
            <w:pPr>
              <w:rPr>
                <w:rFonts w:ascii="宋体"/>
                <w:color w:val="auto"/>
                <w:szCs w:val="21"/>
              </w:rPr>
            </w:pPr>
          </w:p>
        </w:tc>
      </w:tr>
      <w:tr w14:paraId="3F37B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4" w:type="dxa"/>
          </w:tcPr>
          <w:p w14:paraId="6B85B766">
            <w:pPr>
              <w:rPr>
                <w:rFonts w:ascii="宋体"/>
                <w:color w:val="auto"/>
                <w:szCs w:val="21"/>
              </w:rPr>
            </w:pPr>
          </w:p>
        </w:tc>
        <w:tc>
          <w:tcPr>
            <w:tcW w:w="1184" w:type="dxa"/>
          </w:tcPr>
          <w:p w14:paraId="3817712C">
            <w:pPr>
              <w:rPr>
                <w:rFonts w:ascii="宋体"/>
                <w:color w:val="auto"/>
                <w:szCs w:val="21"/>
              </w:rPr>
            </w:pPr>
          </w:p>
        </w:tc>
        <w:tc>
          <w:tcPr>
            <w:tcW w:w="795" w:type="dxa"/>
          </w:tcPr>
          <w:p w14:paraId="1A5B7834">
            <w:pPr>
              <w:rPr>
                <w:rFonts w:ascii="宋体"/>
                <w:color w:val="auto"/>
                <w:szCs w:val="21"/>
              </w:rPr>
            </w:pPr>
          </w:p>
        </w:tc>
        <w:tc>
          <w:tcPr>
            <w:tcW w:w="816" w:type="dxa"/>
          </w:tcPr>
          <w:p w14:paraId="4895C95F">
            <w:pPr>
              <w:rPr>
                <w:rFonts w:ascii="宋体"/>
                <w:color w:val="auto"/>
                <w:szCs w:val="21"/>
              </w:rPr>
            </w:pPr>
          </w:p>
        </w:tc>
        <w:tc>
          <w:tcPr>
            <w:tcW w:w="816" w:type="dxa"/>
          </w:tcPr>
          <w:p w14:paraId="56249C6B">
            <w:pPr>
              <w:rPr>
                <w:rFonts w:ascii="宋体"/>
                <w:color w:val="auto"/>
                <w:szCs w:val="21"/>
              </w:rPr>
            </w:pPr>
          </w:p>
        </w:tc>
        <w:tc>
          <w:tcPr>
            <w:tcW w:w="1079" w:type="dxa"/>
          </w:tcPr>
          <w:p w14:paraId="7E3EE6A9">
            <w:pPr>
              <w:rPr>
                <w:rFonts w:ascii="宋体"/>
                <w:color w:val="auto"/>
                <w:szCs w:val="21"/>
              </w:rPr>
            </w:pPr>
          </w:p>
        </w:tc>
        <w:tc>
          <w:tcPr>
            <w:tcW w:w="1259" w:type="dxa"/>
          </w:tcPr>
          <w:p w14:paraId="72E4E108">
            <w:pPr>
              <w:rPr>
                <w:rFonts w:ascii="宋体"/>
                <w:color w:val="auto"/>
                <w:szCs w:val="21"/>
              </w:rPr>
            </w:pPr>
          </w:p>
        </w:tc>
        <w:tc>
          <w:tcPr>
            <w:tcW w:w="973" w:type="dxa"/>
          </w:tcPr>
          <w:p w14:paraId="3135C975">
            <w:pPr>
              <w:rPr>
                <w:rFonts w:ascii="宋体"/>
                <w:color w:val="auto"/>
                <w:szCs w:val="21"/>
              </w:rPr>
            </w:pPr>
          </w:p>
        </w:tc>
        <w:tc>
          <w:tcPr>
            <w:tcW w:w="1079" w:type="dxa"/>
          </w:tcPr>
          <w:p w14:paraId="0FBCAAB8">
            <w:pPr>
              <w:rPr>
                <w:rFonts w:ascii="宋体"/>
                <w:color w:val="auto"/>
                <w:szCs w:val="21"/>
              </w:rPr>
            </w:pPr>
          </w:p>
        </w:tc>
        <w:tc>
          <w:tcPr>
            <w:tcW w:w="716" w:type="dxa"/>
          </w:tcPr>
          <w:p w14:paraId="2AD08AC7">
            <w:pPr>
              <w:rPr>
                <w:rFonts w:ascii="宋体"/>
                <w:color w:val="auto"/>
                <w:szCs w:val="21"/>
              </w:rPr>
            </w:pPr>
          </w:p>
        </w:tc>
      </w:tr>
      <w:tr w14:paraId="12A59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724" w:type="dxa"/>
          </w:tcPr>
          <w:p w14:paraId="21C7C084">
            <w:pPr>
              <w:rPr>
                <w:rFonts w:ascii="宋体"/>
                <w:color w:val="auto"/>
                <w:szCs w:val="21"/>
              </w:rPr>
            </w:pPr>
          </w:p>
        </w:tc>
        <w:tc>
          <w:tcPr>
            <w:tcW w:w="1184" w:type="dxa"/>
          </w:tcPr>
          <w:p w14:paraId="166CC762">
            <w:pPr>
              <w:rPr>
                <w:rFonts w:ascii="宋体"/>
                <w:color w:val="auto"/>
                <w:szCs w:val="21"/>
              </w:rPr>
            </w:pPr>
          </w:p>
        </w:tc>
        <w:tc>
          <w:tcPr>
            <w:tcW w:w="795" w:type="dxa"/>
          </w:tcPr>
          <w:p w14:paraId="539F1BF6">
            <w:pPr>
              <w:rPr>
                <w:rFonts w:ascii="宋体"/>
                <w:color w:val="auto"/>
                <w:szCs w:val="21"/>
              </w:rPr>
            </w:pPr>
          </w:p>
        </w:tc>
        <w:tc>
          <w:tcPr>
            <w:tcW w:w="816" w:type="dxa"/>
          </w:tcPr>
          <w:p w14:paraId="5CB4A227">
            <w:pPr>
              <w:rPr>
                <w:rFonts w:ascii="宋体"/>
                <w:color w:val="auto"/>
                <w:szCs w:val="21"/>
              </w:rPr>
            </w:pPr>
          </w:p>
        </w:tc>
        <w:tc>
          <w:tcPr>
            <w:tcW w:w="816" w:type="dxa"/>
          </w:tcPr>
          <w:p w14:paraId="62B9F335">
            <w:pPr>
              <w:rPr>
                <w:rFonts w:ascii="宋体"/>
                <w:color w:val="auto"/>
                <w:szCs w:val="21"/>
              </w:rPr>
            </w:pPr>
          </w:p>
        </w:tc>
        <w:tc>
          <w:tcPr>
            <w:tcW w:w="1079" w:type="dxa"/>
          </w:tcPr>
          <w:p w14:paraId="1CA6A1A1">
            <w:pPr>
              <w:rPr>
                <w:rFonts w:ascii="宋体"/>
                <w:color w:val="auto"/>
                <w:szCs w:val="21"/>
              </w:rPr>
            </w:pPr>
          </w:p>
        </w:tc>
        <w:tc>
          <w:tcPr>
            <w:tcW w:w="1259" w:type="dxa"/>
          </w:tcPr>
          <w:p w14:paraId="28D24A9F">
            <w:pPr>
              <w:rPr>
                <w:rFonts w:ascii="宋体"/>
                <w:color w:val="auto"/>
                <w:szCs w:val="21"/>
              </w:rPr>
            </w:pPr>
          </w:p>
        </w:tc>
        <w:tc>
          <w:tcPr>
            <w:tcW w:w="973" w:type="dxa"/>
          </w:tcPr>
          <w:p w14:paraId="6891A1D6">
            <w:pPr>
              <w:rPr>
                <w:rFonts w:ascii="宋体"/>
                <w:color w:val="auto"/>
                <w:szCs w:val="21"/>
              </w:rPr>
            </w:pPr>
          </w:p>
        </w:tc>
        <w:tc>
          <w:tcPr>
            <w:tcW w:w="1079" w:type="dxa"/>
          </w:tcPr>
          <w:p w14:paraId="07AD867B">
            <w:pPr>
              <w:rPr>
                <w:rFonts w:ascii="宋体"/>
                <w:color w:val="auto"/>
                <w:szCs w:val="21"/>
              </w:rPr>
            </w:pPr>
          </w:p>
        </w:tc>
        <w:tc>
          <w:tcPr>
            <w:tcW w:w="716" w:type="dxa"/>
          </w:tcPr>
          <w:p w14:paraId="5C6633BC">
            <w:pPr>
              <w:rPr>
                <w:rFonts w:ascii="宋体"/>
                <w:color w:val="auto"/>
                <w:szCs w:val="21"/>
              </w:rPr>
            </w:pPr>
          </w:p>
        </w:tc>
      </w:tr>
      <w:tr w14:paraId="6D4D6F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724" w:type="dxa"/>
          </w:tcPr>
          <w:p w14:paraId="52454319">
            <w:pPr>
              <w:rPr>
                <w:rFonts w:ascii="宋体"/>
                <w:color w:val="auto"/>
                <w:szCs w:val="21"/>
              </w:rPr>
            </w:pPr>
          </w:p>
        </w:tc>
        <w:tc>
          <w:tcPr>
            <w:tcW w:w="1184" w:type="dxa"/>
          </w:tcPr>
          <w:p w14:paraId="29D86A44">
            <w:pPr>
              <w:rPr>
                <w:rFonts w:ascii="宋体"/>
                <w:color w:val="auto"/>
                <w:szCs w:val="21"/>
              </w:rPr>
            </w:pPr>
          </w:p>
        </w:tc>
        <w:tc>
          <w:tcPr>
            <w:tcW w:w="795" w:type="dxa"/>
          </w:tcPr>
          <w:p w14:paraId="3BA44128">
            <w:pPr>
              <w:rPr>
                <w:rFonts w:ascii="宋体"/>
                <w:color w:val="auto"/>
                <w:szCs w:val="21"/>
              </w:rPr>
            </w:pPr>
          </w:p>
        </w:tc>
        <w:tc>
          <w:tcPr>
            <w:tcW w:w="816" w:type="dxa"/>
          </w:tcPr>
          <w:p w14:paraId="705B9B81">
            <w:pPr>
              <w:rPr>
                <w:rFonts w:ascii="宋体"/>
                <w:color w:val="auto"/>
                <w:szCs w:val="21"/>
              </w:rPr>
            </w:pPr>
          </w:p>
        </w:tc>
        <w:tc>
          <w:tcPr>
            <w:tcW w:w="816" w:type="dxa"/>
          </w:tcPr>
          <w:p w14:paraId="4D74F36C">
            <w:pPr>
              <w:rPr>
                <w:rFonts w:ascii="宋体"/>
                <w:color w:val="auto"/>
                <w:szCs w:val="21"/>
              </w:rPr>
            </w:pPr>
          </w:p>
        </w:tc>
        <w:tc>
          <w:tcPr>
            <w:tcW w:w="1079" w:type="dxa"/>
          </w:tcPr>
          <w:p w14:paraId="0FBB6B73">
            <w:pPr>
              <w:rPr>
                <w:rFonts w:ascii="宋体"/>
                <w:color w:val="auto"/>
                <w:szCs w:val="21"/>
              </w:rPr>
            </w:pPr>
          </w:p>
        </w:tc>
        <w:tc>
          <w:tcPr>
            <w:tcW w:w="1259" w:type="dxa"/>
          </w:tcPr>
          <w:p w14:paraId="5B58FA41">
            <w:pPr>
              <w:rPr>
                <w:rFonts w:ascii="宋体"/>
                <w:color w:val="auto"/>
                <w:szCs w:val="21"/>
              </w:rPr>
            </w:pPr>
          </w:p>
        </w:tc>
        <w:tc>
          <w:tcPr>
            <w:tcW w:w="973" w:type="dxa"/>
          </w:tcPr>
          <w:p w14:paraId="3EC47A4A">
            <w:pPr>
              <w:rPr>
                <w:rFonts w:ascii="宋体"/>
                <w:color w:val="auto"/>
                <w:szCs w:val="21"/>
              </w:rPr>
            </w:pPr>
          </w:p>
        </w:tc>
        <w:tc>
          <w:tcPr>
            <w:tcW w:w="1079" w:type="dxa"/>
          </w:tcPr>
          <w:p w14:paraId="1B7C88BE">
            <w:pPr>
              <w:rPr>
                <w:rFonts w:ascii="宋体"/>
                <w:color w:val="auto"/>
                <w:szCs w:val="21"/>
              </w:rPr>
            </w:pPr>
          </w:p>
        </w:tc>
        <w:tc>
          <w:tcPr>
            <w:tcW w:w="716" w:type="dxa"/>
          </w:tcPr>
          <w:p w14:paraId="75AA3AEA">
            <w:pPr>
              <w:rPr>
                <w:rFonts w:ascii="宋体"/>
                <w:color w:val="auto"/>
                <w:szCs w:val="21"/>
              </w:rPr>
            </w:pPr>
          </w:p>
        </w:tc>
      </w:tr>
      <w:tr w14:paraId="514B64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5" w:hRule="atLeast"/>
        </w:trPr>
        <w:tc>
          <w:tcPr>
            <w:tcW w:w="724" w:type="dxa"/>
          </w:tcPr>
          <w:p w14:paraId="6BA97728">
            <w:pPr>
              <w:rPr>
                <w:rFonts w:ascii="宋体"/>
                <w:color w:val="auto"/>
                <w:szCs w:val="21"/>
              </w:rPr>
            </w:pPr>
          </w:p>
        </w:tc>
        <w:tc>
          <w:tcPr>
            <w:tcW w:w="1184" w:type="dxa"/>
          </w:tcPr>
          <w:p w14:paraId="5BA8A682">
            <w:pPr>
              <w:rPr>
                <w:rFonts w:ascii="宋体"/>
                <w:color w:val="auto"/>
                <w:szCs w:val="21"/>
              </w:rPr>
            </w:pPr>
          </w:p>
        </w:tc>
        <w:tc>
          <w:tcPr>
            <w:tcW w:w="795" w:type="dxa"/>
          </w:tcPr>
          <w:p w14:paraId="29EE30F8">
            <w:pPr>
              <w:rPr>
                <w:rFonts w:ascii="宋体"/>
                <w:color w:val="auto"/>
                <w:szCs w:val="21"/>
              </w:rPr>
            </w:pPr>
          </w:p>
        </w:tc>
        <w:tc>
          <w:tcPr>
            <w:tcW w:w="816" w:type="dxa"/>
          </w:tcPr>
          <w:p w14:paraId="5E1FDD44">
            <w:pPr>
              <w:rPr>
                <w:rFonts w:ascii="宋体"/>
                <w:color w:val="auto"/>
                <w:szCs w:val="21"/>
              </w:rPr>
            </w:pPr>
          </w:p>
        </w:tc>
        <w:tc>
          <w:tcPr>
            <w:tcW w:w="816" w:type="dxa"/>
          </w:tcPr>
          <w:p w14:paraId="7AA8E7BB">
            <w:pPr>
              <w:rPr>
                <w:rFonts w:ascii="宋体"/>
                <w:color w:val="auto"/>
                <w:szCs w:val="21"/>
              </w:rPr>
            </w:pPr>
          </w:p>
        </w:tc>
        <w:tc>
          <w:tcPr>
            <w:tcW w:w="1079" w:type="dxa"/>
          </w:tcPr>
          <w:p w14:paraId="79A8090B">
            <w:pPr>
              <w:rPr>
                <w:rFonts w:ascii="宋体"/>
                <w:color w:val="auto"/>
                <w:szCs w:val="21"/>
              </w:rPr>
            </w:pPr>
          </w:p>
        </w:tc>
        <w:tc>
          <w:tcPr>
            <w:tcW w:w="1259" w:type="dxa"/>
          </w:tcPr>
          <w:p w14:paraId="65C75B67">
            <w:pPr>
              <w:rPr>
                <w:rFonts w:ascii="宋体"/>
                <w:color w:val="auto"/>
                <w:szCs w:val="21"/>
              </w:rPr>
            </w:pPr>
          </w:p>
        </w:tc>
        <w:tc>
          <w:tcPr>
            <w:tcW w:w="973" w:type="dxa"/>
          </w:tcPr>
          <w:p w14:paraId="13174573">
            <w:pPr>
              <w:rPr>
                <w:rFonts w:ascii="宋体"/>
                <w:color w:val="auto"/>
                <w:szCs w:val="21"/>
              </w:rPr>
            </w:pPr>
          </w:p>
        </w:tc>
        <w:tc>
          <w:tcPr>
            <w:tcW w:w="1079" w:type="dxa"/>
          </w:tcPr>
          <w:p w14:paraId="601D316C">
            <w:pPr>
              <w:rPr>
                <w:rFonts w:ascii="宋体"/>
                <w:color w:val="auto"/>
                <w:szCs w:val="21"/>
              </w:rPr>
            </w:pPr>
          </w:p>
        </w:tc>
        <w:tc>
          <w:tcPr>
            <w:tcW w:w="716" w:type="dxa"/>
          </w:tcPr>
          <w:p w14:paraId="0866D262">
            <w:pPr>
              <w:rPr>
                <w:rFonts w:ascii="宋体"/>
                <w:color w:val="auto"/>
                <w:szCs w:val="21"/>
              </w:rPr>
            </w:pPr>
          </w:p>
        </w:tc>
      </w:tr>
    </w:tbl>
    <w:p w14:paraId="0580A548">
      <w:pPr>
        <w:pStyle w:val="151"/>
        <w:rPr>
          <w:color w:val="auto"/>
        </w:rPr>
      </w:pPr>
    </w:p>
    <w:p w14:paraId="547006E7">
      <w:pPr>
        <w:spacing w:before="135" w:line="186" w:lineRule="auto"/>
        <w:rPr>
          <w:rFonts w:ascii="宋体" w:hAnsi="宋体" w:cs="宋体"/>
          <w:color w:val="auto"/>
          <w:spacing w:val="-11"/>
          <w:sz w:val="28"/>
          <w:szCs w:val="28"/>
        </w:rPr>
      </w:pPr>
    </w:p>
    <w:p w14:paraId="0191A645">
      <w:pPr>
        <w:spacing w:before="135" w:line="186" w:lineRule="auto"/>
        <w:ind w:firstLine="147"/>
        <w:rPr>
          <w:rFonts w:ascii="宋体" w:hAnsi="宋体" w:cs="宋体"/>
          <w:color w:val="auto"/>
          <w:sz w:val="28"/>
          <w:szCs w:val="28"/>
        </w:rPr>
      </w:pPr>
      <w:r>
        <w:rPr>
          <w:rFonts w:ascii="宋体" w:hAnsi="宋体" w:cs="宋体"/>
          <w:color w:val="auto"/>
          <w:spacing w:val="-11"/>
          <w:sz w:val="28"/>
          <w:szCs w:val="28"/>
        </w:rPr>
        <w:t>附表二：</w:t>
      </w:r>
      <w:r>
        <w:rPr>
          <w:rFonts w:ascii="宋体" w:hAnsi="宋体" w:cs="宋体"/>
          <w:color w:val="auto"/>
          <w:spacing w:val="79"/>
          <w:sz w:val="28"/>
          <w:szCs w:val="28"/>
        </w:rPr>
        <w:t xml:space="preserve"> </w:t>
      </w:r>
      <w:r>
        <w:rPr>
          <w:rFonts w:ascii="宋体" w:hAnsi="宋体" w:cs="宋体"/>
          <w:color w:val="auto"/>
          <w:spacing w:val="-11"/>
          <w:sz w:val="28"/>
          <w:szCs w:val="28"/>
        </w:rPr>
        <w:t>拟配备本工程的试验和检测仪器设备表</w:t>
      </w:r>
    </w:p>
    <w:p w14:paraId="60DE73F0">
      <w:pPr>
        <w:spacing w:line="40" w:lineRule="exact"/>
        <w:rPr>
          <w:color w:val="auto"/>
        </w:rPr>
      </w:pPr>
    </w:p>
    <w:tbl>
      <w:tblPr>
        <w:tblStyle w:val="177"/>
        <w:tblW w:w="96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1701"/>
        <w:gridCol w:w="1125"/>
        <w:gridCol w:w="675"/>
        <w:gridCol w:w="1069"/>
        <w:gridCol w:w="1125"/>
        <w:gridCol w:w="1631"/>
        <w:gridCol w:w="844"/>
        <w:gridCol w:w="854"/>
      </w:tblGrid>
      <w:tr w14:paraId="3734E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43" w:type="dxa"/>
            <w:vAlign w:val="center"/>
          </w:tcPr>
          <w:p w14:paraId="00EC4C54">
            <w:pPr>
              <w:spacing w:before="36" w:line="184" w:lineRule="auto"/>
              <w:ind w:firstLine="112"/>
              <w:jc w:val="center"/>
              <w:rPr>
                <w:rFonts w:ascii="宋体" w:hAnsi="宋体" w:cs="宋体"/>
                <w:color w:val="auto"/>
                <w:szCs w:val="21"/>
              </w:rPr>
            </w:pPr>
            <w:r>
              <w:rPr>
                <w:rFonts w:ascii="宋体" w:hAnsi="宋体" w:cs="宋体"/>
                <w:color w:val="auto"/>
                <w:spacing w:val="-5"/>
                <w:szCs w:val="21"/>
              </w:rPr>
              <w:t>序号</w:t>
            </w:r>
          </w:p>
        </w:tc>
        <w:tc>
          <w:tcPr>
            <w:tcW w:w="1701" w:type="dxa"/>
            <w:vAlign w:val="center"/>
          </w:tcPr>
          <w:p w14:paraId="537ADEAB">
            <w:pPr>
              <w:spacing w:before="36" w:line="184" w:lineRule="auto"/>
              <w:ind w:firstLine="106"/>
              <w:jc w:val="center"/>
              <w:rPr>
                <w:rFonts w:ascii="宋体" w:hAnsi="宋体" w:cs="宋体"/>
                <w:color w:val="auto"/>
                <w:szCs w:val="21"/>
              </w:rPr>
            </w:pPr>
            <w:r>
              <w:rPr>
                <w:rFonts w:ascii="宋体" w:hAnsi="宋体" w:cs="宋体"/>
                <w:color w:val="auto"/>
                <w:spacing w:val="-2"/>
                <w:szCs w:val="21"/>
              </w:rPr>
              <w:t>仪器设备名称</w:t>
            </w:r>
          </w:p>
        </w:tc>
        <w:tc>
          <w:tcPr>
            <w:tcW w:w="1125" w:type="dxa"/>
            <w:vAlign w:val="center"/>
          </w:tcPr>
          <w:p w14:paraId="6B1415D6">
            <w:pPr>
              <w:spacing w:before="36" w:line="184" w:lineRule="auto"/>
              <w:ind w:firstLine="114"/>
              <w:jc w:val="center"/>
              <w:rPr>
                <w:rFonts w:ascii="宋体" w:hAnsi="宋体" w:cs="宋体"/>
                <w:color w:val="auto"/>
                <w:szCs w:val="21"/>
              </w:rPr>
            </w:pPr>
            <w:r>
              <w:rPr>
                <w:rFonts w:ascii="宋体" w:hAnsi="宋体" w:cs="宋体"/>
                <w:color w:val="auto"/>
                <w:spacing w:val="-4"/>
                <w:szCs w:val="21"/>
              </w:rPr>
              <w:t>型号规格</w:t>
            </w:r>
          </w:p>
        </w:tc>
        <w:tc>
          <w:tcPr>
            <w:tcW w:w="675" w:type="dxa"/>
            <w:vAlign w:val="center"/>
          </w:tcPr>
          <w:p w14:paraId="0730912A">
            <w:pPr>
              <w:spacing w:before="36" w:line="184" w:lineRule="auto"/>
              <w:ind w:firstLine="110"/>
              <w:jc w:val="center"/>
              <w:rPr>
                <w:rFonts w:ascii="宋体" w:hAnsi="宋体" w:cs="宋体"/>
                <w:color w:val="auto"/>
                <w:szCs w:val="21"/>
              </w:rPr>
            </w:pPr>
            <w:r>
              <w:rPr>
                <w:rFonts w:ascii="宋体" w:hAnsi="宋体" w:cs="宋体"/>
                <w:color w:val="auto"/>
                <w:spacing w:val="-6"/>
                <w:szCs w:val="21"/>
              </w:rPr>
              <w:t>数量</w:t>
            </w:r>
          </w:p>
        </w:tc>
        <w:tc>
          <w:tcPr>
            <w:tcW w:w="1069" w:type="dxa"/>
            <w:vAlign w:val="center"/>
          </w:tcPr>
          <w:p w14:paraId="74CFE49C">
            <w:pPr>
              <w:spacing w:before="36" w:line="184" w:lineRule="auto"/>
              <w:ind w:firstLine="130"/>
              <w:jc w:val="center"/>
              <w:rPr>
                <w:rFonts w:ascii="宋体" w:hAnsi="宋体" w:cs="宋体"/>
                <w:color w:val="auto"/>
                <w:szCs w:val="21"/>
              </w:rPr>
            </w:pPr>
            <w:r>
              <w:rPr>
                <w:rFonts w:ascii="宋体" w:hAnsi="宋体" w:cs="宋体"/>
                <w:color w:val="auto"/>
                <w:spacing w:val="-8"/>
                <w:szCs w:val="21"/>
              </w:rPr>
              <w:t>国别产地</w:t>
            </w:r>
          </w:p>
        </w:tc>
        <w:tc>
          <w:tcPr>
            <w:tcW w:w="1125" w:type="dxa"/>
            <w:vAlign w:val="center"/>
          </w:tcPr>
          <w:p w14:paraId="4679C220">
            <w:pPr>
              <w:spacing w:before="36" w:line="184" w:lineRule="auto"/>
              <w:ind w:firstLine="111"/>
              <w:jc w:val="center"/>
              <w:rPr>
                <w:rFonts w:ascii="宋体" w:hAnsi="宋体" w:cs="宋体"/>
                <w:color w:val="auto"/>
                <w:szCs w:val="21"/>
              </w:rPr>
            </w:pPr>
            <w:r>
              <w:rPr>
                <w:rFonts w:ascii="宋体" w:hAnsi="宋体" w:cs="宋体"/>
                <w:color w:val="auto"/>
                <w:spacing w:val="-3"/>
                <w:szCs w:val="21"/>
              </w:rPr>
              <w:t>制造年份</w:t>
            </w:r>
          </w:p>
        </w:tc>
        <w:tc>
          <w:tcPr>
            <w:tcW w:w="1631" w:type="dxa"/>
            <w:vAlign w:val="center"/>
          </w:tcPr>
          <w:p w14:paraId="59936319">
            <w:pPr>
              <w:spacing w:before="36" w:line="184" w:lineRule="auto"/>
              <w:ind w:firstLine="224"/>
              <w:jc w:val="center"/>
              <w:rPr>
                <w:rFonts w:ascii="宋体" w:hAnsi="宋体" w:cs="宋体"/>
                <w:color w:val="auto"/>
                <w:szCs w:val="21"/>
              </w:rPr>
            </w:pPr>
            <w:r>
              <w:rPr>
                <w:rFonts w:hint="eastAsia" w:ascii="宋体" w:hAnsi="宋体" w:cs="宋体"/>
                <w:color w:val="auto"/>
                <w:spacing w:val="-6"/>
                <w:szCs w:val="21"/>
              </w:rPr>
              <w:t>已</w:t>
            </w:r>
            <w:r>
              <w:rPr>
                <w:rFonts w:ascii="宋体" w:hAnsi="宋体" w:cs="宋体"/>
                <w:color w:val="auto"/>
                <w:spacing w:val="-6"/>
                <w:szCs w:val="21"/>
              </w:rPr>
              <w:t>使用台时数</w:t>
            </w:r>
          </w:p>
        </w:tc>
        <w:tc>
          <w:tcPr>
            <w:tcW w:w="844" w:type="dxa"/>
            <w:vAlign w:val="center"/>
          </w:tcPr>
          <w:p w14:paraId="54E9DD94">
            <w:pPr>
              <w:spacing w:before="36" w:line="184" w:lineRule="auto"/>
              <w:ind w:firstLine="295"/>
              <w:jc w:val="center"/>
              <w:rPr>
                <w:rFonts w:ascii="宋体" w:hAnsi="宋体" w:cs="宋体"/>
                <w:color w:val="auto"/>
                <w:szCs w:val="21"/>
              </w:rPr>
            </w:pPr>
            <w:r>
              <w:rPr>
                <w:rFonts w:ascii="宋体" w:hAnsi="宋体" w:cs="宋体"/>
                <w:color w:val="auto"/>
                <w:spacing w:val="-6"/>
                <w:szCs w:val="21"/>
              </w:rPr>
              <w:t>用途</w:t>
            </w:r>
          </w:p>
        </w:tc>
        <w:tc>
          <w:tcPr>
            <w:tcW w:w="854" w:type="dxa"/>
            <w:vAlign w:val="center"/>
          </w:tcPr>
          <w:p w14:paraId="3109C054">
            <w:pPr>
              <w:spacing w:before="36" w:line="184" w:lineRule="auto"/>
              <w:ind w:firstLine="345"/>
              <w:jc w:val="center"/>
              <w:rPr>
                <w:rFonts w:ascii="宋体" w:hAnsi="宋体" w:cs="宋体"/>
                <w:color w:val="auto"/>
                <w:szCs w:val="21"/>
              </w:rPr>
            </w:pPr>
            <w:r>
              <w:rPr>
                <w:rFonts w:ascii="宋体" w:hAnsi="宋体" w:cs="宋体"/>
                <w:color w:val="auto"/>
                <w:spacing w:val="-6"/>
                <w:szCs w:val="21"/>
              </w:rPr>
              <w:t>备注</w:t>
            </w:r>
          </w:p>
        </w:tc>
      </w:tr>
      <w:tr w14:paraId="6C32B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666F2CA1">
            <w:pPr>
              <w:jc w:val="center"/>
              <w:rPr>
                <w:rFonts w:ascii="宋体"/>
                <w:color w:val="auto"/>
                <w:szCs w:val="21"/>
              </w:rPr>
            </w:pPr>
          </w:p>
        </w:tc>
        <w:tc>
          <w:tcPr>
            <w:tcW w:w="1701" w:type="dxa"/>
          </w:tcPr>
          <w:p w14:paraId="66D04D5C">
            <w:pPr>
              <w:jc w:val="center"/>
              <w:rPr>
                <w:rFonts w:ascii="宋体"/>
                <w:color w:val="auto"/>
                <w:szCs w:val="21"/>
              </w:rPr>
            </w:pPr>
          </w:p>
        </w:tc>
        <w:tc>
          <w:tcPr>
            <w:tcW w:w="1125" w:type="dxa"/>
          </w:tcPr>
          <w:p w14:paraId="15A105A6">
            <w:pPr>
              <w:jc w:val="center"/>
              <w:rPr>
                <w:rFonts w:ascii="宋体"/>
                <w:color w:val="auto"/>
                <w:szCs w:val="21"/>
              </w:rPr>
            </w:pPr>
          </w:p>
        </w:tc>
        <w:tc>
          <w:tcPr>
            <w:tcW w:w="675" w:type="dxa"/>
          </w:tcPr>
          <w:p w14:paraId="09A67DBD">
            <w:pPr>
              <w:jc w:val="center"/>
              <w:rPr>
                <w:rFonts w:ascii="宋体"/>
                <w:color w:val="auto"/>
                <w:szCs w:val="21"/>
              </w:rPr>
            </w:pPr>
          </w:p>
        </w:tc>
        <w:tc>
          <w:tcPr>
            <w:tcW w:w="1069" w:type="dxa"/>
          </w:tcPr>
          <w:p w14:paraId="7D872D6A">
            <w:pPr>
              <w:jc w:val="center"/>
              <w:rPr>
                <w:rFonts w:ascii="宋体"/>
                <w:color w:val="auto"/>
                <w:szCs w:val="21"/>
              </w:rPr>
            </w:pPr>
          </w:p>
        </w:tc>
        <w:tc>
          <w:tcPr>
            <w:tcW w:w="1125" w:type="dxa"/>
          </w:tcPr>
          <w:p w14:paraId="3B57DC49">
            <w:pPr>
              <w:jc w:val="center"/>
              <w:rPr>
                <w:rFonts w:ascii="宋体"/>
                <w:color w:val="auto"/>
                <w:szCs w:val="21"/>
              </w:rPr>
            </w:pPr>
          </w:p>
        </w:tc>
        <w:tc>
          <w:tcPr>
            <w:tcW w:w="1631" w:type="dxa"/>
          </w:tcPr>
          <w:p w14:paraId="14829317">
            <w:pPr>
              <w:jc w:val="center"/>
              <w:rPr>
                <w:rFonts w:ascii="宋体"/>
                <w:color w:val="auto"/>
                <w:szCs w:val="21"/>
              </w:rPr>
            </w:pPr>
          </w:p>
        </w:tc>
        <w:tc>
          <w:tcPr>
            <w:tcW w:w="844" w:type="dxa"/>
          </w:tcPr>
          <w:p w14:paraId="76036E19">
            <w:pPr>
              <w:jc w:val="center"/>
              <w:rPr>
                <w:rFonts w:ascii="宋体"/>
                <w:color w:val="auto"/>
                <w:szCs w:val="21"/>
              </w:rPr>
            </w:pPr>
          </w:p>
        </w:tc>
        <w:tc>
          <w:tcPr>
            <w:tcW w:w="854" w:type="dxa"/>
          </w:tcPr>
          <w:p w14:paraId="6CBECAB6">
            <w:pPr>
              <w:jc w:val="center"/>
              <w:rPr>
                <w:rFonts w:ascii="宋体"/>
                <w:color w:val="auto"/>
                <w:szCs w:val="21"/>
              </w:rPr>
            </w:pPr>
          </w:p>
        </w:tc>
      </w:tr>
      <w:tr w14:paraId="7C638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51E56755">
            <w:pPr>
              <w:rPr>
                <w:rFonts w:ascii="宋体"/>
                <w:color w:val="auto"/>
                <w:szCs w:val="21"/>
              </w:rPr>
            </w:pPr>
          </w:p>
        </w:tc>
        <w:tc>
          <w:tcPr>
            <w:tcW w:w="1701" w:type="dxa"/>
          </w:tcPr>
          <w:p w14:paraId="70C3A5A1">
            <w:pPr>
              <w:rPr>
                <w:rFonts w:ascii="宋体"/>
                <w:color w:val="auto"/>
                <w:szCs w:val="21"/>
              </w:rPr>
            </w:pPr>
          </w:p>
        </w:tc>
        <w:tc>
          <w:tcPr>
            <w:tcW w:w="1125" w:type="dxa"/>
          </w:tcPr>
          <w:p w14:paraId="3B850B2C">
            <w:pPr>
              <w:rPr>
                <w:rFonts w:ascii="宋体"/>
                <w:color w:val="auto"/>
                <w:szCs w:val="21"/>
              </w:rPr>
            </w:pPr>
          </w:p>
        </w:tc>
        <w:tc>
          <w:tcPr>
            <w:tcW w:w="675" w:type="dxa"/>
          </w:tcPr>
          <w:p w14:paraId="5F1A46D6">
            <w:pPr>
              <w:rPr>
                <w:rFonts w:ascii="宋体"/>
                <w:color w:val="auto"/>
                <w:szCs w:val="21"/>
              </w:rPr>
            </w:pPr>
          </w:p>
        </w:tc>
        <w:tc>
          <w:tcPr>
            <w:tcW w:w="1069" w:type="dxa"/>
          </w:tcPr>
          <w:p w14:paraId="546846FF">
            <w:pPr>
              <w:rPr>
                <w:rFonts w:ascii="宋体"/>
                <w:color w:val="auto"/>
                <w:szCs w:val="21"/>
              </w:rPr>
            </w:pPr>
          </w:p>
        </w:tc>
        <w:tc>
          <w:tcPr>
            <w:tcW w:w="1125" w:type="dxa"/>
          </w:tcPr>
          <w:p w14:paraId="654162C2">
            <w:pPr>
              <w:rPr>
                <w:rFonts w:ascii="宋体"/>
                <w:color w:val="auto"/>
                <w:szCs w:val="21"/>
              </w:rPr>
            </w:pPr>
          </w:p>
        </w:tc>
        <w:tc>
          <w:tcPr>
            <w:tcW w:w="1631" w:type="dxa"/>
          </w:tcPr>
          <w:p w14:paraId="563E9104">
            <w:pPr>
              <w:rPr>
                <w:rFonts w:ascii="宋体"/>
                <w:color w:val="auto"/>
                <w:szCs w:val="21"/>
              </w:rPr>
            </w:pPr>
          </w:p>
        </w:tc>
        <w:tc>
          <w:tcPr>
            <w:tcW w:w="844" w:type="dxa"/>
          </w:tcPr>
          <w:p w14:paraId="7952A69B">
            <w:pPr>
              <w:rPr>
                <w:rFonts w:ascii="宋体"/>
                <w:color w:val="auto"/>
                <w:szCs w:val="21"/>
              </w:rPr>
            </w:pPr>
          </w:p>
        </w:tc>
        <w:tc>
          <w:tcPr>
            <w:tcW w:w="854" w:type="dxa"/>
          </w:tcPr>
          <w:p w14:paraId="63856E73">
            <w:pPr>
              <w:rPr>
                <w:rFonts w:ascii="宋体"/>
                <w:color w:val="auto"/>
                <w:szCs w:val="21"/>
              </w:rPr>
            </w:pPr>
          </w:p>
        </w:tc>
      </w:tr>
      <w:tr w14:paraId="69DC6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49B0CF81">
            <w:pPr>
              <w:rPr>
                <w:rFonts w:ascii="宋体"/>
                <w:color w:val="auto"/>
                <w:szCs w:val="21"/>
              </w:rPr>
            </w:pPr>
          </w:p>
        </w:tc>
        <w:tc>
          <w:tcPr>
            <w:tcW w:w="1701" w:type="dxa"/>
          </w:tcPr>
          <w:p w14:paraId="77B23635">
            <w:pPr>
              <w:rPr>
                <w:rFonts w:ascii="宋体"/>
                <w:color w:val="auto"/>
                <w:szCs w:val="21"/>
              </w:rPr>
            </w:pPr>
          </w:p>
        </w:tc>
        <w:tc>
          <w:tcPr>
            <w:tcW w:w="1125" w:type="dxa"/>
          </w:tcPr>
          <w:p w14:paraId="037F014E">
            <w:pPr>
              <w:rPr>
                <w:rFonts w:ascii="宋体"/>
                <w:color w:val="auto"/>
                <w:szCs w:val="21"/>
              </w:rPr>
            </w:pPr>
          </w:p>
        </w:tc>
        <w:tc>
          <w:tcPr>
            <w:tcW w:w="675" w:type="dxa"/>
          </w:tcPr>
          <w:p w14:paraId="0D40DBF9">
            <w:pPr>
              <w:rPr>
                <w:rFonts w:ascii="宋体"/>
                <w:color w:val="auto"/>
                <w:szCs w:val="21"/>
              </w:rPr>
            </w:pPr>
          </w:p>
        </w:tc>
        <w:tc>
          <w:tcPr>
            <w:tcW w:w="1069" w:type="dxa"/>
          </w:tcPr>
          <w:p w14:paraId="63D65B0D">
            <w:pPr>
              <w:rPr>
                <w:rFonts w:ascii="宋体"/>
                <w:color w:val="auto"/>
                <w:szCs w:val="21"/>
              </w:rPr>
            </w:pPr>
          </w:p>
        </w:tc>
        <w:tc>
          <w:tcPr>
            <w:tcW w:w="1125" w:type="dxa"/>
          </w:tcPr>
          <w:p w14:paraId="2DFE38C7">
            <w:pPr>
              <w:rPr>
                <w:rFonts w:ascii="宋体"/>
                <w:color w:val="auto"/>
                <w:szCs w:val="21"/>
              </w:rPr>
            </w:pPr>
          </w:p>
        </w:tc>
        <w:tc>
          <w:tcPr>
            <w:tcW w:w="1631" w:type="dxa"/>
          </w:tcPr>
          <w:p w14:paraId="3A146E09">
            <w:pPr>
              <w:rPr>
                <w:rFonts w:ascii="宋体"/>
                <w:color w:val="auto"/>
                <w:szCs w:val="21"/>
              </w:rPr>
            </w:pPr>
          </w:p>
        </w:tc>
        <w:tc>
          <w:tcPr>
            <w:tcW w:w="844" w:type="dxa"/>
          </w:tcPr>
          <w:p w14:paraId="31BC1092">
            <w:pPr>
              <w:rPr>
                <w:rFonts w:ascii="宋体"/>
                <w:color w:val="auto"/>
                <w:szCs w:val="21"/>
              </w:rPr>
            </w:pPr>
          </w:p>
        </w:tc>
        <w:tc>
          <w:tcPr>
            <w:tcW w:w="854" w:type="dxa"/>
          </w:tcPr>
          <w:p w14:paraId="719C06CF">
            <w:pPr>
              <w:rPr>
                <w:rFonts w:ascii="宋体"/>
                <w:color w:val="auto"/>
                <w:szCs w:val="21"/>
              </w:rPr>
            </w:pPr>
          </w:p>
        </w:tc>
      </w:tr>
      <w:tr w14:paraId="0DB89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212D6017">
            <w:pPr>
              <w:rPr>
                <w:rFonts w:ascii="宋体"/>
                <w:color w:val="auto"/>
                <w:szCs w:val="21"/>
              </w:rPr>
            </w:pPr>
          </w:p>
        </w:tc>
        <w:tc>
          <w:tcPr>
            <w:tcW w:w="1701" w:type="dxa"/>
          </w:tcPr>
          <w:p w14:paraId="307315A7">
            <w:pPr>
              <w:rPr>
                <w:rFonts w:ascii="宋体"/>
                <w:color w:val="auto"/>
                <w:szCs w:val="21"/>
              </w:rPr>
            </w:pPr>
          </w:p>
        </w:tc>
        <w:tc>
          <w:tcPr>
            <w:tcW w:w="1125" w:type="dxa"/>
          </w:tcPr>
          <w:p w14:paraId="2FA8C662">
            <w:pPr>
              <w:rPr>
                <w:rFonts w:ascii="宋体"/>
                <w:color w:val="auto"/>
                <w:szCs w:val="21"/>
              </w:rPr>
            </w:pPr>
          </w:p>
        </w:tc>
        <w:tc>
          <w:tcPr>
            <w:tcW w:w="675" w:type="dxa"/>
          </w:tcPr>
          <w:p w14:paraId="7012300D">
            <w:pPr>
              <w:rPr>
                <w:rFonts w:ascii="宋体"/>
                <w:color w:val="auto"/>
                <w:szCs w:val="21"/>
              </w:rPr>
            </w:pPr>
          </w:p>
        </w:tc>
        <w:tc>
          <w:tcPr>
            <w:tcW w:w="1069" w:type="dxa"/>
          </w:tcPr>
          <w:p w14:paraId="7091E94B">
            <w:pPr>
              <w:rPr>
                <w:rFonts w:ascii="宋体"/>
                <w:color w:val="auto"/>
                <w:szCs w:val="21"/>
              </w:rPr>
            </w:pPr>
          </w:p>
        </w:tc>
        <w:tc>
          <w:tcPr>
            <w:tcW w:w="1125" w:type="dxa"/>
          </w:tcPr>
          <w:p w14:paraId="38F79FD3">
            <w:pPr>
              <w:rPr>
                <w:rFonts w:ascii="宋体"/>
                <w:color w:val="auto"/>
                <w:szCs w:val="21"/>
              </w:rPr>
            </w:pPr>
          </w:p>
        </w:tc>
        <w:tc>
          <w:tcPr>
            <w:tcW w:w="1631" w:type="dxa"/>
          </w:tcPr>
          <w:p w14:paraId="77AD1689">
            <w:pPr>
              <w:rPr>
                <w:rFonts w:ascii="宋体"/>
                <w:color w:val="auto"/>
                <w:szCs w:val="21"/>
              </w:rPr>
            </w:pPr>
          </w:p>
        </w:tc>
        <w:tc>
          <w:tcPr>
            <w:tcW w:w="844" w:type="dxa"/>
          </w:tcPr>
          <w:p w14:paraId="06493F31">
            <w:pPr>
              <w:rPr>
                <w:rFonts w:ascii="宋体"/>
                <w:color w:val="auto"/>
                <w:szCs w:val="21"/>
              </w:rPr>
            </w:pPr>
          </w:p>
        </w:tc>
        <w:tc>
          <w:tcPr>
            <w:tcW w:w="854" w:type="dxa"/>
          </w:tcPr>
          <w:p w14:paraId="202B7B71">
            <w:pPr>
              <w:rPr>
                <w:rFonts w:ascii="宋体"/>
                <w:color w:val="auto"/>
                <w:szCs w:val="21"/>
              </w:rPr>
            </w:pPr>
          </w:p>
        </w:tc>
      </w:tr>
      <w:tr w14:paraId="31D87D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3" w:type="dxa"/>
          </w:tcPr>
          <w:p w14:paraId="14A4E5B4">
            <w:pPr>
              <w:rPr>
                <w:rFonts w:ascii="宋体"/>
                <w:color w:val="auto"/>
                <w:szCs w:val="21"/>
              </w:rPr>
            </w:pPr>
          </w:p>
        </w:tc>
        <w:tc>
          <w:tcPr>
            <w:tcW w:w="1701" w:type="dxa"/>
          </w:tcPr>
          <w:p w14:paraId="321A2FD6">
            <w:pPr>
              <w:rPr>
                <w:rFonts w:ascii="宋体"/>
                <w:color w:val="auto"/>
                <w:szCs w:val="21"/>
              </w:rPr>
            </w:pPr>
          </w:p>
        </w:tc>
        <w:tc>
          <w:tcPr>
            <w:tcW w:w="1125" w:type="dxa"/>
          </w:tcPr>
          <w:p w14:paraId="73580A8A">
            <w:pPr>
              <w:rPr>
                <w:rFonts w:ascii="宋体"/>
                <w:color w:val="auto"/>
                <w:szCs w:val="21"/>
              </w:rPr>
            </w:pPr>
          </w:p>
        </w:tc>
        <w:tc>
          <w:tcPr>
            <w:tcW w:w="675" w:type="dxa"/>
          </w:tcPr>
          <w:p w14:paraId="0E652094">
            <w:pPr>
              <w:rPr>
                <w:rFonts w:ascii="宋体"/>
                <w:color w:val="auto"/>
                <w:szCs w:val="21"/>
              </w:rPr>
            </w:pPr>
          </w:p>
        </w:tc>
        <w:tc>
          <w:tcPr>
            <w:tcW w:w="1069" w:type="dxa"/>
          </w:tcPr>
          <w:p w14:paraId="4050D7E0">
            <w:pPr>
              <w:rPr>
                <w:rFonts w:ascii="宋体"/>
                <w:color w:val="auto"/>
                <w:szCs w:val="21"/>
              </w:rPr>
            </w:pPr>
          </w:p>
        </w:tc>
        <w:tc>
          <w:tcPr>
            <w:tcW w:w="1125" w:type="dxa"/>
          </w:tcPr>
          <w:p w14:paraId="45EF0B8F">
            <w:pPr>
              <w:rPr>
                <w:rFonts w:ascii="宋体"/>
                <w:color w:val="auto"/>
                <w:szCs w:val="21"/>
              </w:rPr>
            </w:pPr>
          </w:p>
        </w:tc>
        <w:tc>
          <w:tcPr>
            <w:tcW w:w="1631" w:type="dxa"/>
          </w:tcPr>
          <w:p w14:paraId="56D8C3B6">
            <w:pPr>
              <w:rPr>
                <w:rFonts w:ascii="宋体"/>
                <w:color w:val="auto"/>
                <w:szCs w:val="21"/>
              </w:rPr>
            </w:pPr>
          </w:p>
        </w:tc>
        <w:tc>
          <w:tcPr>
            <w:tcW w:w="844" w:type="dxa"/>
          </w:tcPr>
          <w:p w14:paraId="5CFD672E">
            <w:pPr>
              <w:rPr>
                <w:rFonts w:ascii="宋体"/>
                <w:color w:val="auto"/>
                <w:szCs w:val="21"/>
              </w:rPr>
            </w:pPr>
          </w:p>
        </w:tc>
        <w:tc>
          <w:tcPr>
            <w:tcW w:w="854" w:type="dxa"/>
          </w:tcPr>
          <w:p w14:paraId="3A7A833B">
            <w:pPr>
              <w:rPr>
                <w:rFonts w:ascii="宋体"/>
                <w:color w:val="auto"/>
                <w:szCs w:val="21"/>
              </w:rPr>
            </w:pPr>
          </w:p>
        </w:tc>
      </w:tr>
      <w:tr w14:paraId="7771F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3" w:type="dxa"/>
          </w:tcPr>
          <w:p w14:paraId="322CF476">
            <w:pPr>
              <w:rPr>
                <w:rFonts w:ascii="宋体"/>
                <w:color w:val="auto"/>
                <w:szCs w:val="21"/>
              </w:rPr>
            </w:pPr>
          </w:p>
        </w:tc>
        <w:tc>
          <w:tcPr>
            <w:tcW w:w="1701" w:type="dxa"/>
          </w:tcPr>
          <w:p w14:paraId="40C96887">
            <w:pPr>
              <w:rPr>
                <w:rFonts w:ascii="宋体"/>
                <w:color w:val="auto"/>
                <w:szCs w:val="21"/>
              </w:rPr>
            </w:pPr>
          </w:p>
        </w:tc>
        <w:tc>
          <w:tcPr>
            <w:tcW w:w="1125" w:type="dxa"/>
          </w:tcPr>
          <w:p w14:paraId="00A684D4">
            <w:pPr>
              <w:rPr>
                <w:rFonts w:ascii="宋体"/>
                <w:color w:val="auto"/>
                <w:szCs w:val="21"/>
              </w:rPr>
            </w:pPr>
          </w:p>
        </w:tc>
        <w:tc>
          <w:tcPr>
            <w:tcW w:w="675" w:type="dxa"/>
          </w:tcPr>
          <w:p w14:paraId="524A165E">
            <w:pPr>
              <w:rPr>
                <w:rFonts w:ascii="宋体"/>
                <w:color w:val="auto"/>
                <w:szCs w:val="21"/>
              </w:rPr>
            </w:pPr>
          </w:p>
        </w:tc>
        <w:tc>
          <w:tcPr>
            <w:tcW w:w="1069" w:type="dxa"/>
          </w:tcPr>
          <w:p w14:paraId="174F43FD">
            <w:pPr>
              <w:rPr>
                <w:rFonts w:ascii="宋体"/>
                <w:color w:val="auto"/>
                <w:szCs w:val="21"/>
              </w:rPr>
            </w:pPr>
          </w:p>
        </w:tc>
        <w:tc>
          <w:tcPr>
            <w:tcW w:w="1125" w:type="dxa"/>
          </w:tcPr>
          <w:p w14:paraId="6BCDE82E">
            <w:pPr>
              <w:rPr>
                <w:rFonts w:ascii="宋体"/>
                <w:color w:val="auto"/>
                <w:szCs w:val="21"/>
              </w:rPr>
            </w:pPr>
          </w:p>
        </w:tc>
        <w:tc>
          <w:tcPr>
            <w:tcW w:w="1631" w:type="dxa"/>
          </w:tcPr>
          <w:p w14:paraId="33880C54">
            <w:pPr>
              <w:rPr>
                <w:rFonts w:ascii="宋体"/>
                <w:color w:val="auto"/>
                <w:szCs w:val="21"/>
              </w:rPr>
            </w:pPr>
          </w:p>
        </w:tc>
        <w:tc>
          <w:tcPr>
            <w:tcW w:w="844" w:type="dxa"/>
          </w:tcPr>
          <w:p w14:paraId="017C88CB">
            <w:pPr>
              <w:rPr>
                <w:rFonts w:ascii="宋体"/>
                <w:color w:val="auto"/>
                <w:szCs w:val="21"/>
              </w:rPr>
            </w:pPr>
          </w:p>
        </w:tc>
        <w:tc>
          <w:tcPr>
            <w:tcW w:w="854" w:type="dxa"/>
          </w:tcPr>
          <w:p w14:paraId="723C5346">
            <w:pPr>
              <w:rPr>
                <w:rFonts w:ascii="宋体"/>
                <w:color w:val="auto"/>
                <w:szCs w:val="21"/>
              </w:rPr>
            </w:pPr>
          </w:p>
        </w:tc>
      </w:tr>
      <w:tr w14:paraId="7171F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3" w:type="dxa"/>
          </w:tcPr>
          <w:p w14:paraId="67D2498E">
            <w:pPr>
              <w:rPr>
                <w:rFonts w:ascii="宋体"/>
                <w:color w:val="auto"/>
                <w:szCs w:val="21"/>
              </w:rPr>
            </w:pPr>
          </w:p>
        </w:tc>
        <w:tc>
          <w:tcPr>
            <w:tcW w:w="1701" w:type="dxa"/>
          </w:tcPr>
          <w:p w14:paraId="20DC1BCD">
            <w:pPr>
              <w:rPr>
                <w:rFonts w:ascii="宋体"/>
                <w:color w:val="auto"/>
                <w:szCs w:val="21"/>
              </w:rPr>
            </w:pPr>
          </w:p>
        </w:tc>
        <w:tc>
          <w:tcPr>
            <w:tcW w:w="1125" w:type="dxa"/>
          </w:tcPr>
          <w:p w14:paraId="18D658CB">
            <w:pPr>
              <w:rPr>
                <w:rFonts w:ascii="宋体"/>
                <w:color w:val="auto"/>
                <w:szCs w:val="21"/>
              </w:rPr>
            </w:pPr>
          </w:p>
        </w:tc>
        <w:tc>
          <w:tcPr>
            <w:tcW w:w="675" w:type="dxa"/>
          </w:tcPr>
          <w:p w14:paraId="2B424BC7">
            <w:pPr>
              <w:rPr>
                <w:rFonts w:ascii="宋体"/>
                <w:color w:val="auto"/>
                <w:szCs w:val="21"/>
              </w:rPr>
            </w:pPr>
          </w:p>
        </w:tc>
        <w:tc>
          <w:tcPr>
            <w:tcW w:w="1069" w:type="dxa"/>
          </w:tcPr>
          <w:p w14:paraId="3DAF73BB">
            <w:pPr>
              <w:rPr>
                <w:rFonts w:ascii="宋体"/>
                <w:color w:val="auto"/>
                <w:szCs w:val="21"/>
              </w:rPr>
            </w:pPr>
          </w:p>
        </w:tc>
        <w:tc>
          <w:tcPr>
            <w:tcW w:w="1125" w:type="dxa"/>
          </w:tcPr>
          <w:p w14:paraId="695F8F2C">
            <w:pPr>
              <w:rPr>
                <w:rFonts w:ascii="宋体"/>
                <w:color w:val="auto"/>
                <w:szCs w:val="21"/>
              </w:rPr>
            </w:pPr>
          </w:p>
        </w:tc>
        <w:tc>
          <w:tcPr>
            <w:tcW w:w="1631" w:type="dxa"/>
          </w:tcPr>
          <w:p w14:paraId="24C8AA8C">
            <w:pPr>
              <w:rPr>
                <w:rFonts w:ascii="宋体"/>
                <w:color w:val="auto"/>
                <w:szCs w:val="21"/>
              </w:rPr>
            </w:pPr>
          </w:p>
        </w:tc>
        <w:tc>
          <w:tcPr>
            <w:tcW w:w="844" w:type="dxa"/>
          </w:tcPr>
          <w:p w14:paraId="6B895ACB">
            <w:pPr>
              <w:rPr>
                <w:rFonts w:ascii="宋体"/>
                <w:color w:val="auto"/>
                <w:szCs w:val="21"/>
              </w:rPr>
            </w:pPr>
          </w:p>
        </w:tc>
        <w:tc>
          <w:tcPr>
            <w:tcW w:w="854" w:type="dxa"/>
          </w:tcPr>
          <w:p w14:paraId="6781DC86">
            <w:pPr>
              <w:rPr>
                <w:rFonts w:ascii="宋体"/>
                <w:color w:val="auto"/>
                <w:szCs w:val="21"/>
              </w:rPr>
            </w:pPr>
          </w:p>
        </w:tc>
      </w:tr>
      <w:tr w14:paraId="7FB9D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4EC06862">
            <w:pPr>
              <w:rPr>
                <w:rFonts w:ascii="宋体"/>
                <w:color w:val="auto"/>
                <w:szCs w:val="21"/>
              </w:rPr>
            </w:pPr>
          </w:p>
        </w:tc>
        <w:tc>
          <w:tcPr>
            <w:tcW w:w="1701" w:type="dxa"/>
          </w:tcPr>
          <w:p w14:paraId="07FA42EA">
            <w:pPr>
              <w:rPr>
                <w:rFonts w:ascii="宋体"/>
                <w:color w:val="auto"/>
                <w:szCs w:val="21"/>
              </w:rPr>
            </w:pPr>
          </w:p>
        </w:tc>
        <w:tc>
          <w:tcPr>
            <w:tcW w:w="1125" w:type="dxa"/>
          </w:tcPr>
          <w:p w14:paraId="1A3379AB">
            <w:pPr>
              <w:rPr>
                <w:rFonts w:ascii="宋体"/>
                <w:color w:val="auto"/>
                <w:szCs w:val="21"/>
              </w:rPr>
            </w:pPr>
          </w:p>
        </w:tc>
        <w:tc>
          <w:tcPr>
            <w:tcW w:w="675" w:type="dxa"/>
          </w:tcPr>
          <w:p w14:paraId="56E12325">
            <w:pPr>
              <w:rPr>
                <w:rFonts w:ascii="宋体"/>
                <w:color w:val="auto"/>
                <w:szCs w:val="21"/>
              </w:rPr>
            </w:pPr>
          </w:p>
        </w:tc>
        <w:tc>
          <w:tcPr>
            <w:tcW w:w="1069" w:type="dxa"/>
          </w:tcPr>
          <w:p w14:paraId="6B362818">
            <w:pPr>
              <w:rPr>
                <w:rFonts w:ascii="宋体"/>
                <w:color w:val="auto"/>
                <w:szCs w:val="21"/>
              </w:rPr>
            </w:pPr>
          </w:p>
        </w:tc>
        <w:tc>
          <w:tcPr>
            <w:tcW w:w="1125" w:type="dxa"/>
          </w:tcPr>
          <w:p w14:paraId="237BF40A">
            <w:pPr>
              <w:rPr>
                <w:rFonts w:ascii="宋体"/>
                <w:color w:val="auto"/>
                <w:szCs w:val="21"/>
              </w:rPr>
            </w:pPr>
          </w:p>
        </w:tc>
        <w:tc>
          <w:tcPr>
            <w:tcW w:w="1631" w:type="dxa"/>
          </w:tcPr>
          <w:p w14:paraId="3B9A3D3F">
            <w:pPr>
              <w:rPr>
                <w:rFonts w:ascii="宋体"/>
                <w:color w:val="auto"/>
                <w:szCs w:val="21"/>
              </w:rPr>
            </w:pPr>
          </w:p>
        </w:tc>
        <w:tc>
          <w:tcPr>
            <w:tcW w:w="844" w:type="dxa"/>
          </w:tcPr>
          <w:p w14:paraId="13833B32">
            <w:pPr>
              <w:rPr>
                <w:rFonts w:ascii="宋体"/>
                <w:color w:val="auto"/>
                <w:szCs w:val="21"/>
              </w:rPr>
            </w:pPr>
          </w:p>
        </w:tc>
        <w:tc>
          <w:tcPr>
            <w:tcW w:w="854" w:type="dxa"/>
          </w:tcPr>
          <w:p w14:paraId="2302A8E2">
            <w:pPr>
              <w:rPr>
                <w:rFonts w:ascii="宋体"/>
                <w:color w:val="auto"/>
                <w:szCs w:val="21"/>
              </w:rPr>
            </w:pPr>
          </w:p>
        </w:tc>
      </w:tr>
      <w:tr w14:paraId="27D45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5C0159D3">
            <w:pPr>
              <w:rPr>
                <w:rFonts w:ascii="宋体"/>
                <w:color w:val="auto"/>
                <w:szCs w:val="21"/>
              </w:rPr>
            </w:pPr>
          </w:p>
        </w:tc>
        <w:tc>
          <w:tcPr>
            <w:tcW w:w="1701" w:type="dxa"/>
          </w:tcPr>
          <w:p w14:paraId="4FBC4EB2">
            <w:pPr>
              <w:rPr>
                <w:rFonts w:ascii="宋体"/>
                <w:color w:val="auto"/>
                <w:szCs w:val="21"/>
              </w:rPr>
            </w:pPr>
          </w:p>
        </w:tc>
        <w:tc>
          <w:tcPr>
            <w:tcW w:w="1125" w:type="dxa"/>
          </w:tcPr>
          <w:p w14:paraId="646D154A">
            <w:pPr>
              <w:rPr>
                <w:rFonts w:ascii="宋体"/>
                <w:color w:val="auto"/>
                <w:szCs w:val="21"/>
              </w:rPr>
            </w:pPr>
          </w:p>
        </w:tc>
        <w:tc>
          <w:tcPr>
            <w:tcW w:w="675" w:type="dxa"/>
          </w:tcPr>
          <w:p w14:paraId="024619F7">
            <w:pPr>
              <w:rPr>
                <w:rFonts w:ascii="宋体"/>
                <w:color w:val="auto"/>
                <w:szCs w:val="21"/>
              </w:rPr>
            </w:pPr>
          </w:p>
        </w:tc>
        <w:tc>
          <w:tcPr>
            <w:tcW w:w="1069" w:type="dxa"/>
          </w:tcPr>
          <w:p w14:paraId="5AFD71CE">
            <w:pPr>
              <w:rPr>
                <w:rFonts w:ascii="宋体"/>
                <w:color w:val="auto"/>
                <w:szCs w:val="21"/>
              </w:rPr>
            </w:pPr>
          </w:p>
        </w:tc>
        <w:tc>
          <w:tcPr>
            <w:tcW w:w="1125" w:type="dxa"/>
          </w:tcPr>
          <w:p w14:paraId="7387C498">
            <w:pPr>
              <w:rPr>
                <w:rFonts w:ascii="宋体"/>
                <w:color w:val="auto"/>
                <w:szCs w:val="21"/>
              </w:rPr>
            </w:pPr>
          </w:p>
        </w:tc>
        <w:tc>
          <w:tcPr>
            <w:tcW w:w="1631" w:type="dxa"/>
          </w:tcPr>
          <w:p w14:paraId="2336662E">
            <w:pPr>
              <w:rPr>
                <w:rFonts w:ascii="宋体"/>
                <w:color w:val="auto"/>
                <w:szCs w:val="21"/>
              </w:rPr>
            </w:pPr>
          </w:p>
        </w:tc>
        <w:tc>
          <w:tcPr>
            <w:tcW w:w="844" w:type="dxa"/>
          </w:tcPr>
          <w:p w14:paraId="1501B425">
            <w:pPr>
              <w:rPr>
                <w:rFonts w:ascii="宋体"/>
                <w:color w:val="auto"/>
                <w:szCs w:val="21"/>
              </w:rPr>
            </w:pPr>
          </w:p>
        </w:tc>
        <w:tc>
          <w:tcPr>
            <w:tcW w:w="854" w:type="dxa"/>
          </w:tcPr>
          <w:p w14:paraId="7FABAFE2">
            <w:pPr>
              <w:rPr>
                <w:rFonts w:ascii="宋体"/>
                <w:color w:val="auto"/>
                <w:szCs w:val="21"/>
              </w:rPr>
            </w:pPr>
          </w:p>
        </w:tc>
      </w:tr>
      <w:tr w14:paraId="1D3D6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75AF6F7C">
            <w:pPr>
              <w:rPr>
                <w:rFonts w:ascii="宋体"/>
                <w:color w:val="auto"/>
                <w:szCs w:val="21"/>
              </w:rPr>
            </w:pPr>
          </w:p>
        </w:tc>
        <w:tc>
          <w:tcPr>
            <w:tcW w:w="1701" w:type="dxa"/>
          </w:tcPr>
          <w:p w14:paraId="30952D64">
            <w:pPr>
              <w:rPr>
                <w:rFonts w:ascii="宋体"/>
                <w:color w:val="auto"/>
                <w:szCs w:val="21"/>
              </w:rPr>
            </w:pPr>
          </w:p>
        </w:tc>
        <w:tc>
          <w:tcPr>
            <w:tcW w:w="1125" w:type="dxa"/>
          </w:tcPr>
          <w:p w14:paraId="5B90CD3C">
            <w:pPr>
              <w:rPr>
                <w:rFonts w:ascii="宋体"/>
                <w:color w:val="auto"/>
                <w:szCs w:val="21"/>
              </w:rPr>
            </w:pPr>
          </w:p>
        </w:tc>
        <w:tc>
          <w:tcPr>
            <w:tcW w:w="675" w:type="dxa"/>
          </w:tcPr>
          <w:p w14:paraId="3EB81ED6">
            <w:pPr>
              <w:rPr>
                <w:rFonts w:ascii="宋体"/>
                <w:color w:val="auto"/>
                <w:szCs w:val="21"/>
              </w:rPr>
            </w:pPr>
          </w:p>
        </w:tc>
        <w:tc>
          <w:tcPr>
            <w:tcW w:w="1069" w:type="dxa"/>
          </w:tcPr>
          <w:p w14:paraId="42A706F2">
            <w:pPr>
              <w:rPr>
                <w:rFonts w:ascii="宋体"/>
                <w:color w:val="auto"/>
                <w:szCs w:val="21"/>
              </w:rPr>
            </w:pPr>
          </w:p>
        </w:tc>
        <w:tc>
          <w:tcPr>
            <w:tcW w:w="1125" w:type="dxa"/>
          </w:tcPr>
          <w:p w14:paraId="5E829BF6">
            <w:pPr>
              <w:rPr>
                <w:rFonts w:ascii="宋体"/>
                <w:color w:val="auto"/>
                <w:szCs w:val="21"/>
              </w:rPr>
            </w:pPr>
          </w:p>
        </w:tc>
        <w:tc>
          <w:tcPr>
            <w:tcW w:w="1631" w:type="dxa"/>
          </w:tcPr>
          <w:p w14:paraId="753A3E38">
            <w:pPr>
              <w:rPr>
                <w:rFonts w:ascii="宋体"/>
                <w:color w:val="auto"/>
                <w:szCs w:val="21"/>
              </w:rPr>
            </w:pPr>
          </w:p>
        </w:tc>
        <w:tc>
          <w:tcPr>
            <w:tcW w:w="844" w:type="dxa"/>
          </w:tcPr>
          <w:p w14:paraId="5950D4F3">
            <w:pPr>
              <w:rPr>
                <w:rFonts w:ascii="宋体"/>
                <w:color w:val="auto"/>
                <w:szCs w:val="21"/>
              </w:rPr>
            </w:pPr>
          </w:p>
        </w:tc>
        <w:tc>
          <w:tcPr>
            <w:tcW w:w="854" w:type="dxa"/>
          </w:tcPr>
          <w:p w14:paraId="0D944564">
            <w:pPr>
              <w:rPr>
                <w:rFonts w:ascii="宋体"/>
                <w:color w:val="auto"/>
                <w:szCs w:val="21"/>
              </w:rPr>
            </w:pPr>
          </w:p>
        </w:tc>
      </w:tr>
      <w:tr w14:paraId="4D689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272D8165">
            <w:pPr>
              <w:rPr>
                <w:rFonts w:ascii="宋体"/>
                <w:color w:val="auto"/>
                <w:szCs w:val="21"/>
              </w:rPr>
            </w:pPr>
          </w:p>
        </w:tc>
        <w:tc>
          <w:tcPr>
            <w:tcW w:w="1701" w:type="dxa"/>
          </w:tcPr>
          <w:p w14:paraId="0BB7E98D">
            <w:pPr>
              <w:rPr>
                <w:rFonts w:ascii="宋体"/>
                <w:color w:val="auto"/>
                <w:szCs w:val="21"/>
              </w:rPr>
            </w:pPr>
          </w:p>
        </w:tc>
        <w:tc>
          <w:tcPr>
            <w:tcW w:w="1125" w:type="dxa"/>
          </w:tcPr>
          <w:p w14:paraId="22CC397D">
            <w:pPr>
              <w:rPr>
                <w:rFonts w:ascii="宋体"/>
                <w:color w:val="auto"/>
                <w:szCs w:val="21"/>
              </w:rPr>
            </w:pPr>
          </w:p>
        </w:tc>
        <w:tc>
          <w:tcPr>
            <w:tcW w:w="675" w:type="dxa"/>
          </w:tcPr>
          <w:p w14:paraId="7B8D0206">
            <w:pPr>
              <w:rPr>
                <w:rFonts w:ascii="宋体"/>
                <w:color w:val="auto"/>
                <w:szCs w:val="21"/>
              </w:rPr>
            </w:pPr>
          </w:p>
        </w:tc>
        <w:tc>
          <w:tcPr>
            <w:tcW w:w="1069" w:type="dxa"/>
          </w:tcPr>
          <w:p w14:paraId="6A23137D">
            <w:pPr>
              <w:rPr>
                <w:rFonts w:ascii="宋体"/>
                <w:color w:val="auto"/>
                <w:szCs w:val="21"/>
              </w:rPr>
            </w:pPr>
          </w:p>
        </w:tc>
        <w:tc>
          <w:tcPr>
            <w:tcW w:w="1125" w:type="dxa"/>
          </w:tcPr>
          <w:p w14:paraId="2E0C387E">
            <w:pPr>
              <w:rPr>
                <w:rFonts w:ascii="宋体"/>
                <w:color w:val="auto"/>
                <w:szCs w:val="21"/>
              </w:rPr>
            </w:pPr>
          </w:p>
        </w:tc>
        <w:tc>
          <w:tcPr>
            <w:tcW w:w="1631" w:type="dxa"/>
          </w:tcPr>
          <w:p w14:paraId="2EA5F635">
            <w:pPr>
              <w:rPr>
                <w:rFonts w:ascii="宋体"/>
                <w:color w:val="auto"/>
                <w:szCs w:val="21"/>
              </w:rPr>
            </w:pPr>
          </w:p>
        </w:tc>
        <w:tc>
          <w:tcPr>
            <w:tcW w:w="844" w:type="dxa"/>
          </w:tcPr>
          <w:p w14:paraId="42FA48AC">
            <w:pPr>
              <w:rPr>
                <w:rFonts w:ascii="宋体"/>
                <w:color w:val="auto"/>
                <w:szCs w:val="21"/>
              </w:rPr>
            </w:pPr>
          </w:p>
        </w:tc>
        <w:tc>
          <w:tcPr>
            <w:tcW w:w="854" w:type="dxa"/>
          </w:tcPr>
          <w:p w14:paraId="4829A127">
            <w:pPr>
              <w:rPr>
                <w:rFonts w:ascii="宋体"/>
                <w:color w:val="auto"/>
                <w:szCs w:val="21"/>
              </w:rPr>
            </w:pPr>
          </w:p>
        </w:tc>
      </w:tr>
      <w:tr w14:paraId="52DFF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18DFCE6A">
            <w:pPr>
              <w:rPr>
                <w:rFonts w:ascii="宋体"/>
                <w:color w:val="auto"/>
                <w:szCs w:val="21"/>
              </w:rPr>
            </w:pPr>
          </w:p>
        </w:tc>
        <w:tc>
          <w:tcPr>
            <w:tcW w:w="1701" w:type="dxa"/>
          </w:tcPr>
          <w:p w14:paraId="47029393">
            <w:pPr>
              <w:rPr>
                <w:rFonts w:ascii="宋体"/>
                <w:color w:val="auto"/>
                <w:szCs w:val="21"/>
              </w:rPr>
            </w:pPr>
          </w:p>
        </w:tc>
        <w:tc>
          <w:tcPr>
            <w:tcW w:w="1125" w:type="dxa"/>
          </w:tcPr>
          <w:p w14:paraId="406C5FC4">
            <w:pPr>
              <w:rPr>
                <w:rFonts w:ascii="宋体"/>
                <w:color w:val="auto"/>
                <w:szCs w:val="21"/>
              </w:rPr>
            </w:pPr>
          </w:p>
        </w:tc>
        <w:tc>
          <w:tcPr>
            <w:tcW w:w="675" w:type="dxa"/>
          </w:tcPr>
          <w:p w14:paraId="2D3E8462">
            <w:pPr>
              <w:rPr>
                <w:rFonts w:ascii="宋体"/>
                <w:color w:val="auto"/>
                <w:szCs w:val="21"/>
              </w:rPr>
            </w:pPr>
          </w:p>
        </w:tc>
        <w:tc>
          <w:tcPr>
            <w:tcW w:w="1069" w:type="dxa"/>
          </w:tcPr>
          <w:p w14:paraId="2D1BD672">
            <w:pPr>
              <w:rPr>
                <w:rFonts w:ascii="宋体"/>
                <w:color w:val="auto"/>
                <w:szCs w:val="21"/>
              </w:rPr>
            </w:pPr>
          </w:p>
        </w:tc>
        <w:tc>
          <w:tcPr>
            <w:tcW w:w="1125" w:type="dxa"/>
          </w:tcPr>
          <w:p w14:paraId="4FE9F656">
            <w:pPr>
              <w:rPr>
                <w:rFonts w:ascii="宋体"/>
                <w:color w:val="auto"/>
                <w:szCs w:val="21"/>
              </w:rPr>
            </w:pPr>
          </w:p>
        </w:tc>
        <w:tc>
          <w:tcPr>
            <w:tcW w:w="1631" w:type="dxa"/>
          </w:tcPr>
          <w:p w14:paraId="7FAF0F11">
            <w:pPr>
              <w:rPr>
                <w:rFonts w:ascii="宋体"/>
                <w:color w:val="auto"/>
                <w:szCs w:val="21"/>
              </w:rPr>
            </w:pPr>
          </w:p>
        </w:tc>
        <w:tc>
          <w:tcPr>
            <w:tcW w:w="844" w:type="dxa"/>
          </w:tcPr>
          <w:p w14:paraId="7706688A">
            <w:pPr>
              <w:rPr>
                <w:rFonts w:ascii="宋体"/>
                <w:color w:val="auto"/>
                <w:szCs w:val="21"/>
              </w:rPr>
            </w:pPr>
          </w:p>
        </w:tc>
        <w:tc>
          <w:tcPr>
            <w:tcW w:w="854" w:type="dxa"/>
          </w:tcPr>
          <w:p w14:paraId="038AC63E">
            <w:pPr>
              <w:rPr>
                <w:rFonts w:ascii="宋体"/>
                <w:color w:val="auto"/>
                <w:szCs w:val="21"/>
              </w:rPr>
            </w:pPr>
          </w:p>
        </w:tc>
      </w:tr>
      <w:tr w14:paraId="0A310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74A11F8C">
            <w:pPr>
              <w:rPr>
                <w:rFonts w:ascii="宋体"/>
                <w:color w:val="auto"/>
                <w:szCs w:val="21"/>
              </w:rPr>
            </w:pPr>
          </w:p>
        </w:tc>
        <w:tc>
          <w:tcPr>
            <w:tcW w:w="1701" w:type="dxa"/>
          </w:tcPr>
          <w:p w14:paraId="549F92D7">
            <w:pPr>
              <w:rPr>
                <w:rFonts w:ascii="宋体"/>
                <w:color w:val="auto"/>
                <w:szCs w:val="21"/>
              </w:rPr>
            </w:pPr>
          </w:p>
        </w:tc>
        <w:tc>
          <w:tcPr>
            <w:tcW w:w="1125" w:type="dxa"/>
          </w:tcPr>
          <w:p w14:paraId="7BC2E91B">
            <w:pPr>
              <w:rPr>
                <w:rFonts w:ascii="宋体"/>
                <w:color w:val="auto"/>
                <w:szCs w:val="21"/>
              </w:rPr>
            </w:pPr>
          </w:p>
        </w:tc>
        <w:tc>
          <w:tcPr>
            <w:tcW w:w="675" w:type="dxa"/>
          </w:tcPr>
          <w:p w14:paraId="5E8E824B">
            <w:pPr>
              <w:rPr>
                <w:rFonts w:ascii="宋体"/>
                <w:color w:val="auto"/>
                <w:szCs w:val="21"/>
              </w:rPr>
            </w:pPr>
          </w:p>
        </w:tc>
        <w:tc>
          <w:tcPr>
            <w:tcW w:w="1069" w:type="dxa"/>
          </w:tcPr>
          <w:p w14:paraId="27216495">
            <w:pPr>
              <w:rPr>
                <w:rFonts w:ascii="宋体"/>
                <w:color w:val="auto"/>
                <w:szCs w:val="21"/>
              </w:rPr>
            </w:pPr>
          </w:p>
        </w:tc>
        <w:tc>
          <w:tcPr>
            <w:tcW w:w="1125" w:type="dxa"/>
          </w:tcPr>
          <w:p w14:paraId="2B2A3BD9">
            <w:pPr>
              <w:rPr>
                <w:rFonts w:ascii="宋体"/>
                <w:color w:val="auto"/>
                <w:szCs w:val="21"/>
              </w:rPr>
            </w:pPr>
          </w:p>
        </w:tc>
        <w:tc>
          <w:tcPr>
            <w:tcW w:w="1631" w:type="dxa"/>
          </w:tcPr>
          <w:p w14:paraId="5EFC2450">
            <w:pPr>
              <w:rPr>
                <w:rFonts w:ascii="宋体"/>
                <w:color w:val="auto"/>
                <w:szCs w:val="21"/>
              </w:rPr>
            </w:pPr>
          </w:p>
        </w:tc>
        <w:tc>
          <w:tcPr>
            <w:tcW w:w="844" w:type="dxa"/>
          </w:tcPr>
          <w:p w14:paraId="2DF814DE">
            <w:pPr>
              <w:rPr>
                <w:rFonts w:ascii="宋体"/>
                <w:color w:val="auto"/>
                <w:szCs w:val="21"/>
              </w:rPr>
            </w:pPr>
          </w:p>
        </w:tc>
        <w:tc>
          <w:tcPr>
            <w:tcW w:w="854" w:type="dxa"/>
          </w:tcPr>
          <w:p w14:paraId="08EAFBCE">
            <w:pPr>
              <w:rPr>
                <w:rFonts w:ascii="宋体"/>
                <w:color w:val="auto"/>
                <w:szCs w:val="21"/>
              </w:rPr>
            </w:pPr>
          </w:p>
        </w:tc>
      </w:tr>
      <w:tr w14:paraId="437BF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3627F642">
            <w:pPr>
              <w:rPr>
                <w:rFonts w:ascii="宋体"/>
                <w:color w:val="auto"/>
                <w:szCs w:val="21"/>
              </w:rPr>
            </w:pPr>
          </w:p>
        </w:tc>
        <w:tc>
          <w:tcPr>
            <w:tcW w:w="1701" w:type="dxa"/>
          </w:tcPr>
          <w:p w14:paraId="58727612">
            <w:pPr>
              <w:rPr>
                <w:rFonts w:ascii="宋体"/>
                <w:color w:val="auto"/>
                <w:szCs w:val="21"/>
              </w:rPr>
            </w:pPr>
          </w:p>
        </w:tc>
        <w:tc>
          <w:tcPr>
            <w:tcW w:w="1125" w:type="dxa"/>
          </w:tcPr>
          <w:p w14:paraId="4328D7CB">
            <w:pPr>
              <w:rPr>
                <w:rFonts w:ascii="宋体"/>
                <w:color w:val="auto"/>
                <w:szCs w:val="21"/>
              </w:rPr>
            </w:pPr>
          </w:p>
        </w:tc>
        <w:tc>
          <w:tcPr>
            <w:tcW w:w="675" w:type="dxa"/>
          </w:tcPr>
          <w:p w14:paraId="30DE42B4">
            <w:pPr>
              <w:rPr>
                <w:rFonts w:ascii="宋体"/>
                <w:color w:val="auto"/>
                <w:szCs w:val="21"/>
              </w:rPr>
            </w:pPr>
          </w:p>
        </w:tc>
        <w:tc>
          <w:tcPr>
            <w:tcW w:w="1069" w:type="dxa"/>
          </w:tcPr>
          <w:p w14:paraId="0F962300">
            <w:pPr>
              <w:rPr>
                <w:rFonts w:ascii="宋体"/>
                <w:color w:val="auto"/>
                <w:szCs w:val="21"/>
              </w:rPr>
            </w:pPr>
          </w:p>
        </w:tc>
        <w:tc>
          <w:tcPr>
            <w:tcW w:w="1125" w:type="dxa"/>
          </w:tcPr>
          <w:p w14:paraId="09DEAC5C">
            <w:pPr>
              <w:rPr>
                <w:rFonts w:ascii="宋体"/>
                <w:color w:val="auto"/>
                <w:szCs w:val="21"/>
              </w:rPr>
            </w:pPr>
          </w:p>
        </w:tc>
        <w:tc>
          <w:tcPr>
            <w:tcW w:w="1631" w:type="dxa"/>
          </w:tcPr>
          <w:p w14:paraId="28C6354E">
            <w:pPr>
              <w:rPr>
                <w:rFonts w:ascii="宋体"/>
                <w:color w:val="auto"/>
                <w:szCs w:val="21"/>
              </w:rPr>
            </w:pPr>
          </w:p>
        </w:tc>
        <w:tc>
          <w:tcPr>
            <w:tcW w:w="844" w:type="dxa"/>
          </w:tcPr>
          <w:p w14:paraId="36EEA697">
            <w:pPr>
              <w:rPr>
                <w:rFonts w:ascii="宋体"/>
                <w:color w:val="auto"/>
                <w:szCs w:val="21"/>
              </w:rPr>
            </w:pPr>
          </w:p>
        </w:tc>
        <w:tc>
          <w:tcPr>
            <w:tcW w:w="854" w:type="dxa"/>
          </w:tcPr>
          <w:p w14:paraId="7D29880E">
            <w:pPr>
              <w:rPr>
                <w:rFonts w:ascii="宋体"/>
                <w:color w:val="auto"/>
                <w:szCs w:val="21"/>
              </w:rPr>
            </w:pPr>
          </w:p>
        </w:tc>
      </w:tr>
      <w:tr w14:paraId="6939A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231D6F4E">
            <w:pPr>
              <w:rPr>
                <w:rFonts w:ascii="宋体"/>
                <w:color w:val="auto"/>
                <w:szCs w:val="21"/>
              </w:rPr>
            </w:pPr>
          </w:p>
        </w:tc>
        <w:tc>
          <w:tcPr>
            <w:tcW w:w="1701" w:type="dxa"/>
          </w:tcPr>
          <w:p w14:paraId="7F4CB857">
            <w:pPr>
              <w:rPr>
                <w:rFonts w:ascii="宋体"/>
                <w:color w:val="auto"/>
                <w:szCs w:val="21"/>
              </w:rPr>
            </w:pPr>
          </w:p>
        </w:tc>
        <w:tc>
          <w:tcPr>
            <w:tcW w:w="1125" w:type="dxa"/>
          </w:tcPr>
          <w:p w14:paraId="0F964391">
            <w:pPr>
              <w:rPr>
                <w:rFonts w:ascii="宋体"/>
                <w:color w:val="auto"/>
                <w:szCs w:val="21"/>
              </w:rPr>
            </w:pPr>
          </w:p>
        </w:tc>
        <w:tc>
          <w:tcPr>
            <w:tcW w:w="675" w:type="dxa"/>
          </w:tcPr>
          <w:p w14:paraId="0B58A5A4">
            <w:pPr>
              <w:rPr>
                <w:rFonts w:ascii="宋体"/>
                <w:color w:val="auto"/>
                <w:szCs w:val="21"/>
              </w:rPr>
            </w:pPr>
          </w:p>
        </w:tc>
        <w:tc>
          <w:tcPr>
            <w:tcW w:w="1069" w:type="dxa"/>
          </w:tcPr>
          <w:p w14:paraId="11256394">
            <w:pPr>
              <w:rPr>
                <w:rFonts w:ascii="宋体"/>
                <w:color w:val="auto"/>
                <w:szCs w:val="21"/>
              </w:rPr>
            </w:pPr>
          </w:p>
        </w:tc>
        <w:tc>
          <w:tcPr>
            <w:tcW w:w="1125" w:type="dxa"/>
          </w:tcPr>
          <w:p w14:paraId="5D8D1438">
            <w:pPr>
              <w:rPr>
                <w:rFonts w:ascii="宋体"/>
                <w:color w:val="auto"/>
                <w:szCs w:val="21"/>
              </w:rPr>
            </w:pPr>
          </w:p>
        </w:tc>
        <w:tc>
          <w:tcPr>
            <w:tcW w:w="1631" w:type="dxa"/>
          </w:tcPr>
          <w:p w14:paraId="708161F2">
            <w:pPr>
              <w:rPr>
                <w:rFonts w:ascii="宋体"/>
                <w:color w:val="auto"/>
                <w:szCs w:val="21"/>
              </w:rPr>
            </w:pPr>
          </w:p>
        </w:tc>
        <w:tc>
          <w:tcPr>
            <w:tcW w:w="844" w:type="dxa"/>
          </w:tcPr>
          <w:p w14:paraId="6A5DBE1F">
            <w:pPr>
              <w:rPr>
                <w:rFonts w:ascii="宋体"/>
                <w:color w:val="auto"/>
                <w:szCs w:val="21"/>
              </w:rPr>
            </w:pPr>
          </w:p>
        </w:tc>
        <w:tc>
          <w:tcPr>
            <w:tcW w:w="854" w:type="dxa"/>
          </w:tcPr>
          <w:p w14:paraId="21C8B0D0">
            <w:pPr>
              <w:rPr>
                <w:rFonts w:ascii="宋体"/>
                <w:color w:val="auto"/>
                <w:szCs w:val="21"/>
              </w:rPr>
            </w:pPr>
          </w:p>
        </w:tc>
      </w:tr>
      <w:tr w14:paraId="5E2A7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583E15D9">
            <w:pPr>
              <w:rPr>
                <w:rFonts w:ascii="宋体"/>
                <w:color w:val="auto"/>
                <w:szCs w:val="21"/>
              </w:rPr>
            </w:pPr>
          </w:p>
        </w:tc>
        <w:tc>
          <w:tcPr>
            <w:tcW w:w="1701" w:type="dxa"/>
          </w:tcPr>
          <w:p w14:paraId="4051FDE6">
            <w:pPr>
              <w:rPr>
                <w:rFonts w:ascii="宋体"/>
                <w:color w:val="auto"/>
                <w:szCs w:val="21"/>
              </w:rPr>
            </w:pPr>
          </w:p>
        </w:tc>
        <w:tc>
          <w:tcPr>
            <w:tcW w:w="1125" w:type="dxa"/>
          </w:tcPr>
          <w:p w14:paraId="741F7BCF">
            <w:pPr>
              <w:rPr>
                <w:rFonts w:ascii="宋体"/>
                <w:color w:val="auto"/>
                <w:szCs w:val="21"/>
              </w:rPr>
            </w:pPr>
          </w:p>
        </w:tc>
        <w:tc>
          <w:tcPr>
            <w:tcW w:w="675" w:type="dxa"/>
          </w:tcPr>
          <w:p w14:paraId="00AFFC21">
            <w:pPr>
              <w:rPr>
                <w:rFonts w:ascii="宋体"/>
                <w:color w:val="auto"/>
                <w:szCs w:val="21"/>
              </w:rPr>
            </w:pPr>
          </w:p>
        </w:tc>
        <w:tc>
          <w:tcPr>
            <w:tcW w:w="1069" w:type="dxa"/>
          </w:tcPr>
          <w:p w14:paraId="071BAB88">
            <w:pPr>
              <w:rPr>
                <w:rFonts w:ascii="宋体"/>
                <w:color w:val="auto"/>
                <w:szCs w:val="21"/>
              </w:rPr>
            </w:pPr>
          </w:p>
        </w:tc>
        <w:tc>
          <w:tcPr>
            <w:tcW w:w="1125" w:type="dxa"/>
          </w:tcPr>
          <w:p w14:paraId="34B34E20">
            <w:pPr>
              <w:rPr>
                <w:rFonts w:ascii="宋体"/>
                <w:color w:val="auto"/>
                <w:szCs w:val="21"/>
              </w:rPr>
            </w:pPr>
          </w:p>
        </w:tc>
        <w:tc>
          <w:tcPr>
            <w:tcW w:w="1631" w:type="dxa"/>
          </w:tcPr>
          <w:p w14:paraId="2A424595">
            <w:pPr>
              <w:rPr>
                <w:rFonts w:ascii="宋体"/>
                <w:color w:val="auto"/>
                <w:szCs w:val="21"/>
              </w:rPr>
            </w:pPr>
          </w:p>
        </w:tc>
        <w:tc>
          <w:tcPr>
            <w:tcW w:w="844" w:type="dxa"/>
          </w:tcPr>
          <w:p w14:paraId="0A7B6C25">
            <w:pPr>
              <w:rPr>
                <w:rFonts w:ascii="宋体"/>
                <w:color w:val="auto"/>
                <w:szCs w:val="21"/>
              </w:rPr>
            </w:pPr>
          </w:p>
        </w:tc>
        <w:tc>
          <w:tcPr>
            <w:tcW w:w="854" w:type="dxa"/>
          </w:tcPr>
          <w:p w14:paraId="3DC46530">
            <w:pPr>
              <w:rPr>
                <w:rFonts w:ascii="宋体"/>
                <w:color w:val="auto"/>
                <w:szCs w:val="21"/>
              </w:rPr>
            </w:pPr>
          </w:p>
        </w:tc>
      </w:tr>
      <w:tr w14:paraId="27CFB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3C5AD642">
            <w:pPr>
              <w:rPr>
                <w:rFonts w:ascii="宋体"/>
                <w:color w:val="auto"/>
                <w:szCs w:val="21"/>
              </w:rPr>
            </w:pPr>
          </w:p>
        </w:tc>
        <w:tc>
          <w:tcPr>
            <w:tcW w:w="1701" w:type="dxa"/>
          </w:tcPr>
          <w:p w14:paraId="6A603A4E">
            <w:pPr>
              <w:rPr>
                <w:rFonts w:ascii="宋体"/>
                <w:color w:val="auto"/>
                <w:szCs w:val="21"/>
              </w:rPr>
            </w:pPr>
          </w:p>
        </w:tc>
        <w:tc>
          <w:tcPr>
            <w:tcW w:w="1125" w:type="dxa"/>
          </w:tcPr>
          <w:p w14:paraId="226914A5">
            <w:pPr>
              <w:rPr>
                <w:rFonts w:ascii="宋体"/>
                <w:color w:val="auto"/>
                <w:szCs w:val="21"/>
              </w:rPr>
            </w:pPr>
          </w:p>
        </w:tc>
        <w:tc>
          <w:tcPr>
            <w:tcW w:w="675" w:type="dxa"/>
          </w:tcPr>
          <w:p w14:paraId="40234F19">
            <w:pPr>
              <w:rPr>
                <w:rFonts w:ascii="宋体"/>
                <w:color w:val="auto"/>
                <w:szCs w:val="21"/>
              </w:rPr>
            </w:pPr>
          </w:p>
        </w:tc>
        <w:tc>
          <w:tcPr>
            <w:tcW w:w="1069" w:type="dxa"/>
          </w:tcPr>
          <w:p w14:paraId="60B131B6">
            <w:pPr>
              <w:rPr>
                <w:rFonts w:ascii="宋体"/>
                <w:color w:val="auto"/>
                <w:szCs w:val="21"/>
              </w:rPr>
            </w:pPr>
          </w:p>
        </w:tc>
        <w:tc>
          <w:tcPr>
            <w:tcW w:w="1125" w:type="dxa"/>
          </w:tcPr>
          <w:p w14:paraId="02FEFB35">
            <w:pPr>
              <w:rPr>
                <w:rFonts w:ascii="宋体"/>
                <w:color w:val="auto"/>
                <w:szCs w:val="21"/>
              </w:rPr>
            </w:pPr>
          </w:p>
        </w:tc>
        <w:tc>
          <w:tcPr>
            <w:tcW w:w="1631" w:type="dxa"/>
          </w:tcPr>
          <w:p w14:paraId="16090644">
            <w:pPr>
              <w:rPr>
                <w:rFonts w:ascii="宋体"/>
                <w:color w:val="auto"/>
                <w:szCs w:val="21"/>
              </w:rPr>
            </w:pPr>
          </w:p>
        </w:tc>
        <w:tc>
          <w:tcPr>
            <w:tcW w:w="844" w:type="dxa"/>
          </w:tcPr>
          <w:p w14:paraId="2EC98C6D">
            <w:pPr>
              <w:rPr>
                <w:rFonts w:ascii="宋体"/>
                <w:color w:val="auto"/>
                <w:szCs w:val="21"/>
              </w:rPr>
            </w:pPr>
          </w:p>
        </w:tc>
        <w:tc>
          <w:tcPr>
            <w:tcW w:w="854" w:type="dxa"/>
          </w:tcPr>
          <w:p w14:paraId="07FEC833">
            <w:pPr>
              <w:rPr>
                <w:rFonts w:ascii="宋体"/>
                <w:color w:val="auto"/>
                <w:szCs w:val="21"/>
              </w:rPr>
            </w:pPr>
          </w:p>
        </w:tc>
      </w:tr>
      <w:tr w14:paraId="4B570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3" w:type="dxa"/>
          </w:tcPr>
          <w:p w14:paraId="12A637C7">
            <w:pPr>
              <w:rPr>
                <w:rFonts w:ascii="宋体"/>
                <w:color w:val="auto"/>
                <w:szCs w:val="21"/>
              </w:rPr>
            </w:pPr>
          </w:p>
        </w:tc>
        <w:tc>
          <w:tcPr>
            <w:tcW w:w="1701" w:type="dxa"/>
          </w:tcPr>
          <w:p w14:paraId="0969F242">
            <w:pPr>
              <w:rPr>
                <w:rFonts w:ascii="宋体"/>
                <w:color w:val="auto"/>
                <w:szCs w:val="21"/>
              </w:rPr>
            </w:pPr>
          </w:p>
        </w:tc>
        <w:tc>
          <w:tcPr>
            <w:tcW w:w="1125" w:type="dxa"/>
          </w:tcPr>
          <w:p w14:paraId="2BB6AB4B">
            <w:pPr>
              <w:rPr>
                <w:rFonts w:ascii="宋体"/>
                <w:color w:val="auto"/>
                <w:szCs w:val="21"/>
              </w:rPr>
            </w:pPr>
          </w:p>
        </w:tc>
        <w:tc>
          <w:tcPr>
            <w:tcW w:w="675" w:type="dxa"/>
          </w:tcPr>
          <w:p w14:paraId="0E690317">
            <w:pPr>
              <w:rPr>
                <w:rFonts w:ascii="宋体"/>
                <w:color w:val="auto"/>
                <w:szCs w:val="21"/>
              </w:rPr>
            </w:pPr>
          </w:p>
        </w:tc>
        <w:tc>
          <w:tcPr>
            <w:tcW w:w="1069" w:type="dxa"/>
          </w:tcPr>
          <w:p w14:paraId="1184C695">
            <w:pPr>
              <w:rPr>
                <w:rFonts w:ascii="宋体"/>
                <w:color w:val="auto"/>
                <w:szCs w:val="21"/>
              </w:rPr>
            </w:pPr>
          </w:p>
        </w:tc>
        <w:tc>
          <w:tcPr>
            <w:tcW w:w="1125" w:type="dxa"/>
          </w:tcPr>
          <w:p w14:paraId="3AAB4443">
            <w:pPr>
              <w:rPr>
                <w:rFonts w:ascii="宋体"/>
                <w:color w:val="auto"/>
                <w:szCs w:val="21"/>
              </w:rPr>
            </w:pPr>
          </w:p>
        </w:tc>
        <w:tc>
          <w:tcPr>
            <w:tcW w:w="1631" w:type="dxa"/>
          </w:tcPr>
          <w:p w14:paraId="7A8976AC">
            <w:pPr>
              <w:rPr>
                <w:rFonts w:ascii="宋体"/>
                <w:color w:val="auto"/>
                <w:szCs w:val="21"/>
              </w:rPr>
            </w:pPr>
          </w:p>
        </w:tc>
        <w:tc>
          <w:tcPr>
            <w:tcW w:w="844" w:type="dxa"/>
          </w:tcPr>
          <w:p w14:paraId="04938DCA">
            <w:pPr>
              <w:rPr>
                <w:rFonts w:ascii="宋体"/>
                <w:color w:val="auto"/>
                <w:szCs w:val="21"/>
              </w:rPr>
            </w:pPr>
          </w:p>
        </w:tc>
        <w:tc>
          <w:tcPr>
            <w:tcW w:w="854" w:type="dxa"/>
          </w:tcPr>
          <w:p w14:paraId="61F5E7F5">
            <w:pPr>
              <w:rPr>
                <w:rFonts w:ascii="宋体"/>
                <w:color w:val="auto"/>
                <w:szCs w:val="21"/>
              </w:rPr>
            </w:pPr>
          </w:p>
        </w:tc>
      </w:tr>
      <w:tr w14:paraId="71DE2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643" w:type="dxa"/>
          </w:tcPr>
          <w:p w14:paraId="2FDE8448">
            <w:pPr>
              <w:rPr>
                <w:rFonts w:ascii="宋体"/>
                <w:color w:val="auto"/>
                <w:szCs w:val="21"/>
              </w:rPr>
            </w:pPr>
          </w:p>
        </w:tc>
        <w:tc>
          <w:tcPr>
            <w:tcW w:w="1701" w:type="dxa"/>
          </w:tcPr>
          <w:p w14:paraId="2DEB2B2A">
            <w:pPr>
              <w:rPr>
                <w:rFonts w:ascii="宋体"/>
                <w:color w:val="auto"/>
                <w:szCs w:val="21"/>
              </w:rPr>
            </w:pPr>
          </w:p>
        </w:tc>
        <w:tc>
          <w:tcPr>
            <w:tcW w:w="1125" w:type="dxa"/>
          </w:tcPr>
          <w:p w14:paraId="4338CE0E">
            <w:pPr>
              <w:rPr>
                <w:rFonts w:ascii="宋体"/>
                <w:color w:val="auto"/>
                <w:szCs w:val="21"/>
              </w:rPr>
            </w:pPr>
          </w:p>
        </w:tc>
        <w:tc>
          <w:tcPr>
            <w:tcW w:w="675" w:type="dxa"/>
          </w:tcPr>
          <w:p w14:paraId="1FBBEB15">
            <w:pPr>
              <w:rPr>
                <w:rFonts w:ascii="宋体"/>
                <w:color w:val="auto"/>
                <w:szCs w:val="21"/>
              </w:rPr>
            </w:pPr>
          </w:p>
        </w:tc>
        <w:tc>
          <w:tcPr>
            <w:tcW w:w="1069" w:type="dxa"/>
          </w:tcPr>
          <w:p w14:paraId="5B7C3DEF">
            <w:pPr>
              <w:rPr>
                <w:rFonts w:ascii="宋体"/>
                <w:color w:val="auto"/>
                <w:szCs w:val="21"/>
              </w:rPr>
            </w:pPr>
          </w:p>
        </w:tc>
        <w:tc>
          <w:tcPr>
            <w:tcW w:w="1125" w:type="dxa"/>
          </w:tcPr>
          <w:p w14:paraId="1675A24C">
            <w:pPr>
              <w:rPr>
                <w:rFonts w:ascii="宋体"/>
                <w:color w:val="auto"/>
                <w:szCs w:val="21"/>
              </w:rPr>
            </w:pPr>
          </w:p>
        </w:tc>
        <w:tc>
          <w:tcPr>
            <w:tcW w:w="1631" w:type="dxa"/>
          </w:tcPr>
          <w:p w14:paraId="221DBA0E">
            <w:pPr>
              <w:rPr>
                <w:rFonts w:ascii="宋体"/>
                <w:color w:val="auto"/>
                <w:szCs w:val="21"/>
              </w:rPr>
            </w:pPr>
          </w:p>
        </w:tc>
        <w:tc>
          <w:tcPr>
            <w:tcW w:w="844" w:type="dxa"/>
          </w:tcPr>
          <w:p w14:paraId="33C59380">
            <w:pPr>
              <w:rPr>
                <w:rFonts w:ascii="宋体"/>
                <w:color w:val="auto"/>
                <w:szCs w:val="21"/>
              </w:rPr>
            </w:pPr>
          </w:p>
        </w:tc>
        <w:tc>
          <w:tcPr>
            <w:tcW w:w="854" w:type="dxa"/>
          </w:tcPr>
          <w:p w14:paraId="2A135055">
            <w:pPr>
              <w:rPr>
                <w:rFonts w:ascii="宋体"/>
                <w:color w:val="auto"/>
                <w:szCs w:val="21"/>
              </w:rPr>
            </w:pPr>
          </w:p>
        </w:tc>
      </w:tr>
      <w:tr w14:paraId="3D2A6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3" w:type="dxa"/>
          </w:tcPr>
          <w:p w14:paraId="3649CB8C">
            <w:pPr>
              <w:rPr>
                <w:rFonts w:ascii="宋体"/>
                <w:color w:val="auto"/>
                <w:szCs w:val="21"/>
              </w:rPr>
            </w:pPr>
          </w:p>
        </w:tc>
        <w:tc>
          <w:tcPr>
            <w:tcW w:w="1701" w:type="dxa"/>
          </w:tcPr>
          <w:p w14:paraId="6CABA528">
            <w:pPr>
              <w:rPr>
                <w:rFonts w:ascii="宋体"/>
                <w:color w:val="auto"/>
                <w:szCs w:val="21"/>
              </w:rPr>
            </w:pPr>
          </w:p>
        </w:tc>
        <w:tc>
          <w:tcPr>
            <w:tcW w:w="1125" w:type="dxa"/>
          </w:tcPr>
          <w:p w14:paraId="1BFF7620">
            <w:pPr>
              <w:rPr>
                <w:rFonts w:ascii="宋体"/>
                <w:color w:val="auto"/>
                <w:szCs w:val="21"/>
              </w:rPr>
            </w:pPr>
          </w:p>
        </w:tc>
        <w:tc>
          <w:tcPr>
            <w:tcW w:w="675" w:type="dxa"/>
          </w:tcPr>
          <w:p w14:paraId="5D136485">
            <w:pPr>
              <w:rPr>
                <w:rFonts w:ascii="宋体"/>
                <w:color w:val="auto"/>
                <w:szCs w:val="21"/>
              </w:rPr>
            </w:pPr>
          </w:p>
        </w:tc>
        <w:tc>
          <w:tcPr>
            <w:tcW w:w="1069" w:type="dxa"/>
          </w:tcPr>
          <w:p w14:paraId="16C0590C">
            <w:pPr>
              <w:rPr>
                <w:rFonts w:ascii="宋体"/>
                <w:color w:val="auto"/>
                <w:szCs w:val="21"/>
              </w:rPr>
            </w:pPr>
          </w:p>
        </w:tc>
        <w:tc>
          <w:tcPr>
            <w:tcW w:w="1125" w:type="dxa"/>
          </w:tcPr>
          <w:p w14:paraId="090E3418">
            <w:pPr>
              <w:rPr>
                <w:rFonts w:ascii="宋体"/>
                <w:color w:val="auto"/>
                <w:szCs w:val="21"/>
              </w:rPr>
            </w:pPr>
          </w:p>
        </w:tc>
        <w:tc>
          <w:tcPr>
            <w:tcW w:w="1631" w:type="dxa"/>
          </w:tcPr>
          <w:p w14:paraId="4E4F3375">
            <w:pPr>
              <w:rPr>
                <w:rFonts w:ascii="宋体"/>
                <w:color w:val="auto"/>
                <w:szCs w:val="21"/>
              </w:rPr>
            </w:pPr>
          </w:p>
        </w:tc>
        <w:tc>
          <w:tcPr>
            <w:tcW w:w="844" w:type="dxa"/>
          </w:tcPr>
          <w:p w14:paraId="6F35FA60">
            <w:pPr>
              <w:rPr>
                <w:rFonts w:ascii="宋体"/>
                <w:color w:val="auto"/>
                <w:szCs w:val="21"/>
              </w:rPr>
            </w:pPr>
          </w:p>
        </w:tc>
        <w:tc>
          <w:tcPr>
            <w:tcW w:w="854" w:type="dxa"/>
          </w:tcPr>
          <w:p w14:paraId="5FB83140">
            <w:pPr>
              <w:rPr>
                <w:rFonts w:ascii="宋体"/>
                <w:color w:val="auto"/>
                <w:szCs w:val="21"/>
              </w:rPr>
            </w:pPr>
          </w:p>
        </w:tc>
      </w:tr>
      <w:tr w14:paraId="27403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643" w:type="dxa"/>
          </w:tcPr>
          <w:p w14:paraId="258AB8AB">
            <w:pPr>
              <w:rPr>
                <w:rFonts w:ascii="宋体"/>
                <w:color w:val="auto"/>
                <w:szCs w:val="21"/>
              </w:rPr>
            </w:pPr>
          </w:p>
        </w:tc>
        <w:tc>
          <w:tcPr>
            <w:tcW w:w="1701" w:type="dxa"/>
          </w:tcPr>
          <w:p w14:paraId="33C93BD0">
            <w:pPr>
              <w:rPr>
                <w:rFonts w:ascii="宋体"/>
                <w:color w:val="auto"/>
                <w:szCs w:val="21"/>
              </w:rPr>
            </w:pPr>
          </w:p>
        </w:tc>
        <w:tc>
          <w:tcPr>
            <w:tcW w:w="1125" w:type="dxa"/>
          </w:tcPr>
          <w:p w14:paraId="168D9829">
            <w:pPr>
              <w:rPr>
                <w:rFonts w:ascii="宋体"/>
                <w:color w:val="auto"/>
                <w:szCs w:val="21"/>
              </w:rPr>
            </w:pPr>
          </w:p>
        </w:tc>
        <w:tc>
          <w:tcPr>
            <w:tcW w:w="675" w:type="dxa"/>
          </w:tcPr>
          <w:p w14:paraId="0D7231ED">
            <w:pPr>
              <w:rPr>
                <w:rFonts w:ascii="宋体"/>
                <w:color w:val="auto"/>
                <w:szCs w:val="21"/>
              </w:rPr>
            </w:pPr>
          </w:p>
        </w:tc>
        <w:tc>
          <w:tcPr>
            <w:tcW w:w="1069" w:type="dxa"/>
          </w:tcPr>
          <w:p w14:paraId="37B5459F">
            <w:pPr>
              <w:rPr>
                <w:rFonts w:ascii="宋体"/>
                <w:color w:val="auto"/>
                <w:szCs w:val="21"/>
              </w:rPr>
            </w:pPr>
          </w:p>
        </w:tc>
        <w:tc>
          <w:tcPr>
            <w:tcW w:w="1125" w:type="dxa"/>
          </w:tcPr>
          <w:p w14:paraId="498A1B45">
            <w:pPr>
              <w:rPr>
                <w:rFonts w:ascii="宋体"/>
                <w:color w:val="auto"/>
                <w:szCs w:val="21"/>
              </w:rPr>
            </w:pPr>
          </w:p>
        </w:tc>
        <w:tc>
          <w:tcPr>
            <w:tcW w:w="1631" w:type="dxa"/>
          </w:tcPr>
          <w:p w14:paraId="5193A8B9">
            <w:pPr>
              <w:rPr>
                <w:rFonts w:ascii="宋体"/>
                <w:color w:val="auto"/>
                <w:szCs w:val="21"/>
              </w:rPr>
            </w:pPr>
          </w:p>
        </w:tc>
        <w:tc>
          <w:tcPr>
            <w:tcW w:w="844" w:type="dxa"/>
          </w:tcPr>
          <w:p w14:paraId="54F3EE5E">
            <w:pPr>
              <w:rPr>
                <w:rFonts w:ascii="宋体"/>
                <w:color w:val="auto"/>
                <w:szCs w:val="21"/>
              </w:rPr>
            </w:pPr>
          </w:p>
        </w:tc>
        <w:tc>
          <w:tcPr>
            <w:tcW w:w="854" w:type="dxa"/>
          </w:tcPr>
          <w:p w14:paraId="40EC82B6">
            <w:pPr>
              <w:rPr>
                <w:rFonts w:ascii="宋体"/>
                <w:color w:val="auto"/>
                <w:szCs w:val="21"/>
              </w:rPr>
            </w:pPr>
          </w:p>
        </w:tc>
      </w:tr>
      <w:tr w14:paraId="406B3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643" w:type="dxa"/>
          </w:tcPr>
          <w:p w14:paraId="5C9D82FE">
            <w:pPr>
              <w:rPr>
                <w:rFonts w:ascii="宋体"/>
                <w:color w:val="auto"/>
                <w:szCs w:val="21"/>
              </w:rPr>
            </w:pPr>
          </w:p>
        </w:tc>
        <w:tc>
          <w:tcPr>
            <w:tcW w:w="1701" w:type="dxa"/>
          </w:tcPr>
          <w:p w14:paraId="306E21D6">
            <w:pPr>
              <w:rPr>
                <w:rFonts w:ascii="宋体"/>
                <w:color w:val="auto"/>
                <w:szCs w:val="21"/>
              </w:rPr>
            </w:pPr>
          </w:p>
        </w:tc>
        <w:tc>
          <w:tcPr>
            <w:tcW w:w="1125" w:type="dxa"/>
          </w:tcPr>
          <w:p w14:paraId="1CCD0290">
            <w:pPr>
              <w:rPr>
                <w:rFonts w:ascii="宋体"/>
                <w:color w:val="auto"/>
                <w:szCs w:val="21"/>
              </w:rPr>
            </w:pPr>
          </w:p>
        </w:tc>
        <w:tc>
          <w:tcPr>
            <w:tcW w:w="675" w:type="dxa"/>
          </w:tcPr>
          <w:p w14:paraId="072F5B93">
            <w:pPr>
              <w:rPr>
                <w:rFonts w:ascii="宋体"/>
                <w:color w:val="auto"/>
                <w:szCs w:val="21"/>
              </w:rPr>
            </w:pPr>
          </w:p>
        </w:tc>
        <w:tc>
          <w:tcPr>
            <w:tcW w:w="1069" w:type="dxa"/>
          </w:tcPr>
          <w:p w14:paraId="189EA44E">
            <w:pPr>
              <w:rPr>
                <w:rFonts w:ascii="宋体"/>
                <w:color w:val="auto"/>
                <w:szCs w:val="21"/>
              </w:rPr>
            </w:pPr>
          </w:p>
        </w:tc>
        <w:tc>
          <w:tcPr>
            <w:tcW w:w="1125" w:type="dxa"/>
          </w:tcPr>
          <w:p w14:paraId="0978CFE0">
            <w:pPr>
              <w:rPr>
                <w:rFonts w:ascii="宋体"/>
                <w:color w:val="auto"/>
                <w:szCs w:val="21"/>
              </w:rPr>
            </w:pPr>
          </w:p>
        </w:tc>
        <w:tc>
          <w:tcPr>
            <w:tcW w:w="1631" w:type="dxa"/>
          </w:tcPr>
          <w:p w14:paraId="2C150C42">
            <w:pPr>
              <w:rPr>
                <w:rFonts w:ascii="宋体"/>
                <w:color w:val="auto"/>
                <w:szCs w:val="21"/>
              </w:rPr>
            </w:pPr>
          </w:p>
        </w:tc>
        <w:tc>
          <w:tcPr>
            <w:tcW w:w="844" w:type="dxa"/>
          </w:tcPr>
          <w:p w14:paraId="05E02622">
            <w:pPr>
              <w:rPr>
                <w:rFonts w:ascii="宋体"/>
                <w:color w:val="auto"/>
                <w:szCs w:val="21"/>
              </w:rPr>
            </w:pPr>
          </w:p>
        </w:tc>
        <w:tc>
          <w:tcPr>
            <w:tcW w:w="854" w:type="dxa"/>
          </w:tcPr>
          <w:p w14:paraId="583C6658">
            <w:pPr>
              <w:rPr>
                <w:rFonts w:ascii="宋体"/>
                <w:color w:val="auto"/>
                <w:szCs w:val="21"/>
              </w:rPr>
            </w:pPr>
          </w:p>
        </w:tc>
      </w:tr>
      <w:tr w14:paraId="13DF7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643" w:type="dxa"/>
          </w:tcPr>
          <w:p w14:paraId="364ED0D1">
            <w:pPr>
              <w:rPr>
                <w:rFonts w:ascii="宋体"/>
                <w:color w:val="auto"/>
                <w:szCs w:val="21"/>
              </w:rPr>
            </w:pPr>
          </w:p>
        </w:tc>
        <w:tc>
          <w:tcPr>
            <w:tcW w:w="1701" w:type="dxa"/>
          </w:tcPr>
          <w:p w14:paraId="4E970841">
            <w:pPr>
              <w:rPr>
                <w:rFonts w:ascii="宋体"/>
                <w:color w:val="auto"/>
                <w:szCs w:val="21"/>
              </w:rPr>
            </w:pPr>
          </w:p>
        </w:tc>
        <w:tc>
          <w:tcPr>
            <w:tcW w:w="1125" w:type="dxa"/>
          </w:tcPr>
          <w:p w14:paraId="6BCB8FC8">
            <w:pPr>
              <w:rPr>
                <w:rFonts w:ascii="宋体"/>
                <w:color w:val="auto"/>
                <w:szCs w:val="21"/>
              </w:rPr>
            </w:pPr>
          </w:p>
        </w:tc>
        <w:tc>
          <w:tcPr>
            <w:tcW w:w="675" w:type="dxa"/>
          </w:tcPr>
          <w:p w14:paraId="4D46C833">
            <w:pPr>
              <w:rPr>
                <w:rFonts w:ascii="宋体"/>
                <w:color w:val="auto"/>
                <w:szCs w:val="21"/>
              </w:rPr>
            </w:pPr>
          </w:p>
        </w:tc>
        <w:tc>
          <w:tcPr>
            <w:tcW w:w="1069" w:type="dxa"/>
          </w:tcPr>
          <w:p w14:paraId="750CBED8">
            <w:pPr>
              <w:rPr>
                <w:rFonts w:ascii="宋体"/>
                <w:color w:val="auto"/>
                <w:szCs w:val="21"/>
              </w:rPr>
            </w:pPr>
          </w:p>
        </w:tc>
        <w:tc>
          <w:tcPr>
            <w:tcW w:w="1125" w:type="dxa"/>
          </w:tcPr>
          <w:p w14:paraId="5BAB94BB">
            <w:pPr>
              <w:rPr>
                <w:rFonts w:ascii="宋体"/>
                <w:color w:val="auto"/>
                <w:szCs w:val="21"/>
              </w:rPr>
            </w:pPr>
          </w:p>
        </w:tc>
        <w:tc>
          <w:tcPr>
            <w:tcW w:w="1631" w:type="dxa"/>
          </w:tcPr>
          <w:p w14:paraId="3AAFF1D2">
            <w:pPr>
              <w:rPr>
                <w:rFonts w:ascii="宋体"/>
                <w:color w:val="auto"/>
                <w:szCs w:val="21"/>
              </w:rPr>
            </w:pPr>
          </w:p>
        </w:tc>
        <w:tc>
          <w:tcPr>
            <w:tcW w:w="844" w:type="dxa"/>
          </w:tcPr>
          <w:p w14:paraId="7FE4E909">
            <w:pPr>
              <w:rPr>
                <w:rFonts w:ascii="宋体"/>
                <w:color w:val="auto"/>
                <w:szCs w:val="21"/>
              </w:rPr>
            </w:pPr>
          </w:p>
        </w:tc>
        <w:tc>
          <w:tcPr>
            <w:tcW w:w="854" w:type="dxa"/>
          </w:tcPr>
          <w:p w14:paraId="333921E6">
            <w:pPr>
              <w:rPr>
                <w:rFonts w:ascii="宋体"/>
                <w:color w:val="auto"/>
                <w:szCs w:val="21"/>
              </w:rPr>
            </w:pPr>
          </w:p>
        </w:tc>
      </w:tr>
    </w:tbl>
    <w:p w14:paraId="20537F88">
      <w:pPr>
        <w:rPr>
          <w:color w:val="auto"/>
        </w:rPr>
      </w:pPr>
    </w:p>
    <w:p w14:paraId="4DDD128B">
      <w:pPr>
        <w:pStyle w:val="151"/>
        <w:rPr>
          <w:color w:val="auto"/>
        </w:rPr>
      </w:pPr>
    </w:p>
    <w:p w14:paraId="7F628D06">
      <w:pPr>
        <w:rPr>
          <w:color w:val="auto"/>
        </w:rPr>
      </w:pPr>
    </w:p>
    <w:p w14:paraId="36C542F0">
      <w:pPr>
        <w:pStyle w:val="151"/>
        <w:rPr>
          <w:color w:val="auto"/>
        </w:rPr>
      </w:pPr>
    </w:p>
    <w:p w14:paraId="6891377F">
      <w:pPr>
        <w:rPr>
          <w:color w:val="auto"/>
        </w:rPr>
      </w:pPr>
    </w:p>
    <w:p w14:paraId="64543D93">
      <w:pPr>
        <w:spacing w:before="135" w:line="186" w:lineRule="auto"/>
        <w:rPr>
          <w:rFonts w:ascii="宋体" w:hAnsi="宋体" w:cs="宋体"/>
          <w:color w:val="auto"/>
          <w:spacing w:val="-24"/>
          <w:sz w:val="28"/>
          <w:szCs w:val="28"/>
        </w:rPr>
      </w:pPr>
    </w:p>
    <w:p w14:paraId="5F8CF558">
      <w:pPr>
        <w:spacing w:before="135" w:line="186" w:lineRule="auto"/>
        <w:ind w:firstLine="147"/>
        <w:rPr>
          <w:rFonts w:ascii="宋体" w:hAnsi="宋体" w:cs="宋体"/>
          <w:color w:val="auto"/>
          <w:sz w:val="28"/>
          <w:szCs w:val="28"/>
        </w:rPr>
      </w:pPr>
      <w:r>
        <w:rPr>
          <w:rFonts w:ascii="宋体" w:hAnsi="宋体" w:cs="宋体"/>
          <w:color w:val="auto"/>
          <w:spacing w:val="-24"/>
          <w:sz w:val="28"/>
          <w:szCs w:val="28"/>
        </w:rPr>
        <w:t>附表三：</w:t>
      </w:r>
      <w:r>
        <w:rPr>
          <w:rFonts w:ascii="宋体" w:hAnsi="宋体" w:cs="宋体"/>
          <w:color w:val="auto"/>
          <w:spacing w:val="77"/>
          <w:sz w:val="28"/>
          <w:szCs w:val="28"/>
        </w:rPr>
        <w:t xml:space="preserve"> </w:t>
      </w:r>
      <w:r>
        <w:rPr>
          <w:rFonts w:ascii="宋体" w:hAnsi="宋体" w:cs="宋体"/>
          <w:color w:val="auto"/>
          <w:spacing w:val="-24"/>
          <w:sz w:val="28"/>
          <w:szCs w:val="28"/>
        </w:rPr>
        <w:t>劳动力计划表</w:t>
      </w:r>
    </w:p>
    <w:p w14:paraId="508B010C">
      <w:pPr>
        <w:spacing w:before="73" w:line="184" w:lineRule="auto"/>
        <w:ind w:firstLine="8104"/>
        <w:rPr>
          <w:rFonts w:ascii="宋体" w:hAnsi="宋体" w:cs="宋体"/>
          <w:color w:val="auto"/>
          <w:sz w:val="24"/>
          <w:szCs w:val="24"/>
        </w:rPr>
      </w:pPr>
      <w:r>
        <w:rPr>
          <w:rFonts w:ascii="宋体" w:hAnsi="宋体" w:cs="宋体"/>
          <w:color w:val="auto"/>
          <w:spacing w:val="-19"/>
          <w:w w:val="90"/>
          <w:sz w:val="24"/>
          <w:szCs w:val="24"/>
        </w:rPr>
        <w:t>单位：</w:t>
      </w:r>
      <w:r>
        <w:rPr>
          <w:rFonts w:ascii="宋体" w:hAnsi="宋体" w:cs="宋体"/>
          <w:color w:val="auto"/>
          <w:spacing w:val="53"/>
          <w:sz w:val="24"/>
          <w:szCs w:val="24"/>
        </w:rPr>
        <w:t xml:space="preserve"> </w:t>
      </w:r>
      <w:r>
        <w:rPr>
          <w:rFonts w:ascii="宋体" w:hAnsi="宋体" w:cs="宋体"/>
          <w:color w:val="auto"/>
          <w:spacing w:val="-19"/>
          <w:w w:val="90"/>
          <w:sz w:val="24"/>
          <w:szCs w:val="24"/>
        </w:rPr>
        <w:t>人</w:t>
      </w:r>
    </w:p>
    <w:p w14:paraId="7627F923">
      <w:pPr>
        <w:spacing w:line="167" w:lineRule="exact"/>
        <w:rPr>
          <w:color w:val="auto"/>
        </w:rPr>
      </w:pPr>
    </w:p>
    <w:tbl>
      <w:tblPr>
        <w:tblStyle w:val="177"/>
        <w:tblW w:w="965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256"/>
        <w:gridCol w:w="1256"/>
        <w:gridCol w:w="1256"/>
        <w:gridCol w:w="1256"/>
        <w:gridCol w:w="1256"/>
        <w:gridCol w:w="1256"/>
        <w:gridCol w:w="1264"/>
      </w:tblGrid>
      <w:tr w14:paraId="01F2A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52" w:type="dxa"/>
          </w:tcPr>
          <w:p w14:paraId="4FE1ADF5">
            <w:pPr>
              <w:spacing w:before="35" w:line="184" w:lineRule="auto"/>
              <w:ind w:firstLine="115"/>
              <w:rPr>
                <w:rFonts w:ascii="宋体" w:hAnsi="宋体" w:cs="宋体"/>
                <w:color w:val="auto"/>
                <w:szCs w:val="21"/>
              </w:rPr>
            </w:pPr>
            <w:r>
              <w:rPr>
                <w:rFonts w:ascii="宋体" w:hAnsi="宋体" w:cs="宋体"/>
                <w:color w:val="auto"/>
                <w:spacing w:val="-1"/>
                <w:szCs w:val="21"/>
              </w:rPr>
              <w:t>工种</w:t>
            </w:r>
          </w:p>
        </w:tc>
        <w:tc>
          <w:tcPr>
            <w:tcW w:w="8800" w:type="dxa"/>
            <w:gridSpan w:val="7"/>
            <w:vAlign w:val="center"/>
          </w:tcPr>
          <w:p w14:paraId="09F6B543">
            <w:pPr>
              <w:spacing w:before="35" w:line="184" w:lineRule="auto"/>
              <w:ind w:firstLine="3141"/>
              <w:rPr>
                <w:rFonts w:ascii="宋体" w:hAnsi="宋体" w:cs="宋体"/>
                <w:color w:val="auto"/>
                <w:szCs w:val="21"/>
              </w:rPr>
            </w:pPr>
            <w:r>
              <w:rPr>
                <w:rFonts w:ascii="宋体" w:hAnsi="宋体" w:cs="宋体"/>
                <w:color w:val="auto"/>
                <w:spacing w:val="-1"/>
                <w:szCs w:val="21"/>
              </w:rPr>
              <w:t>按工程施工阶段投入劳动力情况</w:t>
            </w:r>
          </w:p>
        </w:tc>
      </w:tr>
      <w:tr w14:paraId="4DFA4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64D8EE74">
            <w:pPr>
              <w:rPr>
                <w:rFonts w:ascii="宋体"/>
                <w:color w:val="auto"/>
                <w:szCs w:val="21"/>
              </w:rPr>
            </w:pPr>
          </w:p>
        </w:tc>
        <w:tc>
          <w:tcPr>
            <w:tcW w:w="1256" w:type="dxa"/>
          </w:tcPr>
          <w:p w14:paraId="40FABBB1">
            <w:pPr>
              <w:rPr>
                <w:rFonts w:ascii="宋体"/>
                <w:color w:val="auto"/>
                <w:szCs w:val="21"/>
              </w:rPr>
            </w:pPr>
          </w:p>
        </w:tc>
        <w:tc>
          <w:tcPr>
            <w:tcW w:w="1256" w:type="dxa"/>
          </w:tcPr>
          <w:p w14:paraId="37C6E8D0">
            <w:pPr>
              <w:rPr>
                <w:rFonts w:ascii="宋体"/>
                <w:color w:val="auto"/>
                <w:szCs w:val="21"/>
              </w:rPr>
            </w:pPr>
          </w:p>
        </w:tc>
        <w:tc>
          <w:tcPr>
            <w:tcW w:w="1256" w:type="dxa"/>
          </w:tcPr>
          <w:p w14:paraId="19B37372">
            <w:pPr>
              <w:rPr>
                <w:rFonts w:ascii="宋体"/>
                <w:color w:val="auto"/>
                <w:szCs w:val="21"/>
              </w:rPr>
            </w:pPr>
          </w:p>
        </w:tc>
        <w:tc>
          <w:tcPr>
            <w:tcW w:w="1256" w:type="dxa"/>
          </w:tcPr>
          <w:p w14:paraId="2DA0BC4A">
            <w:pPr>
              <w:rPr>
                <w:rFonts w:ascii="宋体"/>
                <w:color w:val="auto"/>
                <w:szCs w:val="21"/>
              </w:rPr>
            </w:pPr>
          </w:p>
        </w:tc>
        <w:tc>
          <w:tcPr>
            <w:tcW w:w="1256" w:type="dxa"/>
          </w:tcPr>
          <w:p w14:paraId="5C1B3F6E">
            <w:pPr>
              <w:rPr>
                <w:rFonts w:ascii="宋体"/>
                <w:color w:val="auto"/>
                <w:szCs w:val="21"/>
              </w:rPr>
            </w:pPr>
          </w:p>
        </w:tc>
        <w:tc>
          <w:tcPr>
            <w:tcW w:w="1256" w:type="dxa"/>
          </w:tcPr>
          <w:p w14:paraId="371AB651">
            <w:pPr>
              <w:rPr>
                <w:rFonts w:ascii="宋体"/>
                <w:color w:val="auto"/>
                <w:szCs w:val="21"/>
              </w:rPr>
            </w:pPr>
          </w:p>
        </w:tc>
        <w:tc>
          <w:tcPr>
            <w:tcW w:w="1264" w:type="dxa"/>
          </w:tcPr>
          <w:p w14:paraId="1AC28393">
            <w:pPr>
              <w:rPr>
                <w:rFonts w:ascii="宋体"/>
                <w:color w:val="auto"/>
                <w:szCs w:val="21"/>
              </w:rPr>
            </w:pPr>
          </w:p>
        </w:tc>
      </w:tr>
      <w:tr w14:paraId="4EDCA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0E3DF5CA">
            <w:pPr>
              <w:rPr>
                <w:rFonts w:ascii="宋体"/>
                <w:color w:val="auto"/>
                <w:szCs w:val="21"/>
              </w:rPr>
            </w:pPr>
          </w:p>
        </w:tc>
        <w:tc>
          <w:tcPr>
            <w:tcW w:w="1256" w:type="dxa"/>
          </w:tcPr>
          <w:p w14:paraId="4FC8D972">
            <w:pPr>
              <w:rPr>
                <w:rFonts w:ascii="宋体"/>
                <w:color w:val="auto"/>
                <w:szCs w:val="21"/>
              </w:rPr>
            </w:pPr>
          </w:p>
        </w:tc>
        <w:tc>
          <w:tcPr>
            <w:tcW w:w="1256" w:type="dxa"/>
          </w:tcPr>
          <w:p w14:paraId="5F786650">
            <w:pPr>
              <w:rPr>
                <w:rFonts w:ascii="宋体"/>
                <w:color w:val="auto"/>
                <w:szCs w:val="21"/>
              </w:rPr>
            </w:pPr>
          </w:p>
        </w:tc>
        <w:tc>
          <w:tcPr>
            <w:tcW w:w="1256" w:type="dxa"/>
          </w:tcPr>
          <w:p w14:paraId="7C7D8659">
            <w:pPr>
              <w:rPr>
                <w:rFonts w:ascii="宋体"/>
                <w:color w:val="auto"/>
                <w:szCs w:val="21"/>
              </w:rPr>
            </w:pPr>
          </w:p>
        </w:tc>
        <w:tc>
          <w:tcPr>
            <w:tcW w:w="1256" w:type="dxa"/>
          </w:tcPr>
          <w:p w14:paraId="5AEA1D98">
            <w:pPr>
              <w:rPr>
                <w:rFonts w:ascii="宋体"/>
                <w:color w:val="auto"/>
                <w:szCs w:val="21"/>
              </w:rPr>
            </w:pPr>
          </w:p>
        </w:tc>
        <w:tc>
          <w:tcPr>
            <w:tcW w:w="1256" w:type="dxa"/>
          </w:tcPr>
          <w:p w14:paraId="3BEB753C">
            <w:pPr>
              <w:rPr>
                <w:rFonts w:ascii="宋体"/>
                <w:color w:val="auto"/>
                <w:szCs w:val="21"/>
              </w:rPr>
            </w:pPr>
          </w:p>
        </w:tc>
        <w:tc>
          <w:tcPr>
            <w:tcW w:w="1256" w:type="dxa"/>
          </w:tcPr>
          <w:p w14:paraId="759A9A7D">
            <w:pPr>
              <w:rPr>
                <w:rFonts w:ascii="宋体"/>
                <w:color w:val="auto"/>
                <w:szCs w:val="21"/>
              </w:rPr>
            </w:pPr>
          </w:p>
        </w:tc>
        <w:tc>
          <w:tcPr>
            <w:tcW w:w="1264" w:type="dxa"/>
          </w:tcPr>
          <w:p w14:paraId="571BC859">
            <w:pPr>
              <w:rPr>
                <w:rFonts w:ascii="宋体"/>
                <w:color w:val="auto"/>
                <w:szCs w:val="21"/>
              </w:rPr>
            </w:pPr>
          </w:p>
        </w:tc>
      </w:tr>
      <w:tr w14:paraId="6DA35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7BEC7FD7">
            <w:pPr>
              <w:rPr>
                <w:rFonts w:ascii="宋体"/>
                <w:color w:val="auto"/>
                <w:szCs w:val="21"/>
              </w:rPr>
            </w:pPr>
          </w:p>
        </w:tc>
        <w:tc>
          <w:tcPr>
            <w:tcW w:w="1256" w:type="dxa"/>
          </w:tcPr>
          <w:p w14:paraId="25B580F7">
            <w:pPr>
              <w:rPr>
                <w:rFonts w:ascii="宋体"/>
                <w:color w:val="auto"/>
                <w:szCs w:val="21"/>
              </w:rPr>
            </w:pPr>
          </w:p>
        </w:tc>
        <w:tc>
          <w:tcPr>
            <w:tcW w:w="1256" w:type="dxa"/>
          </w:tcPr>
          <w:p w14:paraId="77350B5B">
            <w:pPr>
              <w:rPr>
                <w:rFonts w:ascii="宋体"/>
                <w:color w:val="auto"/>
                <w:szCs w:val="21"/>
              </w:rPr>
            </w:pPr>
          </w:p>
        </w:tc>
        <w:tc>
          <w:tcPr>
            <w:tcW w:w="1256" w:type="dxa"/>
          </w:tcPr>
          <w:p w14:paraId="2509EE0C">
            <w:pPr>
              <w:rPr>
                <w:rFonts w:ascii="宋体"/>
                <w:color w:val="auto"/>
                <w:szCs w:val="21"/>
              </w:rPr>
            </w:pPr>
          </w:p>
        </w:tc>
        <w:tc>
          <w:tcPr>
            <w:tcW w:w="1256" w:type="dxa"/>
          </w:tcPr>
          <w:p w14:paraId="20E57688">
            <w:pPr>
              <w:rPr>
                <w:rFonts w:ascii="宋体"/>
                <w:color w:val="auto"/>
                <w:szCs w:val="21"/>
              </w:rPr>
            </w:pPr>
          </w:p>
        </w:tc>
        <w:tc>
          <w:tcPr>
            <w:tcW w:w="1256" w:type="dxa"/>
          </w:tcPr>
          <w:p w14:paraId="51FA2A99">
            <w:pPr>
              <w:rPr>
                <w:rFonts w:ascii="宋体"/>
                <w:color w:val="auto"/>
                <w:szCs w:val="21"/>
              </w:rPr>
            </w:pPr>
          </w:p>
        </w:tc>
        <w:tc>
          <w:tcPr>
            <w:tcW w:w="1256" w:type="dxa"/>
          </w:tcPr>
          <w:p w14:paraId="58270241">
            <w:pPr>
              <w:rPr>
                <w:rFonts w:ascii="宋体"/>
                <w:color w:val="auto"/>
                <w:szCs w:val="21"/>
              </w:rPr>
            </w:pPr>
          </w:p>
        </w:tc>
        <w:tc>
          <w:tcPr>
            <w:tcW w:w="1264" w:type="dxa"/>
          </w:tcPr>
          <w:p w14:paraId="5D412C9A">
            <w:pPr>
              <w:rPr>
                <w:rFonts w:ascii="宋体"/>
                <w:color w:val="auto"/>
                <w:szCs w:val="21"/>
              </w:rPr>
            </w:pPr>
          </w:p>
        </w:tc>
      </w:tr>
      <w:tr w14:paraId="68A46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5EB2F060">
            <w:pPr>
              <w:rPr>
                <w:rFonts w:ascii="宋体"/>
                <w:color w:val="auto"/>
                <w:szCs w:val="21"/>
              </w:rPr>
            </w:pPr>
          </w:p>
        </w:tc>
        <w:tc>
          <w:tcPr>
            <w:tcW w:w="1256" w:type="dxa"/>
          </w:tcPr>
          <w:p w14:paraId="07026C42">
            <w:pPr>
              <w:rPr>
                <w:rFonts w:ascii="宋体"/>
                <w:color w:val="auto"/>
                <w:szCs w:val="21"/>
              </w:rPr>
            </w:pPr>
          </w:p>
        </w:tc>
        <w:tc>
          <w:tcPr>
            <w:tcW w:w="1256" w:type="dxa"/>
          </w:tcPr>
          <w:p w14:paraId="4A14CD30">
            <w:pPr>
              <w:rPr>
                <w:rFonts w:ascii="宋体"/>
                <w:color w:val="auto"/>
                <w:szCs w:val="21"/>
              </w:rPr>
            </w:pPr>
          </w:p>
        </w:tc>
        <w:tc>
          <w:tcPr>
            <w:tcW w:w="1256" w:type="dxa"/>
          </w:tcPr>
          <w:p w14:paraId="7C204B4F">
            <w:pPr>
              <w:rPr>
                <w:rFonts w:ascii="宋体"/>
                <w:color w:val="auto"/>
                <w:szCs w:val="21"/>
              </w:rPr>
            </w:pPr>
          </w:p>
        </w:tc>
        <w:tc>
          <w:tcPr>
            <w:tcW w:w="1256" w:type="dxa"/>
          </w:tcPr>
          <w:p w14:paraId="59218197">
            <w:pPr>
              <w:rPr>
                <w:rFonts w:ascii="宋体"/>
                <w:color w:val="auto"/>
                <w:szCs w:val="21"/>
              </w:rPr>
            </w:pPr>
          </w:p>
        </w:tc>
        <w:tc>
          <w:tcPr>
            <w:tcW w:w="1256" w:type="dxa"/>
          </w:tcPr>
          <w:p w14:paraId="77A52C4F">
            <w:pPr>
              <w:rPr>
                <w:rFonts w:ascii="宋体"/>
                <w:color w:val="auto"/>
                <w:szCs w:val="21"/>
              </w:rPr>
            </w:pPr>
          </w:p>
        </w:tc>
        <w:tc>
          <w:tcPr>
            <w:tcW w:w="1256" w:type="dxa"/>
          </w:tcPr>
          <w:p w14:paraId="271AA53E">
            <w:pPr>
              <w:rPr>
                <w:rFonts w:ascii="宋体"/>
                <w:color w:val="auto"/>
                <w:szCs w:val="21"/>
              </w:rPr>
            </w:pPr>
          </w:p>
        </w:tc>
        <w:tc>
          <w:tcPr>
            <w:tcW w:w="1264" w:type="dxa"/>
          </w:tcPr>
          <w:p w14:paraId="1D87EA7E">
            <w:pPr>
              <w:rPr>
                <w:rFonts w:ascii="宋体"/>
                <w:color w:val="auto"/>
                <w:szCs w:val="21"/>
              </w:rPr>
            </w:pPr>
          </w:p>
        </w:tc>
      </w:tr>
      <w:tr w14:paraId="00971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52" w:type="dxa"/>
          </w:tcPr>
          <w:p w14:paraId="58C717BC">
            <w:pPr>
              <w:rPr>
                <w:rFonts w:ascii="宋体"/>
                <w:color w:val="auto"/>
                <w:szCs w:val="21"/>
              </w:rPr>
            </w:pPr>
          </w:p>
        </w:tc>
        <w:tc>
          <w:tcPr>
            <w:tcW w:w="1256" w:type="dxa"/>
          </w:tcPr>
          <w:p w14:paraId="76ECEA40">
            <w:pPr>
              <w:rPr>
                <w:rFonts w:ascii="宋体"/>
                <w:color w:val="auto"/>
                <w:szCs w:val="21"/>
              </w:rPr>
            </w:pPr>
          </w:p>
        </w:tc>
        <w:tc>
          <w:tcPr>
            <w:tcW w:w="1256" w:type="dxa"/>
          </w:tcPr>
          <w:p w14:paraId="21297CF7">
            <w:pPr>
              <w:rPr>
                <w:rFonts w:ascii="宋体"/>
                <w:color w:val="auto"/>
                <w:szCs w:val="21"/>
              </w:rPr>
            </w:pPr>
          </w:p>
        </w:tc>
        <w:tc>
          <w:tcPr>
            <w:tcW w:w="1256" w:type="dxa"/>
          </w:tcPr>
          <w:p w14:paraId="0E65EA1E">
            <w:pPr>
              <w:rPr>
                <w:rFonts w:ascii="宋体"/>
                <w:color w:val="auto"/>
                <w:szCs w:val="21"/>
              </w:rPr>
            </w:pPr>
          </w:p>
        </w:tc>
        <w:tc>
          <w:tcPr>
            <w:tcW w:w="1256" w:type="dxa"/>
          </w:tcPr>
          <w:p w14:paraId="719E4A9B">
            <w:pPr>
              <w:rPr>
                <w:rFonts w:ascii="宋体"/>
                <w:color w:val="auto"/>
                <w:szCs w:val="21"/>
              </w:rPr>
            </w:pPr>
          </w:p>
        </w:tc>
        <w:tc>
          <w:tcPr>
            <w:tcW w:w="1256" w:type="dxa"/>
          </w:tcPr>
          <w:p w14:paraId="4615E60D">
            <w:pPr>
              <w:rPr>
                <w:rFonts w:ascii="宋体"/>
                <w:color w:val="auto"/>
                <w:szCs w:val="21"/>
              </w:rPr>
            </w:pPr>
          </w:p>
        </w:tc>
        <w:tc>
          <w:tcPr>
            <w:tcW w:w="1256" w:type="dxa"/>
          </w:tcPr>
          <w:p w14:paraId="340038BA">
            <w:pPr>
              <w:rPr>
                <w:rFonts w:ascii="宋体"/>
                <w:color w:val="auto"/>
                <w:szCs w:val="21"/>
              </w:rPr>
            </w:pPr>
          </w:p>
        </w:tc>
        <w:tc>
          <w:tcPr>
            <w:tcW w:w="1264" w:type="dxa"/>
          </w:tcPr>
          <w:p w14:paraId="78558B38">
            <w:pPr>
              <w:rPr>
                <w:rFonts w:ascii="宋体"/>
                <w:color w:val="auto"/>
                <w:szCs w:val="21"/>
              </w:rPr>
            </w:pPr>
          </w:p>
        </w:tc>
      </w:tr>
      <w:tr w14:paraId="4A95D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2762FA86">
            <w:pPr>
              <w:rPr>
                <w:rFonts w:ascii="宋体"/>
                <w:color w:val="auto"/>
                <w:szCs w:val="21"/>
              </w:rPr>
            </w:pPr>
          </w:p>
        </w:tc>
        <w:tc>
          <w:tcPr>
            <w:tcW w:w="1256" w:type="dxa"/>
          </w:tcPr>
          <w:p w14:paraId="1409E9A0">
            <w:pPr>
              <w:rPr>
                <w:rFonts w:ascii="宋体"/>
                <w:color w:val="auto"/>
                <w:szCs w:val="21"/>
              </w:rPr>
            </w:pPr>
          </w:p>
        </w:tc>
        <w:tc>
          <w:tcPr>
            <w:tcW w:w="1256" w:type="dxa"/>
          </w:tcPr>
          <w:p w14:paraId="32EA4749">
            <w:pPr>
              <w:rPr>
                <w:rFonts w:ascii="宋体"/>
                <w:color w:val="auto"/>
                <w:szCs w:val="21"/>
              </w:rPr>
            </w:pPr>
          </w:p>
        </w:tc>
        <w:tc>
          <w:tcPr>
            <w:tcW w:w="1256" w:type="dxa"/>
          </w:tcPr>
          <w:p w14:paraId="2522A2EB">
            <w:pPr>
              <w:rPr>
                <w:rFonts w:ascii="宋体"/>
                <w:color w:val="auto"/>
                <w:szCs w:val="21"/>
              </w:rPr>
            </w:pPr>
          </w:p>
        </w:tc>
        <w:tc>
          <w:tcPr>
            <w:tcW w:w="1256" w:type="dxa"/>
          </w:tcPr>
          <w:p w14:paraId="048582B2">
            <w:pPr>
              <w:rPr>
                <w:rFonts w:ascii="宋体"/>
                <w:color w:val="auto"/>
                <w:szCs w:val="21"/>
              </w:rPr>
            </w:pPr>
          </w:p>
        </w:tc>
        <w:tc>
          <w:tcPr>
            <w:tcW w:w="1256" w:type="dxa"/>
          </w:tcPr>
          <w:p w14:paraId="5FB2DE14">
            <w:pPr>
              <w:rPr>
                <w:rFonts w:ascii="宋体"/>
                <w:color w:val="auto"/>
                <w:szCs w:val="21"/>
              </w:rPr>
            </w:pPr>
          </w:p>
        </w:tc>
        <w:tc>
          <w:tcPr>
            <w:tcW w:w="1256" w:type="dxa"/>
          </w:tcPr>
          <w:p w14:paraId="2C70BF6C">
            <w:pPr>
              <w:rPr>
                <w:rFonts w:ascii="宋体"/>
                <w:color w:val="auto"/>
                <w:szCs w:val="21"/>
              </w:rPr>
            </w:pPr>
          </w:p>
        </w:tc>
        <w:tc>
          <w:tcPr>
            <w:tcW w:w="1264" w:type="dxa"/>
          </w:tcPr>
          <w:p w14:paraId="3AD4E41D">
            <w:pPr>
              <w:rPr>
                <w:rFonts w:ascii="宋体"/>
                <w:color w:val="auto"/>
                <w:szCs w:val="21"/>
              </w:rPr>
            </w:pPr>
          </w:p>
        </w:tc>
      </w:tr>
      <w:tr w14:paraId="3BF77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663B6E87">
            <w:pPr>
              <w:rPr>
                <w:rFonts w:ascii="宋体"/>
                <w:color w:val="auto"/>
                <w:szCs w:val="21"/>
              </w:rPr>
            </w:pPr>
          </w:p>
        </w:tc>
        <w:tc>
          <w:tcPr>
            <w:tcW w:w="1256" w:type="dxa"/>
          </w:tcPr>
          <w:p w14:paraId="5806B5EE">
            <w:pPr>
              <w:rPr>
                <w:rFonts w:ascii="宋体"/>
                <w:color w:val="auto"/>
                <w:szCs w:val="21"/>
              </w:rPr>
            </w:pPr>
          </w:p>
        </w:tc>
        <w:tc>
          <w:tcPr>
            <w:tcW w:w="1256" w:type="dxa"/>
          </w:tcPr>
          <w:p w14:paraId="3C907835">
            <w:pPr>
              <w:rPr>
                <w:rFonts w:ascii="宋体"/>
                <w:color w:val="auto"/>
                <w:szCs w:val="21"/>
              </w:rPr>
            </w:pPr>
          </w:p>
        </w:tc>
        <w:tc>
          <w:tcPr>
            <w:tcW w:w="1256" w:type="dxa"/>
          </w:tcPr>
          <w:p w14:paraId="55AEF814">
            <w:pPr>
              <w:rPr>
                <w:rFonts w:ascii="宋体"/>
                <w:color w:val="auto"/>
                <w:szCs w:val="21"/>
              </w:rPr>
            </w:pPr>
          </w:p>
        </w:tc>
        <w:tc>
          <w:tcPr>
            <w:tcW w:w="1256" w:type="dxa"/>
          </w:tcPr>
          <w:p w14:paraId="0DDC5402">
            <w:pPr>
              <w:rPr>
                <w:rFonts w:ascii="宋体"/>
                <w:color w:val="auto"/>
                <w:szCs w:val="21"/>
              </w:rPr>
            </w:pPr>
          </w:p>
        </w:tc>
        <w:tc>
          <w:tcPr>
            <w:tcW w:w="1256" w:type="dxa"/>
          </w:tcPr>
          <w:p w14:paraId="414B0E7F">
            <w:pPr>
              <w:rPr>
                <w:rFonts w:ascii="宋体"/>
                <w:color w:val="auto"/>
                <w:szCs w:val="21"/>
              </w:rPr>
            </w:pPr>
          </w:p>
        </w:tc>
        <w:tc>
          <w:tcPr>
            <w:tcW w:w="1256" w:type="dxa"/>
          </w:tcPr>
          <w:p w14:paraId="65594367">
            <w:pPr>
              <w:rPr>
                <w:rFonts w:ascii="宋体"/>
                <w:color w:val="auto"/>
                <w:szCs w:val="21"/>
              </w:rPr>
            </w:pPr>
          </w:p>
        </w:tc>
        <w:tc>
          <w:tcPr>
            <w:tcW w:w="1264" w:type="dxa"/>
          </w:tcPr>
          <w:p w14:paraId="6443012F">
            <w:pPr>
              <w:rPr>
                <w:rFonts w:ascii="宋体"/>
                <w:color w:val="auto"/>
                <w:szCs w:val="21"/>
              </w:rPr>
            </w:pPr>
          </w:p>
        </w:tc>
      </w:tr>
      <w:tr w14:paraId="122819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4488D291">
            <w:pPr>
              <w:rPr>
                <w:rFonts w:ascii="宋体"/>
                <w:color w:val="auto"/>
                <w:szCs w:val="21"/>
              </w:rPr>
            </w:pPr>
          </w:p>
        </w:tc>
        <w:tc>
          <w:tcPr>
            <w:tcW w:w="1256" w:type="dxa"/>
          </w:tcPr>
          <w:p w14:paraId="2427C589">
            <w:pPr>
              <w:rPr>
                <w:rFonts w:ascii="宋体"/>
                <w:color w:val="auto"/>
                <w:szCs w:val="21"/>
              </w:rPr>
            </w:pPr>
          </w:p>
        </w:tc>
        <w:tc>
          <w:tcPr>
            <w:tcW w:w="1256" w:type="dxa"/>
          </w:tcPr>
          <w:p w14:paraId="3A59DB43">
            <w:pPr>
              <w:rPr>
                <w:rFonts w:ascii="宋体"/>
                <w:color w:val="auto"/>
                <w:szCs w:val="21"/>
              </w:rPr>
            </w:pPr>
          </w:p>
        </w:tc>
        <w:tc>
          <w:tcPr>
            <w:tcW w:w="1256" w:type="dxa"/>
          </w:tcPr>
          <w:p w14:paraId="5E186EB2">
            <w:pPr>
              <w:rPr>
                <w:rFonts w:ascii="宋体"/>
                <w:color w:val="auto"/>
                <w:szCs w:val="21"/>
              </w:rPr>
            </w:pPr>
          </w:p>
        </w:tc>
        <w:tc>
          <w:tcPr>
            <w:tcW w:w="1256" w:type="dxa"/>
          </w:tcPr>
          <w:p w14:paraId="30DFD949">
            <w:pPr>
              <w:rPr>
                <w:rFonts w:ascii="宋体"/>
                <w:color w:val="auto"/>
                <w:szCs w:val="21"/>
              </w:rPr>
            </w:pPr>
          </w:p>
        </w:tc>
        <w:tc>
          <w:tcPr>
            <w:tcW w:w="1256" w:type="dxa"/>
          </w:tcPr>
          <w:p w14:paraId="55EF1CA2">
            <w:pPr>
              <w:rPr>
                <w:rFonts w:ascii="宋体"/>
                <w:color w:val="auto"/>
                <w:szCs w:val="21"/>
              </w:rPr>
            </w:pPr>
          </w:p>
        </w:tc>
        <w:tc>
          <w:tcPr>
            <w:tcW w:w="1256" w:type="dxa"/>
          </w:tcPr>
          <w:p w14:paraId="55F07642">
            <w:pPr>
              <w:rPr>
                <w:rFonts w:ascii="宋体"/>
                <w:color w:val="auto"/>
                <w:szCs w:val="21"/>
              </w:rPr>
            </w:pPr>
          </w:p>
        </w:tc>
        <w:tc>
          <w:tcPr>
            <w:tcW w:w="1264" w:type="dxa"/>
          </w:tcPr>
          <w:p w14:paraId="4CA1B678">
            <w:pPr>
              <w:rPr>
                <w:rFonts w:ascii="宋体"/>
                <w:color w:val="auto"/>
                <w:szCs w:val="21"/>
              </w:rPr>
            </w:pPr>
          </w:p>
        </w:tc>
      </w:tr>
      <w:tr w14:paraId="452D2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2AEA9EF7">
            <w:pPr>
              <w:rPr>
                <w:rFonts w:ascii="宋体"/>
                <w:color w:val="auto"/>
                <w:szCs w:val="21"/>
              </w:rPr>
            </w:pPr>
          </w:p>
        </w:tc>
        <w:tc>
          <w:tcPr>
            <w:tcW w:w="1256" w:type="dxa"/>
          </w:tcPr>
          <w:p w14:paraId="259278AF">
            <w:pPr>
              <w:rPr>
                <w:rFonts w:ascii="宋体"/>
                <w:color w:val="auto"/>
                <w:szCs w:val="21"/>
              </w:rPr>
            </w:pPr>
          </w:p>
        </w:tc>
        <w:tc>
          <w:tcPr>
            <w:tcW w:w="1256" w:type="dxa"/>
          </w:tcPr>
          <w:p w14:paraId="54A45DEE">
            <w:pPr>
              <w:rPr>
                <w:rFonts w:ascii="宋体"/>
                <w:color w:val="auto"/>
                <w:szCs w:val="21"/>
              </w:rPr>
            </w:pPr>
          </w:p>
        </w:tc>
        <w:tc>
          <w:tcPr>
            <w:tcW w:w="1256" w:type="dxa"/>
          </w:tcPr>
          <w:p w14:paraId="5E35A978">
            <w:pPr>
              <w:rPr>
                <w:rFonts w:ascii="宋体"/>
                <w:color w:val="auto"/>
                <w:szCs w:val="21"/>
              </w:rPr>
            </w:pPr>
          </w:p>
        </w:tc>
        <w:tc>
          <w:tcPr>
            <w:tcW w:w="1256" w:type="dxa"/>
          </w:tcPr>
          <w:p w14:paraId="37AA05DB">
            <w:pPr>
              <w:rPr>
                <w:rFonts w:ascii="宋体"/>
                <w:color w:val="auto"/>
                <w:szCs w:val="21"/>
              </w:rPr>
            </w:pPr>
          </w:p>
        </w:tc>
        <w:tc>
          <w:tcPr>
            <w:tcW w:w="1256" w:type="dxa"/>
          </w:tcPr>
          <w:p w14:paraId="1EEBFA11">
            <w:pPr>
              <w:rPr>
                <w:rFonts w:ascii="宋体"/>
                <w:color w:val="auto"/>
                <w:szCs w:val="21"/>
              </w:rPr>
            </w:pPr>
          </w:p>
        </w:tc>
        <w:tc>
          <w:tcPr>
            <w:tcW w:w="1256" w:type="dxa"/>
          </w:tcPr>
          <w:p w14:paraId="5A5E95C3">
            <w:pPr>
              <w:rPr>
                <w:rFonts w:ascii="宋体"/>
                <w:color w:val="auto"/>
                <w:szCs w:val="21"/>
              </w:rPr>
            </w:pPr>
          </w:p>
        </w:tc>
        <w:tc>
          <w:tcPr>
            <w:tcW w:w="1264" w:type="dxa"/>
          </w:tcPr>
          <w:p w14:paraId="458F740C">
            <w:pPr>
              <w:rPr>
                <w:rFonts w:ascii="宋体"/>
                <w:color w:val="auto"/>
                <w:szCs w:val="21"/>
              </w:rPr>
            </w:pPr>
          </w:p>
        </w:tc>
      </w:tr>
      <w:tr w14:paraId="15ACE8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2D18D4FA">
            <w:pPr>
              <w:rPr>
                <w:rFonts w:ascii="宋体"/>
                <w:color w:val="auto"/>
                <w:szCs w:val="21"/>
              </w:rPr>
            </w:pPr>
          </w:p>
        </w:tc>
        <w:tc>
          <w:tcPr>
            <w:tcW w:w="1256" w:type="dxa"/>
          </w:tcPr>
          <w:p w14:paraId="67A76B31">
            <w:pPr>
              <w:rPr>
                <w:rFonts w:ascii="宋体"/>
                <w:color w:val="auto"/>
                <w:szCs w:val="21"/>
              </w:rPr>
            </w:pPr>
          </w:p>
        </w:tc>
        <w:tc>
          <w:tcPr>
            <w:tcW w:w="1256" w:type="dxa"/>
          </w:tcPr>
          <w:p w14:paraId="58AA80C7">
            <w:pPr>
              <w:rPr>
                <w:rFonts w:ascii="宋体"/>
                <w:color w:val="auto"/>
                <w:szCs w:val="21"/>
              </w:rPr>
            </w:pPr>
          </w:p>
        </w:tc>
        <w:tc>
          <w:tcPr>
            <w:tcW w:w="1256" w:type="dxa"/>
          </w:tcPr>
          <w:p w14:paraId="76CE02AA">
            <w:pPr>
              <w:rPr>
                <w:rFonts w:ascii="宋体"/>
                <w:color w:val="auto"/>
                <w:szCs w:val="21"/>
              </w:rPr>
            </w:pPr>
          </w:p>
        </w:tc>
        <w:tc>
          <w:tcPr>
            <w:tcW w:w="1256" w:type="dxa"/>
          </w:tcPr>
          <w:p w14:paraId="3ABB7987">
            <w:pPr>
              <w:rPr>
                <w:rFonts w:ascii="宋体"/>
                <w:color w:val="auto"/>
                <w:szCs w:val="21"/>
              </w:rPr>
            </w:pPr>
          </w:p>
        </w:tc>
        <w:tc>
          <w:tcPr>
            <w:tcW w:w="1256" w:type="dxa"/>
          </w:tcPr>
          <w:p w14:paraId="73D4DC80">
            <w:pPr>
              <w:rPr>
                <w:rFonts w:ascii="宋体"/>
                <w:color w:val="auto"/>
                <w:szCs w:val="21"/>
              </w:rPr>
            </w:pPr>
          </w:p>
        </w:tc>
        <w:tc>
          <w:tcPr>
            <w:tcW w:w="1256" w:type="dxa"/>
          </w:tcPr>
          <w:p w14:paraId="49EFF3CA">
            <w:pPr>
              <w:rPr>
                <w:rFonts w:ascii="宋体"/>
                <w:color w:val="auto"/>
                <w:szCs w:val="21"/>
              </w:rPr>
            </w:pPr>
          </w:p>
        </w:tc>
        <w:tc>
          <w:tcPr>
            <w:tcW w:w="1264" w:type="dxa"/>
          </w:tcPr>
          <w:p w14:paraId="06A7AC37">
            <w:pPr>
              <w:rPr>
                <w:rFonts w:ascii="宋体"/>
                <w:color w:val="auto"/>
                <w:szCs w:val="21"/>
              </w:rPr>
            </w:pPr>
          </w:p>
        </w:tc>
      </w:tr>
      <w:tr w14:paraId="2F737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1AE3A311">
            <w:pPr>
              <w:rPr>
                <w:rFonts w:ascii="宋体"/>
                <w:color w:val="auto"/>
                <w:szCs w:val="21"/>
              </w:rPr>
            </w:pPr>
          </w:p>
        </w:tc>
        <w:tc>
          <w:tcPr>
            <w:tcW w:w="1256" w:type="dxa"/>
          </w:tcPr>
          <w:p w14:paraId="33D8878F">
            <w:pPr>
              <w:rPr>
                <w:rFonts w:ascii="宋体"/>
                <w:color w:val="auto"/>
                <w:szCs w:val="21"/>
              </w:rPr>
            </w:pPr>
          </w:p>
        </w:tc>
        <w:tc>
          <w:tcPr>
            <w:tcW w:w="1256" w:type="dxa"/>
          </w:tcPr>
          <w:p w14:paraId="4C69D265">
            <w:pPr>
              <w:rPr>
                <w:rFonts w:ascii="宋体"/>
                <w:color w:val="auto"/>
                <w:szCs w:val="21"/>
              </w:rPr>
            </w:pPr>
          </w:p>
        </w:tc>
        <w:tc>
          <w:tcPr>
            <w:tcW w:w="1256" w:type="dxa"/>
          </w:tcPr>
          <w:p w14:paraId="5786B5FC">
            <w:pPr>
              <w:rPr>
                <w:rFonts w:ascii="宋体"/>
                <w:color w:val="auto"/>
                <w:szCs w:val="21"/>
              </w:rPr>
            </w:pPr>
          </w:p>
        </w:tc>
        <w:tc>
          <w:tcPr>
            <w:tcW w:w="1256" w:type="dxa"/>
          </w:tcPr>
          <w:p w14:paraId="5F6930ED">
            <w:pPr>
              <w:rPr>
                <w:rFonts w:ascii="宋体"/>
                <w:color w:val="auto"/>
                <w:szCs w:val="21"/>
              </w:rPr>
            </w:pPr>
          </w:p>
        </w:tc>
        <w:tc>
          <w:tcPr>
            <w:tcW w:w="1256" w:type="dxa"/>
          </w:tcPr>
          <w:p w14:paraId="7E44E59C">
            <w:pPr>
              <w:rPr>
                <w:rFonts w:ascii="宋体"/>
                <w:color w:val="auto"/>
                <w:szCs w:val="21"/>
              </w:rPr>
            </w:pPr>
          </w:p>
        </w:tc>
        <w:tc>
          <w:tcPr>
            <w:tcW w:w="1256" w:type="dxa"/>
          </w:tcPr>
          <w:p w14:paraId="0EC0C1C2">
            <w:pPr>
              <w:rPr>
                <w:rFonts w:ascii="宋体"/>
                <w:color w:val="auto"/>
                <w:szCs w:val="21"/>
              </w:rPr>
            </w:pPr>
          </w:p>
        </w:tc>
        <w:tc>
          <w:tcPr>
            <w:tcW w:w="1264" w:type="dxa"/>
          </w:tcPr>
          <w:p w14:paraId="682A6AC2">
            <w:pPr>
              <w:rPr>
                <w:rFonts w:ascii="宋体"/>
                <w:color w:val="auto"/>
                <w:szCs w:val="21"/>
              </w:rPr>
            </w:pPr>
          </w:p>
        </w:tc>
      </w:tr>
      <w:tr w14:paraId="3EABDD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525D7C97">
            <w:pPr>
              <w:rPr>
                <w:rFonts w:ascii="宋体"/>
                <w:color w:val="auto"/>
                <w:szCs w:val="21"/>
              </w:rPr>
            </w:pPr>
          </w:p>
        </w:tc>
        <w:tc>
          <w:tcPr>
            <w:tcW w:w="1256" w:type="dxa"/>
          </w:tcPr>
          <w:p w14:paraId="3ACF17F0">
            <w:pPr>
              <w:rPr>
                <w:rFonts w:ascii="宋体"/>
                <w:color w:val="auto"/>
                <w:szCs w:val="21"/>
              </w:rPr>
            </w:pPr>
          </w:p>
        </w:tc>
        <w:tc>
          <w:tcPr>
            <w:tcW w:w="1256" w:type="dxa"/>
          </w:tcPr>
          <w:p w14:paraId="72679C3A">
            <w:pPr>
              <w:rPr>
                <w:rFonts w:ascii="宋体"/>
                <w:color w:val="auto"/>
                <w:szCs w:val="21"/>
              </w:rPr>
            </w:pPr>
          </w:p>
        </w:tc>
        <w:tc>
          <w:tcPr>
            <w:tcW w:w="1256" w:type="dxa"/>
          </w:tcPr>
          <w:p w14:paraId="5958E427">
            <w:pPr>
              <w:rPr>
                <w:rFonts w:ascii="宋体"/>
                <w:color w:val="auto"/>
                <w:szCs w:val="21"/>
              </w:rPr>
            </w:pPr>
          </w:p>
        </w:tc>
        <w:tc>
          <w:tcPr>
            <w:tcW w:w="1256" w:type="dxa"/>
          </w:tcPr>
          <w:p w14:paraId="43AB66E6">
            <w:pPr>
              <w:rPr>
                <w:rFonts w:ascii="宋体"/>
                <w:color w:val="auto"/>
                <w:szCs w:val="21"/>
              </w:rPr>
            </w:pPr>
          </w:p>
        </w:tc>
        <w:tc>
          <w:tcPr>
            <w:tcW w:w="1256" w:type="dxa"/>
          </w:tcPr>
          <w:p w14:paraId="40EACAAF">
            <w:pPr>
              <w:rPr>
                <w:rFonts w:ascii="宋体"/>
                <w:color w:val="auto"/>
                <w:szCs w:val="21"/>
              </w:rPr>
            </w:pPr>
          </w:p>
        </w:tc>
        <w:tc>
          <w:tcPr>
            <w:tcW w:w="1256" w:type="dxa"/>
          </w:tcPr>
          <w:p w14:paraId="697A94E3">
            <w:pPr>
              <w:rPr>
                <w:rFonts w:ascii="宋体"/>
                <w:color w:val="auto"/>
                <w:szCs w:val="21"/>
              </w:rPr>
            </w:pPr>
          </w:p>
        </w:tc>
        <w:tc>
          <w:tcPr>
            <w:tcW w:w="1264" w:type="dxa"/>
          </w:tcPr>
          <w:p w14:paraId="78F169CD">
            <w:pPr>
              <w:rPr>
                <w:rFonts w:ascii="宋体"/>
                <w:color w:val="auto"/>
                <w:szCs w:val="21"/>
              </w:rPr>
            </w:pPr>
          </w:p>
        </w:tc>
      </w:tr>
      <w:tr w14:paraId="479FA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6E0662E8">
            <w:pPr>
              <w:rPr>
                <w:rFonts w:ascii="宋体"/>
                <w:color w:val="auto"/>
                <w:szCs w:val="21"/>
              </w:rPr>
            </w:pPr>
          </w:p>
        </w:tc>
        <w:tc>
          <w:tcPr>
            <w:tcW w:w="1256" w:type="dxa"/>
          </w:tcPr>
          <w:p w14:paraId="1BA5804E">
            <w:pPr>
              <w:rPr>
                <w:rFonts w:ascii="宋体"/>
                <w:color w:val="auto"/>
                <w:szCs w:val="21"/>
              </w:rPr>
            </w:pPr>
          </w:p>
        </w:tc>
        <w:tc>
          <w:tcPr>
            <w:tcW w:w="1256" w:type="dxa"/>
          </w:tcPr>
          <w:p w14:paraId="042F79CA">
            <w:pPr>
              <w:rPr>
                <w:rFonts w:ascii="宋体"/>
                <w:color w:val="auto"/>
                <w:szCs w:val="21"/>
              </w:rPr>
            </w:pPr>
          </w:p>
        </w:tc>
        <w:tc>
          <w:tcPr>
            <w:tcW w:w="1256" w:type="dxa"/>
          </w:tcPr>
          <w:p w14:paraId="6E635B53">
            <w:pPr>
              <w:rPr>
                <w:rFonts w:ascii="宋体"/>
                <w:color w:val="auto"/>
                <w:szCs w:val="21"/>
              </w:rPr>
            </w:pPr>
          </w:p>
        </w:tc>
        <w:tc>
          <w:tcPr>
            <w:tcW w:w="1256" w:type="dxa"/>
          </w:tcPr>
          <w:p w14:paraId="428BB8CC">
            <w:pPr>
              <w:rPr>
                <w:rFonts w:ascii="宋体"/>
                <w:color w:val="auto"/>
                <w:szCs w:val="21"/>
              </w:rPr>
            </w:pPr>
          </w:p>
        </w:tc>
        <w:tc>
          <w:tcPr>
            <w:tcW w:w="1256" w:type="dxa"/>
          </w:tcPr>
          <w:p w14:paraId="4A414F86">
            <w:pPr>
              <w:rPr>
                <w:rFonts w:ascii="宋体"/>
                <w:color w:val="auto"/>
                <w:szCs w:val="21"/>
              </w:rPr>
            </w:pPr>
          </w:p>
        </w:tc>
        <w:tc>
          <w:tcPr>
            <w:tcW w:w="1256" w:type="dxa"/>
          </w:tcPr>
          <w:p w14:paraId="68DC1E1A">
            <w:pPr>
              <w:rPr>
                <w:rFonts w:ascii="宋体"/>
                <w:color w:val="auto"/>
                <w:szCs w:val="21"/>
              </w:rPr>
            </w:pPr>
          </w:p>
        </w:tc>
        <w:tc>
          <w:tcPr>
            <w:tcW w:w="1264" w:type="dxa"/>
          </w:tcPr>
          <w:p w14:paraId="776736C4">
            <w:pPr>
              <w:rPr>
                <w:rFonts w:ascii="宋体"/>
                <w:color w:val="auto"/>
                <w:szCs w:val="21"/>
              </w:rPr>
            </w:pPr>
          </w:p>
        </w:tc>
      </w:tr>
      <w:tr w14:paraId="350E1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102D7855">
            <w:pPr>
              <w:rPr>
                <w:rFonts w:ascii="宋体"/>
                <w:color w:val="auto"/>
                <w:szCs w:val="21"/>
              </w:rPr>
            </w:pPr>
          </w:p>
        </w:tc>
        <w:tc>
          <w:tcPr>
            <w:tcW w:w="1256" w:type="dxa"/>
          </w:tcPr>
          <w:p w14:paraId="18F7316A">
            <w:pPr>
              <w:rPr>
                <w:rFonts w:ascii="宋体"/>
                <w:color w:val="auto"/>
                <w:szCs w:val="21"/>
              </w:rPr>
            </w:pPr>
          </w:p>
        </w:tc>
        <w:tc>
          <w:tcPr>
            <w:tcW w:w="1256" w:type="dxa"/>
          </w:tcPr>
          <w:p w14:paraId="1AC0F4AB">
            <w:pPr>
              <w:rPr>
                <w:rFonts w:ascii="宋体"/>
                <w:color w:val="auto"/>
                <w:szCs w:val="21"/>
              </w:rPr>
            </w:pPr>
          </w:p>
        </w:tc>
        <w:tc>
          <w:tcPr>
            <w:tcW w:w="1256" w:type="dxa"/>
          </w:tcPr>
          <w:p w14:paraId="237999AD">
            <w:pPr>
              <w:rPr>
                <w:rFonts w:ascii="宋体"/>
                <w:color w:val="auto"/>
                <w:szCs w:val="21"/>
              </w:rPr>
            </w:pPr>
          </w:p>
        </w:tc>
        <w:tc>
          <w:tcPr>
            <w:tcW w:w="1256" w:type="dxa"/>
          </w:tcPr>
          <w:p w14:paraId="0A881FB8">
            <w:pPr>
              <w:rPr>
                <w:rFonts w:ascii="宋体"/>
                <w:color w:val="auto"/>
                <w:szCs w:val="21"/>
              </w:rPr>
            </w:pPr>
          </w:p>
        </w:tc>
        <w:tc>
          <w:tcPr>
            <w:tcW w:w="1256" w:type="dxa"/>
          </w:tcPr>
          <w:p w14:paraId="5EC3DDC5">
            <w:pPr>
              <w:rPr>
                <w:rFonts w:ascii="宋体"/>
                <w:color w:val="auto"/>
                <w:szCs w:val="21"/>
              </w:rPr>
            </w:pPr>
          </w:p>
        </w:tc>
        <w:tc>
          <w:tcPr>
            <w:tcW w:w="1256" w:type="dxa"/>
          </w:tcPr>
          <w:p w14:paraId="5EB472AA">
            <w:pPr>
              <w:rPr>
                <w:rFonts w:ascii="宋体"/>
                <w:color w:val="auto"/>
                <w:szCs w:val="21"/>
              </w:rPr>
            </w:pPr>
          </w:p>
        </w:tc>
        <w:tc>
          <w:tcPr>
            <w:tcW w:w="1264" w:type="dxa"/>
          </w:tcPr>
          <w:p w14:paraId="4016E32A">
            <w:pPr>
              <w:rPr>
                <w:rFonts w:ascii="宋体"/>
                <w:color w:val="auto"/>
                <w:szCs w:val="21"/>
              </w:rPr>
            </w:pPr>
          </w:p>
        </w:tc>
      </w:tr>
      <w:tr w14:paraId="46D64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21B2C505">
            <w:pPr>
              <w:rPr>
                <w:rFonts w:ascii="宋体"/>
                <w:color w:val="auto"/>
                <w:szCs w:val="21"/>
              </w:rPr>
            </w:pPr>
          </w:p>
        </w:tc>
        <w:tc>
          <w:tcPr>
            <w:tcW w:w="1256" w:type="dxa"/>
          </w:tcPr>
          <w:p w14:paraId="3159AD74">
            <w:pPr>
              <w:rPr>
                <w:rFonts w:ascii="宋体"/>
                <w:color w:val="auto"/>
                <w:szCs w:val="21"/>
              </w:rPr>
            </w:pPr>
          </w:p>
        </w:tc>
        <w:tc>
          <w:tcPr>
            <w:tcW w:w="1256" w:type="dxa"/>
          </w:tcPr>
          <w:p w14:paraId="3D149040">
            <w:pPr>
              <w:rPr>
                <w:rFonts w:ascii="宋体"/>
                <w:color w:val="auto"/>
                <w:szCs w:val="21"/>
              </w:rPr>
            </w:pPr>
          </w:p>
        </w:tc>
        <w:tc>
          <w:tcPr>
            <w:tcW w:w="1256" w:type="dxa"/>
          </w:tcPr>
          <w:p w14:paraId="42F2D3AF">
            <w:pPr>
              <w:rPr>
                <w:rFonts w:ascii="宋体"/>
                <w:color w:val="auto"/>
                <w:szCs w:val="21"/>
              </w:rPr>
            </w:pPr>
          </w:p>
        </w:tc>
        <w:tc>
          <w:tcPr>
            <w:tcW w:w="1256" w:type="dxa"/>
          </w:tcPr>
          <w:p w14:paraId="64884875">
            <w:pPr>
              <w:rPr>
                <w:rFonts w:ascii="宋体"/>
                <w:color w:val="auto"/>
                <w:szCs w:val="21"/>
              </w:rPr>
            </w:pPr>
          </w:p>
        </w:tc>
        <w:tc>
          <w:tcPr>
            <w:tcW w:w="1256" w:type="dxa"/>
          </w:tcPr>
          <w:p w14:paraId="153F92C4">
            <w:pPr>
              <w:rPr>
                <w:rFonts w:ascii="宋体"/>
                <w:color w:val="auto"/>
                <w:szCs w:val="21"/>
              </w:rPr>
            </w:pPr>
          </w:p>
        </w:tc>
        <w:tc>
          <w:tcPr>
            <w:tcW w:w="1256" w:type="dxa"/>
          </w:tcPr>
          <w:p w14:paraId="60EC4E9C">
            <w:pPr>
              <w:rPr>
                <w:rFonts w:ascii="宋体"/>
                <w:color w:val="auto"/>
                <w:szCs w:val="21"/>
              </w:rPr>
            </w:pPr>
          </w:p>
        </w:tc>
        <w:tc>
          <w:tcPr>
            <w:tcW w:w="1264" w:type="dxa"/>
          </w:tcPr>
          <w:p w14:paraId="06CE67C6">
            <w:pPr>
              <w:rPr>
                <w:rFonts w:ascii="宋体"/>
                <w:color w:val="auto"/>
                <w:szCs w:val="21"/>
              </w:rPr>
            </w:pPr>
          </w:p>
        </w:tc>
      </w:tr>
      <w:tr w14:paraId="5B808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0CBF4429">
            <w:pPr>
              <w:rPr>
                <w:rFonts w:ascii="宋体"/>
                <w:color w:val="auto"/>
                <w:szCs w:val="21"/>
              </w:rPr>
            </w:pPr>
          </w:p>
        </w:tc>
        <w:tc>
          <w:tcPr>
            <w:tcW w:w="1256" w:type="dxa"/>
          </w:tcPr>
          <w:p w14:paraId="5072D1A8">
            <w:pPr>
              <w:rPr>
                <w:rFonts w:ascii="宋体"/>
                <w:color w:val="auto"/>
                <w:szCs w:val="21"/>
              </w:rPr>
            </w:pPr>
          </w:p>
        </w:tc>
        <w:tc>
          <w:tcPr>
            <w:tcW w:w="1256" w:type="dxa"/>
          </w:tcPr>
          <w:p w14:paraId="4A660209">
            <w:pPr>
              <w:rPr>
                <w:rFonts w:ascii="宋体"/>
                <w:color w:val="auto"/>
                <w:szCs w:val="21"/>
              </w:rPr>
            </w:pPr>
          </w:p>
        </w:tc>
        <w:tc>
          <w:tcPr>
            <w:tcW w:w="1256" w:type="dxa"/>
          </w:tcPr>
          <w:p w14:paraId="65AB43BF">
            <w:pPr>
              <w:rPr>
                <w:rFonts w:ascii="宋体"/>
                <w:color w:val="auto"/>
                <w:szCs w:val="21"/>
              </w:rPr>
            </w:pPr>
          </w:p>
        </w:tc>
        <w:tc>
          <w:tcPr>
            <w:tcW w:w="1256" w:type="dxa"/>
          </w:tcPr>
          <w:p w14:paraId="1C343E85">
            <w:pPr>
              <w:rPr>
                <w:rFonts w:ascii="宋体"/>
                <w:color w:val="auto"/>
                <w:szCs w:val="21"/>
              </w:rPr>
            </w:pPr>
          </w:p>
        </w:tc>
        <w:tc>
          <w:tcPr>
            <w:tcW w:w="1256" w:type="dxa"/>
          </w:tcPr>
          <w:p w14:paraId="12836C72">
            <w:pPr>
              <w:rPr>
                <w:rFonts w:ascii="宋体"/>
                <w:color w:val="auto"/>
                <w:szCs w:val="21"/>
              </w:rPr>
            </w:pPr>
          </w:p>
        </w:tc>
        <w:tc>
          <w:tcPr>
            <w:tcW w:w="1256" w:type="dxa"/>
          </w:tcPr>
          <w:p w14:paraId="5CC71BB7">
            <w:pPr>
              <w:rPr>
                <w:rFonts w:ascii="宋体"/>
                <w:color w:val="auto"/>
                <w:szCs w:val="21"/>
              </w:rPr>
            </w:pPr>
          </w:p>
        </w:tc>
        <w:tc>
          <w:tcPr>
            <w:tcW w:w="1264" w:type="dxa"/>
          </w:tcPr>
          <w:p w14:paraId="4BEF5E5F">
            <w:pPr>
              <w:rPr>
                <w:rFonts w:ascii="宋体"/>
                <w:color w:val="auto"/>
                <w:szCs w:val="21"/>
              </w:rPr>
            </w:pPr>
          </w:p>
        </w:tc>
      </w:tr>
      <w:tr w14:paraId="60D5B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4B85ECB7">
            <w:pPr>
              <w:rPr>
                <w:rFonts w:ascii="宋体"/>
                <w:color w:val="auto"/>
                <w:szCs w:val="21"/>
              </w:rPr>
            </w:pPr>
          </w:p>
        </w:tc>
        <w:tc>
          <w:tcPr>
            <w:tcW w:w="1256" w:type="dxa"/>
          </w:tcPr>
          <w:p w14:paraId="1C93CC4C">
            <w:pPr>
              <w:rPr>
                <w:rFonts w:ascii="宋体"/>
                <w:color w:val="auto"/>
                <w:szCs w:val="21"/>
              </w:rPr>
            </w:pPr>
          </w:p>
        </w:tc>
        <w:tc>
          <w:tcPr>
            <w:tcW w:w="1256" w:type="dxa"/>
          </w:tcPr>
          <w:p w14:paraId="63B9F5CD">
            <w:pPr>
              <w:rPr>
                <w:rFonts w:ascii="宋体"/>
                <w:color w:val="auto"/>
                <w:szCs w:val="21"/>
              </w:rPr>
            </w:pPr>
          </w:p>
        </w:tc>
        <w:tc>
          <w:tcPr>
            <w:tcW w:w="1256" w:type="dxa"/>
          </w:tcPr>
          <w:p w14:paraId="4D59DF27">
            <w:pPr>
              <w:rPr>
                <w:rFonts w:ascii="宋体"/>
                <w:color w:val="auto"/>
                <w:szCs w:val="21"/>
              </w:rPr>
            </w:pPr>
          </w:p>
        </w:tc>
        <w:tc>
          <w:tcPr>
            <w:tcW w:w="1256" w:type="dxa"/>
          </w:tcPr>
          <w:p w14:paraId="79D5FE4E">
            <w:pPr>
              <w:rPr>
                <w:rFonts w:ascii="宋体"/>
                <w:color w:val="auto"/>
                <w:szCs w:val="21"/>
              </w:rPr>
            </w:pPr>
          </w:p>
        </w:tc>
        <w:tc>
          <w:tcPr>
            <w:tcW w:w="1256" w:type="dxa"/>
          </w:tcPr>
          <w:p w14:paraId="403FFBAC">
            <w:pPr>
              <w:rPr>
                <w:rFonts w:ascii="宋体"/>
                <w:color w:val="auto"/>
                <w:szCs w:val="21"/>
              </w:rPr>
            </w:pPr>
          </w:p>
        </w:tc>
        <w:tc>
          <w:tcPr>
            <w:tcW w:w="1256" w:type="dxa"/>
          </w:tcPr>
          <w:p w14:paraId="5735360B">
            <w:pPr>
              <w:rPr>
                <w:rFonts w:ascii="宋体"/>
                <w:color w:val="auto"/>
                <w:szCs w:val="21"/>
              </w:rPr>
            </w:pPr>
          </w:p>
        </w:tc>
        <w:tc>
          <w:tcPr>
            <w:tcW w:w="1264" w:type="dxa"/>
          </w:tcPr>
          <w:p w14:paraId="1CC05CA0">
            <w:pPr>
              <w:rPr>
                <w:rFonts w:ascii="宋体"/>
                <w:color w:val="auto"/>
                <w:szCs w:val="21"/>
              </w:rPr>
            </w:pPr>
          </w:p>
        </w:tc>
      </w:tr>
      <w:tr w14:paraId="09DCD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22DBE331">
            <w:pPr>
              <w:rPr>
                <w:rFonts w:ascii="宋体"/>
                <w:color w:val="auto"/>
                <w:szCs w:val="21"/>
              </w:rPr>
            </w:pPr>
          </w:p>
        </w:tc>
        <w:tc>
          <w:tcPr>
            <w:tcW w:w="1256" w:type="dxa"/>
          </w:tcPr>
          <w:p w14:paraId="6D78E20F">
            <w:pPr>
              <w:rPr>
                <w:rFonts w:ascii="宋体"/>
                <w:color w:val="auto"/>
                <w:szCs w:val="21"/>
              </w:rPr>
            </w:pPr>
          </w:p>
        </w:tc>
        <w:tc>
          <w:tcPr>
            <w:tcW w:w="1256" w:type="dxa"/>
          </w:tcPr>
          <w:p w14:paraId="46543B1C">
            <w:pPr>
              <w:rPr>
                <w:rFonts w:ascii="宋体"/>
                <w:color w:val="auto"/>
                <w:szCs w:val="21"/>
              </w:rPr>
            </w:pPr>
          </w:p>
        </w:tc>
        <w:tc>
          <w:tcPr>
            <w:tcW w:w="1256" w:type="dxa"/>
          </w:tcPr>
          <w:p w14:paraId="06FA8B2E">
            <w:pPr>
              <w:rPr>
                <w:rFonts w:ascii="宋体"/>
                <w:color w:val="auto"/>
                <w:szCs w:val="21"/>
              </w:rPr>
            </w:pPr>
          </w:p>
        </w:tc>
        <w:tc>
          <w:tcPr>
            <w:tcW w:w="1256" w:type="dxa"/>
          </w:tcPr>
          <w:p w14:paraId="37BCAFEA">
            <w:pPr>
              <w:rPr>
                <w:rFonts w:ascii="宋体"/>
                <w:color w:val="auto"/>
                <w:szCs w:val="21"/>
              </w:rPr>
            </w:pPr>
          </w:p>
        </w:tc>
        <w:tc>
          <w:tcPr>
            <w:tcW w:w="1256" w:type="dxa"/>
          </w:tcPr>
          <w:p w14:paraId="5CE279E4">
            <w:pPr>
              <w:rPr>
                <w:rFonts w:ascii="宋体"/>
                <w:color w:val="auto"/>
                <w:szCs w:val="21"/>
              </w:rPr>
            </w:pPr>
          </w:p>
        </w:tc>
        <w:tc>
          <w:tcPr>
            <w:tcW w:w="1256" w:type="dxa"/>
          </w:tcPr>
          <w:p w14:paraId="70253088">
            <w:pPr>
              <w:rPr>
                <w:rFonts w:ascii="宋体"/>
                <w:color w:val="auto"/>
                <w:szCs w:val="21"/>
              </w:rPr>
            </w:pPr>
          </w:p>
        </w:tc>
        <w:tc>
          <w:tcPr>
            <w:tcW w:w="1264" w:type="dxa"/>
          </w:tcPr>
          <w:p w14:paraId="7AACF650">
            <w:pPr>
              <w:rPr>
                <w:rFonts w:ascii="宋体"/>
                <w:color w:val="auto"/>
                <w:szCs w:val="21"/>
              </w:rPr>
            </w:pPr>
          </w:p>
        </w:tc>
      </w:tr>
      <w:tr w14:paraId="7DA34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24050D27">
            <w:pPr>
              <w:rPr>
                <w:rFonts w:ascii="宋体"/>
                <w:color w:val="auto"/>
                <w:szCs w:val="21"/>
              </w:rPr>
            </w:pPr>
          </w:p>
        </w:tc>
        <w:tc>
          <w:tcPr>
            <w:tcW w:w="1256" w:type="dxa"/>
          </w:tcPr>
          <w:p w14:paraId="6662F3B0">
            <w:pPr>
              <w:rPr>
                <w:rFonts w:ascii="宋体"/>
                <w:color w:val="auto"/>
                <w:szCs w:val="21"/>
              </w:rPr>
            </w:pPr>
          </w:p>
        </w:tc>
        <w:tc>
          <w:tcPr>
            <w:tcW w:w="1256" w:type="dxa"/>
          </w:tcPr>
          <w:p w14:paraId="70D1F68B">
            <w:pPr>
              <w:rPr>
                <w:rFonts w:ascii="宋体"/>
                <w:color w:val="auto"/>
                <w:szCs w:val="21"/>
              </w:rPr>
            </w:pPr>
          </w:p>
        </w:tc>
        <w:tc>
          <w:tcPr>
            <w:tcW w:w="1256" w:type="dxa"/>
          </w:tcPr>
          <w:p w14:paraId="626A51A0">
            <w:pPr>
              <w:rPr>
                <w:rFonts w:ascii="宋体"/>
                <w:color w:val="auto"/>
                <w:szCs w:val="21"/>
              </w:rPr>
            </w:pPr>
          </w:p>
        </w:tc>
        <w:tc>
          <w:tcPr>
            <w:tcW w:w="1256" w:type="dxa"/>
          </w:tcPr>
          <w:p w14:paraId="461A8D9F">
            <w:pPr>
              <w:rPr>
                <w:rFonts w:ascii="宋体"/>
                <w:color w:val="auto"/>
                <w:szCs w:val="21"/>
              </w:rPr>
            </w:pPr>
          </w:p>
        </w:tc>
        <w:tc>
          <w:tcPr>
            <w:tcW w:w="1256" w:type="dxa"/>
          </w:tcPr>
          <w:p w14:paraId="0EC702A8">
            <w:pPr>
              <w:rPr>
                <w:rFonts w:ascii="宋体"/>
                <w:color w:val="auto"/>
                <w:szCs w:val="21"/>
              </w:rPr>
            </w:pPr>
          </w:p>
        </w:tc>
        <w:tc>
          <w:tcPr>
            <w:tcW w:w="1256" w:type="dxa"/>
          </w:tcPr>
          <w:p w14:paraId="1246DA48">
            <w:pPr>
              <w:rPr>
                <w:rFonts w:ascii="宋体"/>
                <w:color w:val="auto"/>
                <w:szCs w:val="21"/>
              </w:rPr>
            </w:pPr>
          </w:p>
        </w:tc>
        <w:tc>
          <w:tcPr>
            <w:tcW w:w="1264" w:type="dxa"/>
          </w:tcPr>
          <w:p w14:paraId="5F67E684">
            <w:pPr>
              <w:rPr>
                <w:rFonts w:ascii="宋体"/>
                <w:color w:val="auto"/>
                <w:szCs w:val="21"/>
              </w:rPr>
            </w:pPr>
          </w:p>
        </w:tc>
      </w:tr>
      <w:tr w14:paraId="43D09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4BDED062">
            <w:pPr>
              <w:rPr>
                <w:rFonts w:ascii="宋体"/>
                <w:color w:val="auto"/>
                <w:szCs w:val="21"/>
              </w:rPr>
            </w:pPr>
          </w:p>
        </w:tc>
        <w:tc>
          <w:tcPr>
            <w:tcW w:w="1256" w:type="dxa"/>
          </w:tcPr>
          <w:p w14:paraId="17FECDFA">
            <w:pPr>
              <w:rPr>
                <w:rFonts w:ascii="宋体"/>
                <w:color w:val="auto"/>
                <w:szCs w:val="21"/>
              </w:rPr>
            </w:pPr>
          </w:p>
        </w:tc>
        <w:tc>
          <w:tcPr>
            <w:tcW w:w="1256" w:type="dxa"/>
          </w:tcPr>
          <w:p w14:paraId="11B6211A">
            <w:pPr>
              <w:rPr>
                <w:rFonts w:ascii="宋体"/>
                <w:color w:val="auto"/>
                <w:szCs w:val="21"/>
              </w:rPr>
            </w:pPr>
          </w:p>
        </w:tc>
        <w:tc>
          <w:tcPr>
            <w:tcW w:w="1256" w:type="dxa"/>
          </w:tcPr>
          <w:p w14:paraId="556D5DFA">
            <w:pPr>
              <w:rPr>
                <w:rFonts w:ascii="宋体"/>
                <w:color w:val="auto"/>
                <w:szCs w:val="21"/>
              </w:rPr>
            </w:pPr>
          </w:p>
        </w:tc>
        <w:tc>
          <w:tcPr>
            <w:tcW w:w="1256" w:type="dxa"/>
          </w:tcPr>
          <w:p w14:paraId="35DA03B0">
            <w:pPr>
              <w:rPr>
                <w:rFonts w:ascii="宋体"/>
                <w:color w:val="auto"/>
                <w:szCs w:val="21"/>
              </w:rPr>
            </w:pPr>
          </w:p>
        </w:tc>
        <w:tc>
          <w:tcPr>
            <w:tcW w:w="1256" w:type="dxa"/>
          </w:tcPr>
          <w:p w14:paraId="1909D3EA">
            <w:pPr>
              <w:rPr>
                <w:rFonts w:ascii="宋体"/>
                <w:color w:val="auto"/>
                <w:szCs w:val="21"/>
              </w:rPr>
            </w:pPr>
          </w:p>
        </w:tc>
        <w:tc>
          <w:tcPr>
            <w:tcW w:w="1256" w:type="dxa"/>
          </w:tcPr>
          <w:p w14:paraId="1D6C9665">
            <w:pPr>
              <w:rPr>
                <w:rFonts w:ascii="宋体"/>
                <w:color w:val="auto"/>
                <w:szCs w:val="21"/>
              </w:rPr>
            </w:pPr>
          </w:p>
        </w:tc>
        <w:tc>
          <w:tcPr>
            <w:tcW w:w="1264" w:type="dxa"/>
          </w:tcPr>
          <w:p w14:paraId="685736A7">
            <w:pPr>
              <w:rPr>
                <w:rFonts w:ascii="宋体"/>
                <w:color w:val="auto"/>
                <w:szCs w:val="21"/>
              </w:rPr>
            </w:pPr>
          </w:p>
        </w:tc>
      </w:tr>
      <w:tr w14:paraId="543BE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852" w:type="dxa"/>
          </w:tcPr>
          <w:p w14:paraId="557D2E1A">
            <w:pPr>
              <w:rPr>
                <w:rFonts w:ascii="宋体"/>
                <w:color w:val="auto"/>
                <w:szCs w:val="21"/>
              </w:rPr>
            </w:pPr>
          </w:p>
        </w:tc>
        <w:tc>
          <w:tcPr>
            <w:tcW w:w="1256" w:type="dxa"/>
          </w:tcPr>
          <w:p w14:paraId="0D286C10">
            <w:pPr>
              <w:rPr>
                <w:rFonts w:ascii="宋体"/>
                <w:color w:val="auto"/>
                <w:szCs w:val="21"/>
              </w:rPr>
            </w:pPr>
          </w:p>
        </w:tc>
        <w:tc>
          <w:tcPr>
            <w:tcW w:w="1256" w:type="dxa"/>
          </w:tcPr>
          <w:p w14:paraId="63C9BEAB">
            <w:pPr>
              <w:rPr>
                <w:rFonts w:ascii="宋体"/>
                <w:color w:val="auto"/>
                <w:szCs w:val="21"/>
              </w:rPr>
            </w:pPr>
          </w:p>
        </w:tc>
        <w:tc>
          <w:tcPr>
            <w:tcW w:w="1256" w:type="dxa"/>
          </w:tcPr>
          <w:p w14:paraId="2D19A5D7">
            <w:pPr>
              <w:rPr>
                <w:rFonts w:ascii="宋体"/>
                <w:color w:val="auto"/>
                <w:szCs w:val="21"/>
              </w:rPr>
            </w:pPr>
          </w:p>
        </w:tc>
        <w:tc>
          <w:tcPr>
            <w:tcW w:w="1256" w:type="dxa"/>
          </w:tcPr>
          <w:p w14:paraId="35CC8B27">
            <w:pPr>
              <w:rPr>
                <w:rFonts w:ascii="宋体"/>
                <w:color w:val="auto"/>
                <w:szCs w:val="21"/>
              </w:rPr>
            </w:pPr>
          </w:p>
        </w:tc>
        <w:tc>
          <w:tcPr>
            <w:tcW w:w="1256" w:type="dxa"/>
          </w:tcPr>
          <w:p w14:paraId="295839AE">
            <w:pPr>
              <w:rPr>
                <w:rFonts w:ascii="宋体"/>
                <w:color w:val="auto"/>
                <w:szCs w:val="21"/>
              </w:rPr>
            </w:pPr>
          </w:p>
        </w:tc>
        <w:tc>
          <w:tcPr>
            <w:tcW w:w="1256" w:type="dxa"/>
          </w:tcPr>
          <w:p w14:paraId="2B294AD0">
            <w:pPr>
              <w:rPr>
                <w:rFonts w:ascii="宋体"/>
                <w:color w:val="auto"/>
                <w:szCs w:val="21"/>
              </w:rPr>
            </w:pPr>
          </w:p>
        </w:tc>
        <w:tc>
          <w:tcPr>
            <w:tcW w:w="1264" w:type="dxa"/>
          </w:tcPr>
          <w:p w14:paraId="504D7407">
            <w:pPr>
              <w:rPr>
                <w:rFonts w:ascii="宋体"/>
                <w:color w:val="auto"/>
                <w:szCs w:val="21"/>
              </w:rPr>
            </w:pPr>
          </w:p>
        </w:tc>
      </w:tr>
      <w:tr w14:paraId="27D35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52" w:type="dxa"/>
          </w:tcPr>
          <w:p w14:paraId="73310191">
            <w:pPr>
              <w:rPr>
                <w:rFonts w:ascii="宋体"/>
                <w:color w:val="auto"/>
                <w:szCs w:val="21"/>
              </w:rPr>
            </w:pPr>
          </w:p>
        </w:tc>
        <w:tc>
          <w:tcPr>
            <w:tcW w:w="1256" w:type="dxa"/>
          </w:tcPr>
          <w:p w14:paraId="493522A8">
            <w:pPr>
              <w:rPr>
                <w:rFonts w:ascii="宋体"/>
                <w:color w:val="auto"/>
                <w:szCs w:val="21"/>
              </w:rPr>
            </w:pPr>
          </w:p>
        </w:tc>
        <w:tc>
          <w:tcPr>
            <w:tcW w:w="1256" w:type="dxa"/>
          </w:tcPr>
          <w:p w14:paraId="5D612AFA">
            <w:pPr>
              <w:rPr>
                <w:rFonts w:ascii="宋体"/>
                <w:color w:val="auto"/>
                <w:szCs w:val="21"/>
              </w:rPr>
            </w:pPr>
          </w:p>
        </w:tc>
        <w:tc>
          <w:tcPr>
            <w:tcW w:w="1256" w:type="dxa"/>
          </w:tcPr>
          <w:p w14:paraId="241DCDD2">
            <w:pPr>
              <w:rPr>
                <w:rFonts w:ascii="宋体"/>
                <w:color w:val="auto"/>
                <w:szCs w:val="21"/>
              </w:rPr>
            </w:pPr>
          </w:p>
        </w:tc>
        <w:tc>
          <w:tcPr>
            <w:tcW w:w="1256" w:type="dxa"/>
          </w:tcPr>
          <w:p w14:paraId="217165FD">
            <w:pPr>
              <w:rPr>
                <w:rFonts w:ascii="宋体"/>
                <w:color w:val="auto"/>
                <w:szCs w:val="21"/>
              </w:rPr>
            </w:pPr>
          </w:p>
        </w:tc>
        <w:tc>
          <w:tcPr>
            <w:tcW w:w="1256" w:type="dxa"/>
          </w:tcPr>
          <w:p w14:paraId="45A6CFE4">
            <w:pPr>
              <w:rPr>
                <w:rFonts w:ascii="宋体"/>
                <w:color w:val="auto"/>
                <w:szCs w:val="21"/>
              </w:rPr>
            </w:pPr>
          </w:p>
        </w:tc>
        <w:tc>
          <w:tcPr>
            <w:tcW w:w="1256" w:type="dxa"/>
          </w:tcPr>
          <w:p w14:paraId="6839C792">
            <w:pPr>
              <w:rPr>
                <w:rFonts w:ascii="宋体"/>
                <w:color w:val="auto"/>
                <w:szCs w:val="21"/>
              </w:rPr>
            </w:pPr>
          </w:p>
        </w:tc>
        <w:tc>
          <w:tcPr>
            <w:tcW w:w="1264" w:type="dxa"/>
          </w:tcPr>
          <w:p w14:paraId="6A441BD3">
            <w:pPr>
              <w:rPr>
                <w:rFonts w:ascii="宋体"/>
                <w:color w:val="auto"/>
                <w:szCs w:val="21"/>
              </w:rPr>
            </w:pPr>
          </w:p>
        </w:tc>
      </w:tr>
    </w:tbl>
    <w:p w14:paraId="164F5873">
      <w:pPr>
        <w:spacing w:line="247" w:lineRule="auto"/>
        <w:rPr>
          <w:rFonts w:ascii="宋体"/>
          <w:color w:val="auto"/>
        </w:rPr>
      </w:pPr>
    </w:p>
    <w:p w14:paraId="1A606BD8">
      <w:pPr>
        <w:spacing w:line="247" w:lineRule="auto"/>
        <w:rPr>
          <w:rFonts w:ascii="宋体"/>
          <w:color w:val="auto"/>
        </w:rPr>
      </w:pPr>
    </w:p>
    <w:p w14:paraId="56FED1C7">
      <w:pPr>
        <w:pStyle w:val="151"/>
        <w:rPr>
          <w:color w:val="auto"/>
        </w:rPr>
      </w:pPr>
    </w:p>
    <w:p w14:paraId="11CC6428">
      <w:pPr>
        <w:rPr>
          <w:color w:val="auto"/>
        </w:rPr>
      </w:pPr>
    </w:p>
    <w:p w14:paraId="278D733D">
      <w:pPr>
        <w:spacing w:before="91" w:line="186" w:lineRule="auto"/>
        <w:rPr>
          <w:rFonts w:ascii="宋体" w:hAnsi="宋体" w:cs="宋体"/>
          <w:color w:val="auto"/>
          <w:spacing w:val="-11"/>
          <w:sz w:val="28"/>
          <w:szCs w:val="28"/>
        </w:rPr>
      </w:pPr>
    </w:p>
    <w:p w14:paraId="34A8D07B">
      <w:pPr>
        <w:pStyle w:val="87"/>
        <w:rPr>
          <w:color w:val="auto"/>
        </w:rPr>
      </w:pPr>
    </w:p>
    <w:p w14:paraId="10798D5F">
      <w:pPr>
        <w:spacing w:before="91" w:line="186" w:lineRule="auto"/>
        <w:ind w:firstLine="33"/>
        <w:rPr>
          <w:rFonts w:ascii="宋体" w:hAnsi="宋体" w:cs="宋体"/>
          <w:color w:val="auto"/>
          <w:spacing w:val="-11"/>
          <w:sz w:val="28"/>
          <w:szCs w:val="28"/>
        </w:rPr>
      </w:pPr>
    </w:p>
    <w:p w14:paraId="26D6E4B2">
      <w:pPr>
        <w:spacing w:before="91" w:line="480" w:lineRule="auto"/>
        <w:ind w:firstLine="33"/>
        <w:rPr>
          <w:rFonts w:ascii="宋体" w:hAnsi="宋体" w:cs="宋体"/>
          <w:color w:val="auto"/>
          <w:sz w:val="28"/>
          <w:szCs w:val="28"/>
        </w:rPr>
      </w:pPr>
      <w:r>
        <w:rPr>
          <w:rFonts w:ascii="宋体" w:hAnsi="宋体" w:cs="宋体"/>
          <w:color w:val="auto"/>
          <w:spacing w:val="-11"/>
          <w:sz w:val="28"/>
          <w:szCs w:val="28"/>
        </w:rPr>
        <w:t>附表四：</w:t>
      </w:r>
      <w:r>
        <w:rPr>
          <w:rFonts w:ascii="宋体" w:hAnsi="宋体" w:cs="宋体"/>
          <w:color w:val="auto"/>
          <w:spacing w:val="68"/>
          <w:sz w:val="28"/>
          <w:szCs w:val="28"/>
        </w:rPr>
        <w:t xml:space="preserve"> </w:t>
      </w:r>
      <w:r>
        <w:rPr>
          <w:rFonts w:ascii="宋体" w:hAnsi="宋体" w:cs="宋体"/>
          <w:color w:val="auto"/>
          <w:spacing w:val="-11"/>
          <w:sz w:val="28"/>
          <w:szCs w:val="28"/>
        </w:rPr>
        <w:t>计划开、竣工日期和施工进度网络图</w:t>
      </w:r>
    </w:p>
    <w:p w14:paraId="7CDC09D8">
      <w:pPr>
        <w:spacing w:line="348" w:lineRule="auto"/>
        <w:rPr>
          <w:rFonts w:ascii="宋体"/>
          <w:color w:val="auto"/>
        </w:rPr>
      </w:pPr>
    </w:p>
    <w:p w14:paraId="63ACCF20">
      <w:pPr>
        <w:spacing w:line="349" w:lineRule="auto"/>
        <w:rPr>
          <w:rFonts w:ascii="宋体"/>
          <w:color w:val="auto"/>
        </w:rPr>
      </w:pPr>
    </w:p>
    <w:p w14:paraId="5ED0EEFF">
      <w:pPr>
        <w:spacing w:before="78" w:line="622" w:lineRule="exact"/>
        <w:ind w:firstLine="507"/>
        <w:rPr>
          <w:rFonts w:ascii="宋体" w:hAnsi="宋体" w:cs="宋体"/>
          <w:color w:val="auto"/>
          <w:szCs w:val="21"/>
        </w:rPr>
      </w:pPr>
      <w:r>
        <w:rPr>
          <w:rFonts w:hint="eastAsia" w:ascii="宋体" w:hAnsi="宋体" w:cs="宋体"/>
          <w:color w:val="auto"/>
          <w:spacing w:val="-6"/>
          <w:szCs w:val="21"/>
        </w:rPr>
        <w:t>1</w:t>
      </w:r>
      <w:r>
        <w:rPr>
          <w:rFonts w:ascii="宋体" w:hAnsi="宋体" w:cs="宋体"/>
          <w:color w:val="auto"/>
          <w:spacing w:val="-6"/>
          <w:szCs w:val="21"/>
        </w:rPr>
        <w:t>．投标人应递交施工进度网络图或施工进度表，说明按招标文件要求的计划工期进行施工的各个关键日期。</w:t>
      </w:r>
    </w:p>
    <w:p w14:paraId="723130DB">
      <w:pPr>
        <w:spacing w:line="242" w:lineRule="auto"/>
        <w:rPr>
          <w:rFonts w:ascii="宋体"/>
          <w:color w:val="auto"/>
          <w:szCs w:val="21"/>
        </w:rPr>
      </w:pPr>
    </w:p>
    <w:p w14:paraId="49399FCB">
      <w:pPr>
        <w:spacing w:before="78" w:line="185" w:lineRule="auto"/>
        <w:ind w:firstLine="492"/>
        <w:rPr>
          <w:rFonts w:ascii="宋体" w:hAnsi="宋体" w:cs="宋体"/>
          <w:color w:val="auto"/>
          <w:szCs w:val="21"/>
        </w:rPr>
      </w:pPr>
      <w:r>
        <w:rPr>
          <w:rFonts w:ascii="宋体" w:hAnsi="宋体" w:cs="宋体"/>
          <w:color w:val="auto"/>
          <w:spacing w:val="-6"/>
          <w:szCs w:val="21"/>
        </w:rPr>
        <w:t>2．施工进度表可采用网络图（或横道图）表示。</w:t>
      </w:r>
    </w:p>
    <w:p w14:paraId="049108B2">
      <w:pPr>
        <w:pStyle w:val="151"/>
        <w:ind w:firstLine="420"/>
        <w:rPr>
          <w:color w:val="auto"/>
          <w:sz w:val="21"/>
          <w:szCs w:val="21"/>
        </w:rPr>
      </w:pPr>
    </w:p>
    <w:p w14:paraId="77586034">
      <w:pPr>
        <w:rPr>
          <w:color w:val="auto"/>
        </w:rPr>
      </w:pPr>
    </w:p>
    <w:p w14:paraId="6B938281">
      <w:pPr>
        <w:pStyle w:val="151"/>
        <w:rPr>
          <w:color w:val="auto"/>
        </w:rPr>
      </w:pPr>
    </w:p>
    <w:p w14:paraId="0F6A4B63">
      <w:pPr>
        <w:rPr>
          <w:color w:val="auto"/>
        </w:rPr>
      </w:pPr>
    </w:p>
    <w:p w14:paraId="0FADBDD8">
      <w:pPr>
        <w:pStyle w:val="151"/>
        <w:rPr>
          <w:color w:val="auto"/>
        </w:rPr>
      </w:pPr>
    </w:p>
    <w:p w14:paraId="0AC22A28">
      <w:pPr>
        <w:rPr>
          <w:color w:val="auto"/>
        </w:rPr>
      </w:pPr>
    </w:p>
    <w:p w14:paraId="68DE72B5">
      <w:pPr>
        <w:pStyle w:val="151"/>
        <w:rPr>
          <w:color w:val="auto"/>
        </w:rPr>
      </w:pPr>
    </w:p>
    <w:p w14:paraId="33018414">
      <w:pPr>
        <w:rPr>
          <w:color w:val="auto"/>
        </w:rPr>
      </w:pPr>
    </w:p>
    <w:p w14:paraId="25FDA06A">
      <w:pPr>
        <w:pStyle w:val="151"/>
        <w:rPr>
          <w:color w:val="auto"/>
        </w:rPr>
      </w:pPr>
    </w:p>
    <w:p w14:paraId="48C2AD95">
      <w:pPr>
        <w:rPr>
          <w:color w:val="auto"/>
        </w:rPr>
      </w:pPr>
    </w:p>
    <w:p w14:paraId="5FD412E7">
      <w:pPr>
        <w:pStyle w:val="151"/>
        <w:rPr>
          <w:color w:val="auto"/>
        </w:rPr>
      </w:pPr>
    </w:p>
    <w:p w14:paraId="101196A7">
      <w:pPr>
        <w:rPr>
          <w:color w:val="auto"/>
        </w:rPr>
      </w:pPr>
    </w:p>
    <w:p w14:paraId="3F07AC91">
      <w:pPr>
        <w:pStyle w:val="151"/>
        <w:rPr>
          <w:color w:val="auto"/>
        </w:rPr>
      </w:pPr>
    </w:p>
    <w:p w14:paraId="32CE6F49">
      <w:pPr>
        <w:rPr>
          <w:color w:val="auto"/>
        </w:rPr>
      </w:pPr>
    </w:p>
    <w:p w14:paraId="5C86E16F">
      <w:pPr>
        <w:pStyle w:val="151"/>
        <w:rPr>
          <w:color w:val="auto"/>
        </w:rPr>
      </w:pPr>
    </w:p>
    <w:p w14:paraId="5E241AD2">
      <w:pPr>
        <w:rPr>
          <w:color w:val="auto"/>
        </w:rPr>
      </w:pPr>
    </w:p>
    <w:p w14:paraId="2363460F">
      <w:pPr>
        <w:pStyle w:val="151"/>
        <w:rPr>
          <w:color w:val="auto"/>
        </w:rPr>
      </w:pPr>
    </w:p>
    <w:p w14:paraId="1916A63B">
      <w:pPr>
        <w:rPr>
          <w:color w:val="auto"/>
        </w:rPr>
      </w:pPr>
    </w:p>
    <w:p w14:paraId="688A84A8">
      <w:pPr>
        <w:pStyle w:val="151"/>
        <w:rPr>
          <w:color w:val="auto"/>
        </w:rPr>
      </w:pPr>
    </w:p>
    <w:p w14:paraId="74BBFE72">
      <w:pPr>
        <w:rPr>
          <w:color w:val="auto"/>
        </w:rPr>
      </w:pPr>
    </w:p>
    <w:p w14:paraId="25CBC766">
      <w:pPr>
        <w:pStyle w:val="151"/>
        <w:rPr>
          <w:color w:val="auto"/>
        </w:rPr>
      </w:pPr>
    </w:p>
    <w:p w14:paraId="14E4377F">
      <w:pPr>
        <w:rPr>
          <w:color w:val="auto"/>
        </w:rPr>
      </w:pPr>
    </w:p>
    <w:p w14:paraId="0B4DB51C">
      <w:pPr>
        <w:pStyle w:val="43"/>
        <w:rPr>
          <w:color w:val="auto"/>
        </w:rPr>
      </w:pPr>
    </w:p>
    <w:p w14:paraId="1B044ED7">
      <w:pPr>
        <w:rPr>
          <w:color w:val="auto"/>
        </w:rPr>
      </w:pPr>
    </w:p>
    <w:p w14:paraId="53D2C96C">
      <w:pPr>
        <w:pStyle w:val="43"/>
        <w:rPr>
          <w:color w:val="auto"/>
        </w:rPr>
      </w:pPr>
    </w:p>
    <w:p w14:paraId="6062985E">
      <w:pPr>
        <w:rPr>
          <w:color w:val="auto"/>
        </w:rPr>
      </w:pPr>
    </w:p>
    <w:p w14:paraId="59F57558">
      <w:pPr>
        <w:pStyle w:val="87"/>
        <w:rPr>
          <w:color w:val="auto"/>
        </w:rPr>
      </w:pPr>
    </w:p>
    <w:p w14:paraId="5545374E">
      <w:pPr>
        <w:pStyle w:val="151"/>
        <w:ind w:firstLine="0" w:firstLineChars="0"/>
        <w:rPr>
          <w:color w:val="auto"/>
        </w:rPr>
      </w:pPr>
    </w:p>
    <w:p w14:paraId="4202B330">
      <w:pPr>
        <w:rPr>
          <w:color w:val="auto"/>
        </w:rPr>
      </w:pPr>
    </w:p>
    <w:p w14:paraId="13F4A10B">
      <w:pPr>
        <w:spacing w:before="92" w:line="186" w:lineRule="auto"/>
        <w:ind w:firstLine="33"/>
        <w:rPr>
          <w:rFonts w:ascii="宋体" w:hAnsi="宋体" w:cs="宋体"/>
          <w:color w:val="auto"/>
          <w:spacing w:val="-23"/>
          <w:sz w:val="28"/>
          <w:szCs w:val="28"/>
        </w:rPr>
      </w:pPr>
    </w:p>
    <w:p w14:paraId="16BDC486">
      <w:pPr>
        <w:spacing w:before="92" w:line="360" w:lineRule="auto"/>
        <w:ind w:firstLine="33"/>
        <w:rPr>
          <w:rFonts w:ascii="宋体" w:hAnsi="宋体" w:cs="宋体"/>
          <w:color w:val="auto"/>
          <w:sz w:val="28"/>
          <w:szCs w:val="28"/>
        </w:rPr>
      </w:pPr>
      <w:r>
        <w:rPr>
          <w:rFonts w:ascii="宋体" w:hAnsi="宋体" w:cs="宋体"/>
          <w:color w:val="auto"/>
          <w:spacing w:val="-23"/>
          <w:sz w:val="28"/>
          <w:szCs w:val="28"/>
        </w:rPr>
        <w:t>附表五：</w:t>
      </w:r>
      <w:r>
        <w:rPr>
          <w:rFonts w:ascii="宋体" w:hAnsi="宋体" w:cs="宋体"/>
          <w:color w:val="auto"/>
          <w:spacing w:val="67"/>
          <w:sz w:val="28"/>
          <w:szCs w:val="28"/>
        </w:rPr>
        <w:t xml:space="preserve"> </w:t>
      </w:r>
      <w:r>
        <w:rPr>
          <w:rFonts w:ascii="宋体" w:hAnsi="宋体" w:cs="宋体"/>
          <w:color w:val="auto"/>
          <w:spacing w:val="-23"/>
          <w:sz w:val="28"/>
          <w:szCs w:val="28"/>
        </w:rPr>
        <w:t>施工总平面图</w:t>
      </w:r>
    </w:p>
    <w:p w14:paraId="2A4D779B">
      <w:pPr>
        <w:spacing w:before="312" w:line="360" w:lineRule="auto"/>
        <w:ind w:left="8" w:right="50" w:firstLine="483"/>
        <w:rPr>
          <w:rFonts w:ascii="宋体" w:hAnsi="宋体" w:cs="宋体"/>
          <w:color w:val="auto"/>
          <w:szCs w:val="21"/>
        </w:rPr>
      </w:pPr>
      <w:r>
        <w:rPr>
          <w:rFonts w:ascii="宋体" w:hAnsi="宋体" w:cs="宋体"/>
          <w:color w:val="auto"/>
          <w:spacing w:val="-3"/>
          <w:szCs w:val="21"/>
        </w:rPr>
        <w:t>投标人应递交一份施工总平面图，绘出现场临时设施布置图表并附文字说明，说明临</w:t>
      </w:r>
      <w:r>
        <w:rPr>
          <w:rFonts w:ascii="宋体" w:hAnsi="宋体" w:cs="宋体"/>
          <w:color w:val="auto"/>
          <w:spacing w:val="-2"/>
          <w:szCs w:val="21"/>
        </w:rPr>
        <w:t>时设施、加工车间、现场办公、设备及仓储、供电、供水、卫生、生活、道路、消防等设施的情况和布置。</w:t>
      </w:r>
    </w:p>
    <w:p w14:paraId="57F0618F">
      <w:pPr>
        <w:pStyle w:val="151"/>
        <w:rPr>
          <w:color w:val="auto"/>
        </w:rPr>
      </w:pPr>
    </w:p>
    <w:p w14:paraId="0F4BB886">
      <w:pPr>
        <w:rPr>
          <w:color w:val="auto"/>
        </w:rPr>
      </w:pPr>
    </w:p>
    <w:p w14:paraId="2386E010">
      <w:pPr>
        <w:pStyle w:val="151"/>
        <w:rPr>
          <w:color w:val="auto"/>
        </w:rPr>
      </w:pPr>
    </w:p>
    <w:p w14:paraId="6E82457A">
      <w:pPr>
        <w:rPr>
          <w:color w:val="auto"/>
        </w:rPr>
      </w:pPr>
    </w:p>
    <w:p w14:paraId="77913801">
      <w:pPr>
        <w:pStyle w:val="151"/>
        <w:rPr>
          <w:color w:val="auto"/>
        </w:rPr>
      </w:pPr>
    </w:p>
    <w:p w14:paraId="7EE4CA09">
      <w:pPr>
        <w:rPr>
          <w:color w:val="auto"/>
        </w:rPr>
      </w:pPr>
    </w:p>
    <w:p w14:paraId="3581FC91">
      <w:pPr>
        <w:pStyle w:val="151"/>
        <w:rPr>
          <w:color w:val="auto"/>
        </w:rPr>
      </w:pPr>
    </w:p>
    <w:p w14:paraId="08E77778">
      <w:pPr>
        <w:rPr>
          <w:color w:val="auto"/>
        </w:rPr>
      </w:pPr>
    </w:p>
    <w:p w14:paraId="6E4FDBBF">
      <w:pPr>
        <w:pStyle w:val="151"/>
        <w:rPr>
          <w:color w:val="auto"/>
        </w:rPr>
      </w:pPr>
    </w:p>
    <w:p w14:paraId="3704308F">
      <w:pPr>
        <w:rPr>
          <w:color w:val="auto"/>
        </w:rPr>
      </w:pPr>
    </w:p>
    <w:p w14:paraId="6E6366EC">
      <w:pPr>
        <w:pStyle w:val="151"/>
        <w:rPr>
          <w:color w:val="auto"/>
        </w:rPr>
      </w:pPr>
    </w:p>
    <w:p w14:paraId="20376391">
      <w:pPr>
        <w:rPr>
          <w:color w:val="auto"/>
        </w:rPr>
      </w:pPr>
    </w:p>
    <w:p w14:paraId="0B03783E">
      <w:pPr>
        <w:pStyle w:val="151"/>
        <w:rPr>
          <w:color w:val="auto"/>
        </w:rPr>
      </w:pPr>
    </w:p>
    <w:p w14:paraId="6DCE0D0D">
      <w:pPr>
        <w:rPr>
          <w:color w:val="auto"/>
        </w:rPr>
      </w:pPr>
    </w:p>
    <w:p w14:paraId="0626351A">
      <w:pPr>
        <w:pStyle w:val="151"/>
        <w:rPr>
          <w:color w:val="auto"/>
        </w:rPr>
      </w:pPr>
    </w:p>
    <w:p w14:paraId="68546FCA">
      <w:pPr>
        <w:rPr>
          <w:color w:val="auto"/>
        </w:rPr>
      </w:pPr>
    </w:p>
    <w:p w14:paraId="6958F8C0">
      <w:pPr>
        <w:pStyle w:val="151"/>
        <w:rPr>
          <w:color w:val="auto"/>
        </w:rPr>
      </w:pPr>
    </w:p>
    <w:p w14:paraId="6CC27B96">
      <w:pPr>
        <w:rPr>
          <w:color w:val="auto"/>
        </w:rPr>
      </w:pPr>
    </w:p>
    <w:p w14:paraId="5B7CEDEA">
      <w:pPr>
        <w:pStyle w:val="151"/>
        <w:rPr>
          <w:color w:val="auto"/>
        </w:rPr>
      </w:pPr>
    </w:p>
    <w:p w14:paraId="32C2E7C6">
      <w:pPr>
        <w:rPr>
          <w:color w:val="auto"/>
        </w:rPr>
      </w:pPr>
    </w:p>
    <w:p w14:paraId="5DB4584F">
      <w:pPr>
        <w:pStyle w:val="151"/>
        <w:rPr>
          <w:color w:val="auto"/>
        </w:rPr>
      </w:pPr>
    </w:p>
    <w:p w14:paraId="42AE5B4B">
      <w:pPr>
        <w:rPr>
          <w:color w:val="auto"/>
        </w:rPr>
      </w:pPr>
    </w:p>
    <w:p w14:paraId="2AF93822">
      <w:pPr>
        <w:pStyle w:val="151"/>
        <w:rPr>
          <w:color w:val="auto"/>
        </w:rPr>
      </w:pPr>
    </w:p>
    <w:p w14:paraId="2403BBFC">
      <w:pPr>
        <w:rPr>
          <w:color w:val="auto"/>
        </w:rPr>
      </w:pPr>
    </w:p>
    <w:p w14:paraId="5128325A">
      <w:pPr>
        <w:pStyle w:val="151"/>
        <w:rPr>
          <w:color w:val="auto"/>
        </w:rPr>
      </w:pPr>
    </w:p>
    <w:p w14:paraId="2277BE1A">
      <w:pPr>
        <w:rPr>
          <w:color w:val="auto"/>
        </w:rPr>
      </w:pPr>
    </w:p>
    <w:p w14:paraId="5F82246A">
      <w:pPr>
        <w:pStyle w:val="151"/>
        <w:rPr>
          <w:color w:val="auto"/>
        </w:rPr>
      </w:pPr>
    </w:p>
    <w:p w14:paraId="5E407114">
      <w:pPr>
        <w:rPr>
          <w:color w:val="auto"/>
        </w:rPr>
      </w:pPr>
    </w:p>
    <w:p w14:paraId="71A477AB">
      <w:pPr>
        <w:pStyle w:val="2"/>
        <w:numPr>
          <w:ilvl w:val="0"/>
          <w:numId w:val="8"/>
        </w:numPr>
        <w:spacing w:after="0"/>
        <w:jc w:val="center"/>
        <w:rPr>
          <w:color w:val="auto"/>
        </w:rPr>
      </w:pPr>
      <w:bookmarkStart w:id="813" w:name="_Toc534190159"/>
      <w:bookmarkStart w:id="814" w:name="_Toc22901"/>
      <w:bookmarkStart w:id="815" w:name="_Toc361508760"/>
      <w:r>
        <w:rPr>
          <w:rFonts w:hint="eastAsia"/>
          <w:color w:val="auto"/>
        </w:rPr>
        <w:t>项目管理机构</w:t>
      </w:r>
    </w:p>
    <w:p w14:paraId="4E9AA8B4">
      <w:pPr>
        <w:spacing w:before="235" w:line="186" w:lineRule="auto"/>
        <w:jc w:val="center"/>
        <w:rPr>
          <w:rFonts w:ascii="宋体" w:hAnsi="宋体" w:cs="宋体"/>
          <w:color w:val="auto"/>
          <w:sz w:val="28"/>
          <w:szCs w:val="28"/>
        </w:rPr>
      </w:pPr>
      <w:r>
        <w:rPr>
          <w:rFonts w:ascii="宋体" w:hAnsi="宋体" w:cs="宋体"/>
          <w:color w:val="auto"/>
          <w:spacing w:val="-14"/>
          <w:sz w:val="28"/>
          <w:szCs w:val="28"/>
        </w:rPr>
        <w:t>（一）</w:t>
      </w:r>
      <w:r>
        <w:rPr>
          <w:rFonts w:ascii="宋体" w:hAnsi="宋体" w:cs="宋体"/>
          <w:color w:val="auto"/>
          <w:spacing w:val="21"/>
          <w:sz w:val="28"/>
          <w:szCs w:val="28"/>
        </w:rPr>
        <w:t xml:space="preserve"> </w:t>
      </w:r>
      <w:r>
        <w:rPr>
          <w:rFonts w:ascii="宋体" w:hAnsi="宋体" w:cs="宋体"/>
          <w:color w:val="auto"/>
          <w:spacing w:val="-14"/>
          <w:sz w:val="28"/>
          <w:szCs w:val="28"/>
        </w:rPr>
        <w:t>项目管理机构组成表</w:t>
      </w:r>
    </w:p>
    <w:p w14:paraId="4429FE7D">
      <w:pPr>
        <w:rPr>
          <w:color w:val="auto"/>
        </w:rPr>
      </w:pPr>
    </w:p>
    <w:tbl>
      <w:tblPr>
        <w:tblStyle w:val="177"/>
        <w:tblpPr w:leftFromText="180" w:rightFromText="180" w:vertAnchor="text" w:horzAnchor="page" w:tblpX="1191" w:tblpY="197"/>
        <w:tblOverlap w:val="never"/>
        <w:tblW w:w="966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726"/>
        <w:gridCol w:w="889"/>
        <w:gridCol w:w="1450"/>
        <w:gridCol w:w="900"/>
        <w:gridCol w:w="1079"/>
        <w:gridCol w:w="1285"/>
        <w:gridCol w:w="1327"/>
        <w:gridCol w:w="1290"/>
      </w:tblGrid>
      <w:tr w14:paraId="13AA6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718" w:type="dxa"/>
            <w:vMerge w:val="restart"/>
            <w:tcBorders>
              <w:bottom w:val="nil"/>
            </w:tcBorders>
          </w:tcPr>
          <w:p w14:paraId="3C1D7A19">
            <w:pPr>
              <w:spacing w:line="336" w:lineRule="auto"/>
              <w:rPr>
                <w:rFonts w:ascii="宋体"/>
                <w:color w:val="auto"/>
                <w:szCs w:val="21"/>
              </w:rPr>
            </w:pPr>
          </w:p>
          <w:p w14:paraId="5923033B">
            <w:pPr>
              <w:spacing w:before="68" w:line="184" w:lineRule="auto"/>
              <w:ind w:firstLine="154"/>
              <w:rPr>
                <w:rFonts w:ascii="宋体" w:hAnsi="宋体" w:cs="宋体"/>
                <w:color w:val="auto"/>
                <w:szCs w:val="21"/>
              </w:rPr>
            </w:pPr>
            <w:r>
              <w:rPr>
                <w:rFonts w:ascii="宋体" w:hAnsi="宋体" w:cs="宋体"/>
                <w:color w:val="auto"/>
                <w:spacing w:val="-5"/>
                <w:szCs w:val="21"/>
              </w:rPr>
              <w:t>职务</w:t>
            </w:r>
          </w:p>
        </w:tc>
        <w:tc>
          <w:tcPr>
            <w:tcW w:w="726" w:type="dxa"/>
            <w:vMerge w:val="restart"/>
            <w:tcBorders>
              <w:bottom w:val="nil"/>
            </w:tcBorders>
          </w:tcPr>
          <w:p w14:paraId="40346DC6">
            <w:pPr>
              <w:spacing w:line="336" w:lineRule="auto"/>
              <w:rPr>
                <w:rFonts w:ascii="宋体"/>
                <w:color w:val="auto"/>
                <w:szCs w:val="21"/>
              </w:rPr>
            </w:pPr>
          </w:p>
          <w:p w14:paraId="2323AD31">
            <w:pPr>
              <w:spacing w:before="68" w:line="184" w:lineRule="auto"/>
              <w:ind w:firstLine="156"/>
              <w:rPr>
                <w:rFonts w:ascii="宋体" w:hAnsi="宋体" w:cs="宋体"/>
                <w:color w:val="auto"/>
                <w:szCs w:val="21"/>
              </w:rPr>
            </w:pPr>
            <w:r>
              <w:rPr>
                <w:rFonts w:ascii="宋体" w:hAnsi="宋体" w:cs="宋体"/>
                <w:color w:val="auto"/>
                <w:spacing w:val="-5"/>
                <w:szCs w:val="21"/>
              </w:rPr>
              <w:t>姓名</w:t>
            </w:r>
          </w:p>
        </w:tc>
        <w:tc>
          <w:tcPr>
            <w:tcW w:w="889" w:type="dxa"/>
            <w:vMerge w:val="restart"/>
            <w:tcBorders>
              <w:bottom w:val="nil"/>
            </w:tcBorders>
          </w:tcPr>
          <w:p w14:paraId="14C49B12">
            <w:pPr>
              <w:spacing w:line="336" w:lineRule="auto"/>
              <w:rPr>
                <w:rFonts w:ascii="宋体"/>
                <w:color w:val="auto"/>
                <w:szCs w:val="21"/>
              </w:rPr>
            </w:pPr>
          </w:p>
          <w:p w14:paraId="58601160">
            <w:pPr>
              <w:spacing w:before="68" w:line="184" w:lineRule="auto"/>
              <w:ind w:firstLine="239"/>
              <w:rPr>
                <w:rFonts w:ascii="宋体" w:hAnsi="宋体" w:cs="宋体"/>
                <w:color w:val="auto"/>
                <w:szCs w:val="21"/>
              </w:rPr>
            </w:pPr>
            <w:r>
              <w:rPr>
                <w:rFonts w:ascii="宋体" w:hAnsi="宋体" w:cs="宋体"/>
                <w:color w:val="auto"/>
                <w:spacing w:val="-5"/>
                <w:szCs w:val="21"/>
              </w:rPr>
              <w:t>职称</w:t>
            </w:r>
          </w:p>
        </w:tc>
        <w:tc>
          <w:tcPr>
            <w:tcW w:w="6041" w:type="dxa"/>
            <w:gridSpan w:val="5"/>
          </w:tcPr>
          <w:p w14:paraId="4F6800FD">
            <w:pPr>
              <w:spacing w:before="138" w:line="184" w:lineRule="auto"/>
              <w:ind w:firstLine="2081"/>
              <w:rPr>
                <w:rFonts w:ascii="宋体" w:hAnsi="宋体" w:cs="宋体"/>
                <w:color w:val="auto"/>
                <w:szCs w:val="21"/>
              </w:rPr>
            </w:pPr>
            <w:r>
              <w:rPr>
                <w:rFonts w:ascii="宋体" w:hAnsi="宋体" w:cs="宋体"/>
                <w:color w:val="auto"/>
                <w:spacing w:val="-2"/>
                <w:szCs w:val="21"/>
              </w:rPr>
              <w:t>执业或职业资格证明</w:t>
            </w:r>
          </w:p>
        </w:tc>
        <w:tc>
          <w:tcPr>
            <w:tcW w:w="1290" w:type="dxa"/>
            <w:vMerge w:val="restart"/>
            <w:tcBorders>
              <w:bottom w:val="nil"/>
            </w:tcBorders>
          </w:tcPr>
          <w:p w14:paraId="6092071A">
            <w:pPr>
              <w:spacing w:line="336" w:lineRule="auto"/>
              <w:rPr>
                <w:rFonts w:ascii="宋体"/>
                <w:color w:val="auto"/>
                <w:szCs w:val="21"/>
              </w:rPr>
            </w:pPr>
          </w:p>
          <w:p w14:paraId="4FE70533">
            <w:pPr>
              <w:spacing w:before="68" w:line="184" w:lineRule="auto"/>
              <w:ind w:firstLine="444"/>
              <w:rPr>
                <w:rFonts w:ascii="宋体" w:hAnsi="宋体" w:cs="宋体"/>
                <w:color w:val="auto"/>
                <w:szCs w:val="21"/>
              </w:rPr>
            </w:pPr>
            <w:r>
              <w:rPr>
                <w:rFonts w:ascii="宋体" w:hAnsi="宋体" w:cs="宋体"/>
                <w:color w:val="auto"/>
                <w:spacing w:val="-6"/>
                <w:szCs w:val="21"/>
              </w:rPr>
              <w:t>备注</w:t>
            </w:r>
          </w:p>
        </w:tc>
      </w:tr>
      <w:tr w14:paraId="00333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718" w:type="dxa"/>
            <w:vMerge w:val="continue"/>
            <w:tcBorders>
              <w:top w:val="nil"/>
            </w:tcBorders>
          </w:tcPr>
          <w:p w14:paraId="66EDBF4D">
            <w:pPr>
              <w:rPr>
                <w:rFonts w:ascii="宋体"/>
                <w:color w:val="auto"/>
                <w:szCs w:val="21"/>
              </w:rPr>
            </w:pPr>
          </w:p>
        </w:tc>
        <w:tc>
          <w:tcPr>
            <w:tcW w:w="726" w:type="dxa"/>
            <w:vMerge w:val="continue"/>
            <w:tcBorders>
              <w:top w:val="nil"/>
            </w:tcBorders>
          </w:tcPr>
          <w:p w14:paraId="7FCD1D6E">
            <w:pPr>
              <w:rPr>
                <w:rFonts w:ascii="宋体"/>
                <w:color w:val="auto"/>
                <w:szCs w:val="21"/>
              </w:rPr>
            </w:pPr>
          </w:p>
        </w:tc>
        <w:tc>
          <w:tcPr>
            <w:tcW w:w="889" w:type="dxa"/>
            <w:vMerge w:val="continue"/>
            <w:tcBorders>
              <w:top w:val="nil"/>
            </w:tcBorders>
          </w:tcPr>
          <w:p w14:paraId="68AF9AE8">
            <w:pPr>
              <w:rPr>
                <w:rFonts w:ascii="宋体"/>
                <w:color w:val="auto"/>
                <w:szCs w:val="21"/>
              </w:rPr>
            </w:pPr>
          </w:p>
        </w:tc>
        <w:tc>
          <w:tcPr>
            <w:tcW w:w="1450" w:type="dxa"/>
          </w:tcPr>
          <w:p w14:paraId="1993106C">
            <w:pPr>
              <w:spacing w:before="133" w:line="184" w:lineRule="auto"/>
              <w:ind w:firstLine="309"/>
              <w:rPr>
                <w:rFonts w:ascii="宋体" w:hAnsi="宋体" w:cs="宋体"/>
                <w:color w:val="auto"/>
                <w:szCs w:val="21"/>
              </w:rPr>
            </w:pPr>
            <w:r>
              <w:rPr>
                <w:rFonts w:ascii="宋体" w:hAnsi="宋体" w:cs="宋体"/>
                <w:color w:val="auto"/>
                <w:spacing w:val="-3"/>
                <w:szCs w:val="21"/>
              </w:rPr>
              <w:t>证书名称</w:t>
            </w:r>
          </w:p>
        </w:tc>
        <w:tc>
          <w:tcPr>
            <w:tcW w:w="900" w:type="dxa"/>
          </w:tcPr>
          <w:p w14:paraId="01C853D8">
            <w:pPr>
              <w:spacing w:before="133" w:line="184" w:lineRule="auto"/>
              <w:ind w:firstLine="248"/>
              <w:rPr>
                <w:rFonts w:ascii="宋体" w:hAnsi="宋体" w:cs="宋体"/>
                <w:color w:val="auto"/>
                <w:szCs w:val="21"/>
              </w:rPr>
            </w:pPr>
            <w:r>
              <w:rPr>
                <w:rFonts w:ascii="宋体" w:hAnsi="宋体" w:cs="宋体"/>
                <w:color w:val="auto"/>
                <w:spacing w:val="-7"/>
                <w:szCs w:val="21"/>
              </w:rPr>
              <w:t>级别</w:t>
            </w:r>
          </w:p>
        </w:tc>
        <w:tc>
          <w:tcPr>
            <w:tcW w:w="1079" w:type="dxa"/>
          </w:tcPr>
          <w:p w14:paraId="19A876BE">
            <w:pPr>
              <w:spacing w:before="133" w:line="184" w:lineRule="auto"/>
              <w:ind w:firstLine="335"/>
              <w:rPr>
                <w:rFonts w:ascii="宋体" w:hAnsi="宋体" w:cs="宋体"/>
                <w:color w:val="auto"/>
                <w:szCs w:val="21"/>
              </w:rPr>
            </w:pPr>
            <w:r>
              <w:rPr>
                <w:rFonts w:ascii="宋体" w:hAnsi="宋体" w:cs="宋体"/>
                <w:color w:val="auto"/>
                <w:spacing w:val="-5"/>
                <w:szCs w:val="21"/>
              </w:rPr>
              <w:t>证号</w:t>
            </w:r>
          </w:p>
        </w:tc>
        <w:tc>
          <w:tcPr>
            <w:tcW w:w="1285" w:type="dxa"/>
          </w:tcPr>
          <w:p w14:paraId="6ED5B143">
            <w:pPr>
              <w:spacing w:before="133" w:line="184" w:lineRule="auto"/>
              <w:ind w:firstLine="438"/>
              <w:rPr>
                <w:rFonts w:ascii="宋体" w:hAnsi="宋体" w:cs="宋体"/>
                <w:color w:val="auto"/>
                <w:szCs w:val="21"/>
              </w:rPr>
            </w:pPr>
            <w:r>
              <w:rPr>
                <w:rFonts w:ascii="宋体" w:hAnsi="宋体" w:cs="宋体"/>
                <w:color w:val="auto"/>
                <w:spacing w:val="-5"/>
                <w:szCs w:val="21"/>
              </w:rPr>
              <w:t>专业</w:t>
            </w:r>
          </w:p>
        </w:tc>
        <w:tc>
          <w:tcPr>
            <w:tcW w:w="1327" w:type="dxa"/>
          </w:tcPr>
          <w:p w14:paraId="638FE5D4">
            <w:pPr>
              <w:rPr>
                <w:rFonts w:ascii="宋体"/>
                <w:color w:val="auto"/>
                <w:szCs w:val="21"/>
              </w:rPr>
            </w:pPr>
          </w:p>
        </w:tc>
        <w:tc>
          <w:tcPr>
            <w:tcW w:w="1290" w:type="dxa"/>
            <w:vMerge w:val="continue"/>
            <w:tcBorders>
              <w:top w:val="nil"/>
            </w:tcBorders>
          </w:tcPr>
          <w:p w14:paraId="57391430">
            <w:pPr>
              <w:rPr>
                <w:rFonts w:ascii="宋体"/>
                <w:color w:val="auto"/>
                <w:szCs w:val="21"/>
              </w:rPr>
            </w:pPr>
          </w:p>
        </w:tc>
      </w:tr>
      <w:tr w14:paraId="29F47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14:paraId="13863276">
            <w:pPr>
              <w:rPr>
                <w:rFonts w:ascii="宋体"/>
                <w:color w:val="auto"/>
                <w:szCs w:val="21"/>
              </w:rPr>
            </w:pPr>
          </w:p>
        </w:tc>
        <w:tc>
          <w:tcPr>
            <w:tcW w:w="726" w:type="dxa"/>
          </w:tcPr>
          <w:p w14:paraId="52CE1D52">
            <w:pPr>
              <w:rPr>
                <w:rFonts w:ascii="宋体"/>
                <w:color w:val="auto"/>
                <w:szCs w:val="21"/>
              </w:rPr>
            </w:pPr>
          </w:p>
        </w:tc>
        <w:tc>
          <w:tcPr>
            <w:tcW w:w="889" w:type="dxa"/>
          </w:tcPr>
          <w:p w14:paraId="1718EAC0">
            <w:pPr>
              <w:rPr>
                <w:rFonts w:ascii="宋体"/>
                <w:color w:val="auto"/>
                <w:szCs w:val="21"/>
              </w:rPr>
            </w:pPr>
          </w:p>
        </w:tc>
        <w:tc>
          <w:tcPr>
            <w:tcW w:w="1450" w:type="dxa"/>
          </w:tcPr>
          <w:p w14:paraId="160965C3">
            <w:pPr>
              <w:rPr>
                <w:rFonts w:ascii="宋体"/>
                <w:color w:val="auto"/>
                <w:szCs w:val="21"/>
              </w:rPr>
            </w:pPr>
          </w:p>
        </w:tc>
        <w:tc>
          <w:tcPr>
            <w:tcW w:w="900" w:type="dxa"/>
          </w:tcPr>
          <w:p w14:paraId="45FC4911">
            <w:pPr>
              <w:rPr>
                <w:rFonts w:ascii="宋体"/>
                <w:color w:val="auto"/>
                <w:szCs w:val="21"/>
              </w:rPr>
            </w:pPr>
          </w:p>
        </w:tc>
        <w:tc>
          <w:tcPr>
            <w:tcW w:w="1079" w:type="dxa"/>
          </w:tcPr>
          <w:p w14:paraId="769833B2">
            <w:pPr>
              <w:rPr>
                <w:rFonts w:ascii="宋体"/>
                <w:color w:val="auto"/>
                <w:szCs w:val="21"/>
              </w:rPr>
            </w:pPr>
          </w:p>
        </w:tc>
        <w:tc>
          <w:tcPr>
            <w:tcW w:w="1285" w:type="dxa"/>
          </w:tcPr>
          <w:p w14:paraId="2FAD7E29">
            <w:pPr>
              <w:rPr>
                <w:rFonts w:ascii="宋体"/>
                <w:color w:val="auto"/>
                <w:szCs w:val="21"/>
              </w:rPr>
            </w:pPr>
          </w:p>
        </w:tc>
        <w:tc>
          <w:tcPr>
            <w:tcW w:w="1327" w:type="dxa"/>
          </w:tcPr>
          <w:p w14:paraId="3478E400">
            <w:pPr>
              <w:rPr>
                <w:rFonts w:ascii="宋体"/>
                <w:color w:val="auto"/>
                <w:szCs w:val="21"/>
              </w:rPr>
            </w:pPr>
          </w:p>
        </w:tc>
        <w:tc>
          <w:tcPr>
            <w:tcW w:w="1290" w:type="dxa"/>
          </w:tcPr>
          <w:p w14:paraId="2979156D">
            <w:pPr>
              <w:rPr>
                <w:rFonts w:ascii="宋体"/>
                <w:color w:val="auto"/>
                <w:szCs w:val="21"/>
              </w:rPr>
            </w:pPr>
          </w:p>
        </w:tc>
      </w:tr>
      <w:tr w14:paraId="0A3F1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14:paraId="326EFA23">
            <w:pPr>
              <w:rPr>
                <w:rFonts w:ascii="宋体"/>
                <w:color w:val="auto"/>
                <w:szCs w:val="21"/>
              </w:rPr>
            </w:pPr>
          </w:p>
        </w:tc>
        <w:tc>
          <w:tcPr>
            <w:tcW w:w="726" w:type="dxa"/>
          </w:tcPr>
          <w:p w14:paraId="5E85B806">
            <w:pPr>
              <w:rPr>
                <w:rFonts w:ascii="宋体"/>
                <w:color w:val="auto"/>
                <w:szCs w:val="21"/>
              </w:rPr>
            </w:pPr>
          </w:p>
        </w:tc>
        <w:tc>
          <w:tcPr>
            <w:tcW w:w="889" w:type="dxa"/>
          </w:tcPr>
          <w:p w14:paraId="4C5B3C32">
            <w:pPr>
              <w:rPr>
                <w:rFonts w:ascii="宋体"/>
                <w:color w:val="auto"/>
                <w:szCs w:val="21"/>
              </w:rPr>
            </w:pPr>
          </w:p>
        </w:tc>
        <w:tc>
          <w:tcPr>
            <w:tcW w:w="1450" w:type="dxa"/>
          </w:tcPr>
          <w:p w14:paraId="1BC57869">
            <w:pPr>
              <w:rPr>
                <w:rFonts w:ascii="宋体"/>
                <w:color w:val="auto"/>
                <w:szCs w:val="21"/>
              </w:rPr>
            </w:pPr>
          </w:p>
        </w:tc>
        <w:tc>
          <w:tcPr>
            <w:tcW w:w="900" w:type="dxa"/>
          </w:tcPr>
          <w:p w14:paraId="4A3E97CB">
            <w:pPr>
              <w:rPr>
                <w:rFonts w:ascii="宋体"/>
                <w:color w:val="auto"/>
                <w:szCs w:val="21"/>
              </w:rPr>
            </w:pPr>
          </w:p>
        </w:tc>
        <w:tc>
          <w:tcPr>
            <w:tcW w:w="1079" w:type="dxa"/>
          </w:tcPr>
          <w:p w14:paraId="7A3D4665">
            <w:pPr>
              <w:rPr>
                <w:rFonts w:ascii="宋体"/>
                <w:color w:val="auto"/>
                <w:szCs w:val="21"/>
              </w:rPr>
            </w:pPr>
          </w:p>
        </w:tc>
        <w:tc>
          <w:tcPr>
            <w:tcW w:w="1285" w:type="dxa"/>
          </w:tcPr>
          <w:p w14:paraId="549D3CFE">
            <w:pPr>
              <w:rPr>
                <w:rFonts w:ascii="宋体"/>
                <w:color w:val="auto"/>
                <w:szCs w:val="21"/>
              </w:rPr>
            </w:pPr>
          </w:p>
        </w:tc>
        <w:tc>
          <w:tcPr>
            <w:tcW w:w="1327" w:type="dxa"/>
          </w:tcPr>
          <w:p w14:paraId="0614B4C0">
            <w:pPr>
              <w:rPr>
                <w:rFonts w:ascii="宋体"/>
                <w:color w:val="auto"/>
                <w:szCs w:val="21"/>
              </w:rPr>
            </w:pPr>
          </w:p>
        </w:tc>
        <w:tc>
          <w:tcPr>
            <w:tcW w:w="1290" w:type="dxa"/>
          </w:tcPr>
          <w:p w14:paraId="1380C0CE">
            <w:pPr>
              <w:rPr>
                <w:rFonts w:ascii="宋体"/>
                <w:color w:val="auto"/>
                <w:szCs w:val="21"/>
              </w:rPr>
            </w:pPr>
          </w:p>
        </w:tc>
      </w:tr>
      <w:tr w14:paraId="4015C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8" w:type="dxa"/>
          </w:tcPr>
          <w:p w14:paraId="53D51C0B">
            <w:pPr>
              <w:rPr>
                <w:rFonts w:ascii="宋体"/>
                <w:color w:val="auto"/>
                <w:szCs w:val="21"/>
              </w:rPr>
            </w:pPr>
          </w:p>
        </w:tc>
        <w:tc>
          <w:tcPr>
            <w:tcW w:w="726" w:type="dxa"/>
          </w:tcPr>
          <w:p w14:paraId="50D37925">
            <w:pPr>
              <w:rPr>
                <w:rFonts w:ascii="宋体"/>
                <w:color w:val="auto"/>
                <w:szCs w:val="21"/>
              </w:rPr>
            </w:pPr>
          </w:p>
        </w:tc>
        <w:tc>
          <w:tcPr>
            <w:tcW w:w="889" w:type="dxa"/>
          </w:tcPr>
          <w:p w14:paraId="34AD4699">
            <w:pPr>
              <w:rPr>
                <w:rFonts w:ascii="宋体"/>
                <w:color w:val="auto"/>
                <w:szCs w:val="21"/>
              </w:rPr>
            </w:pPr>
          </w:p>
        </w:tc>
        <w:tc>
          <w:tcPr>
            <w:tcW w:w="1450" w:type="dxa"/>
          </w:tcPr>
          <w:p w14:paraId="740F439D">
            <w:pPr>
              <w:rPr>
                <w:rFonts w:ascii="宋体"/>
                <w:color w:val="auto"/>
                <w:szCs w:val="21"/>
              </w:rPr>
            </w:pPr>
          </w:p>
        </w:tc>
        <w:tc>
          <w:tcPr>
            <w:tcW w:w="900" w:type="dxa"/>
          </w:tcPr>
          <w:p w14:paraId="6373E4B9">
            <w:pPr>
              <w:rPr>
                <w:rFonts w:ascii="宋体"/>
                <w:color w:val="auto"/>
                <w:szCs w:val="21"/>
              </w:rPr>
            </w:pPr>
          </w:p>
        </w:tc>
        <w:tc>
          <w:tcPr>
            <w:tcW w:w="1079" w:type="dxa"/>
          </w:tcPr>
          <w:p w14:paraId="5DBA081A">
            <w:pPr>
              <w:rPr>
                <w:rFonts w:ascii="宋体"/>
                <w:color w:val="auto"/>
                <w:szCs w:val="21"/>
              </w:rPr>
            </w:pPr>
          </w:p>
        </w:tc>
        <w:tc>
          <w:tcPr>
            <w:tcW w:w="1285" w:type="dxa"/>
          </w:tcPr>
          <w:p w14:paraId="60070DDB">
            <w:pPr>
              <w:rPr>
                <w:rFonts w:ascii="宋体"/>
                <w:color w:val="auto"/>
                <w:szCs w:val="21"/>
              </w:rPr>
            </w:pPr>
          </w:p>
        </w:tc>
        <w:tc>
          <w:tcPr>
            <w:tcW w:w="1327" w:type="dxa"/>
          </w:tcPr>
          <w:p w14:paraId="443F2A5D">
            <w:pPr>
              <w:rPr>
                <w:rFonts w:ascii="宋体"/>
                <w:color w:val="auto"/>
                <w:szCs w:val="21"/>
              </w:rPr>
            </w:pPr>
          </w:p>
        </w:tc>
        <w:tc>
          <w:tcPr>
            <w:tcW w:w="1290" w:type="dxa"/>
          </w:tcPr>
          <w:p w14:paraId="54F5D698">
            <w:pPr>
              <w:rPr>
                <w:rFonts w:ascii="宋体"/>
                <w:color w:val="auto"/>
                <w:szCs w:val="21"/>
              </w:rPr>
            </w:pPr>
          </w:p>
        </w:tc>
      </w:tr>
      <w:tr w14:paraId="5C207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14:paraId="3B467E07">
            <w:pPr>
              <w:rPr>
                <w:rFonts w:ascii="宋体"/>
                <w:color w:val="auto"/>
                <w:szCs w:val="21"/>
              </w:rPr>
            </w:pPr>
          </w:p>
        </w:tc>
        <w:tc>
          <w:tcPr>
            <w:tcW w:w="726" w:type="dxa"/>
          </w:tcPr>
          <w:p w14:paraId="293B6D82">
            <w:pPr>
              <w:rPr>
                <w:rFonts w:ascii="宋体"/>
                <w:color w:val="auto"/>
                <w:szCs w:val="21"/>
              </w:rPr>
            </w:pPr>
          </w:p>
        </w:tc>
        <w:tc>
          <w:tcPr>
            <w:tcW w:w="889" w:type="dxa"/>
          </w:tcPr>
          <w:p w14:paraId="078F3C7C">
            <w:pPr>
              <w:rPr>
                <w:rFonts w:ascii="宋体"/>
                <w:color w:val="auto"/>
                <w:szCs w:val="21"/>
              </w:rPr>
            </w:pPr>
          </w:p>
        </w:tc>
        <w:tc>
          <w:tcPr>
            <w:tcW w:w="1450" w:type="dxa"/>
          </w:tcPr>
          <w:p w14:paraId="3F80D4CE">
            <w:pPr>
              <w:rPr>
                <w:rFonts w:ascii="宋体"/>
                <w:color w:val="auto"/>
                <w:szCs w:val="21"/>
              </w:rPr>
            </w:pPr>
          </w:p>
        </w:tc>
        <w:tc>
          <w:tcPr>
            <w:tcW w:w="900" w:type="dxa"/>
          </w:tcPr>
          <w:p w14:paraId="6560E134">
            <w:pPr>
              <w:rPr>
                <w:rFonts w:ascii="宋体"/>
                <w:color w:val="auto"/>
                <w:szCs w:val="21"/>
              </w:rPr>
            </w:pPr>
          </w:p>
        </w:tc>
        <w:tc>
          <w:tcPr>
            <w:tcW w:w="1079" w:type="dxa"/>
          </w:tcPr>
          <w:p w14:paraId="622AA970">
            <w:pPr>
              <w:rPr>
                <w:rFonts w:ascii="宋体"/>
                <w:color w:val="auto"/>
                <w:szCs w:val="21"/>
              </w:rPr>
            </w:pPr>
          </w:p>
        </w:tc>
        <w:tc>
          <w:tcPr>
            <w:tcW w:w="1285" w:type="dxa"/>
          </w:tcPr>
          <w:p w14:paraId="01353E1B">
            <w:pPr>
              <w:rPr>
                <w:rFonts w:ascii="宋体"/>
                <w:color w:val="auto"/>
                <w:szCs w:val="21"/>
              </w:rPr>
            </w:pPr>
          </w:p>
        </w:tc>
        <w:tc>
          <w:tcPr>
            <w:tcW w:w="1327" w:type="dxa"/>
          </w:tcPr>
          <w:p w14:paraId="3F9BF4B4">
            <w:pPr>
              <w:rPr>
                <w:rFonts w:ascii="宋体"/>
                <w:color w:val="auto"/>
                <w:szCs w:val="21"/>
              </w:rPr>
            </w:pPr>
          </w:p>
        </w:tc>
        <w:tc>
          <w:tcPr>
            <w:tcW w:w="1290" w:type="dxa"/>
          </w:tcPr>
          <w:p w14:paraId="198FEA61">
            <w:pPr>
              <w:rPr>
                <w:rFonts w:ascii="宋体"/>
                <w:color w:val="auto"/>
                <w:szCs w:val="21"/>
              </w:rPr>
            </w:pPr>
          </w:p>
        </w:tc>
      </w:tr>
      <w:tr w14:paraId="5418B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718" w:type="dxa"/>
          </w:tcPr>
          <w:p w14:paraId="78E271CD">
            <w:pPr>
              <w:rPr>
                <w:rFonts w:ascii="宋体"/>
                <w:color w:val="auto"/>
                <w:szCs w:val="21"/>
              </w:rPr>
            </w:pPr>
          </w:p>
        </w:tc>
        <w:tc>
          <w:tcPr>
            <w:tcW w:w="726" w:type="dxa"/>
          </w:tcPr>
          <w:p w14:paraId="391EB3AA">
            <w:pPr>
              <w:rPr>
                <w:rFonts w:ascii="宋体"/>
                <w:color w:val="auto"/>
                <w:szCs w:val="21"/>
              </w:rPr>
            </w:pPr>
          </w:p>
        </w:tc>
        <w:tc>
          <w:tcPr>
            <w:tcW w:w="889" w:type="dxa"/>
          </w:tcPr>
          <w:p w14:paraId="51E1CB59">
            <w:pPr>
              <w:rPr>
                <w:rFonts w:ascii="宋体"/>
                <w:color w:val="auto"/>
                <w:szCs w:val="21"/>
              </w:rPr>
            </w:pPr>
          </w:p>
        </w:tc>
        <w:tc>
          <w:tcPr>
            <w:tcW w:w="1450" w:type="dxa"/>
          </w:tcPr>
          <w:p w14:paraId="59D0CCB6">
            <w:pPr>
              <w:rPr>
                <w:rFonts w:ascii="宋体"/>
                <w:color w:val="auto"/>
                <w:szCs w:val="21"/>
              </w:rPr>
            </w:pPr>
          </w:p>
        </w:tc>
        <w:tc>
          <w:tcPr>
            <w:tcW w:w="900" w:type="dxa"/>
          </w:tcPr>
          <w:p w14:paraId="471E26D9">
            <w:pPr>
              <w:rPr>
                <w:rFonts w:ascii="宋体"/>
                <w:color w:val="auto"/>
                <w:szCs w:val="21"/>
              </w:rPr>
            </w:pPr>
          </w:p>
        </w:tc>
        <w:tc>
          <w:tcPr>
            <w:tcW w:w="1079" w:type="dxa"/>
          </w:tcPr>
          <w:p w14:paraId="7BA9CC47">
            <w:pPr>
              <w:rPr>
                <w:rFonts w:ascii="宋体"/>
                <w:color w:val="auto"/>
                <w:szCs w:val="21"/>
              </w:rPr>
            </w:pPr>
          </w:p>
        </w:tc>
        <w:tc>
          <w:tcPr>
            <w:tcW w:w="1285" w:type="dxa"/>
          </w:tcPr>
          <w:p w14:paraId="3B0172F4">
            <w:pPr>
              <w:rPr>
                <w:rFonts w:ascii="宋体"/>
                <w:color w:val="auto"/>
                <w:szCs w:val="21"/>
              </w:rPr>
            </w:pPr>
          </w:p>
        </w:tc>
        <w:tc>
          <w:tcPr>
            <w:tcW w:w="1327" w:type="dxa"/>
          </w:tcPr>
          <w:p w14:paraId="00308573">
            <w:pPr>
              <w:rPr>
                <w:rFonts w:ascii="宋体"/>
                <w:color w:val="auto"/>
                <w:szCs w:val="21"/>
              </w:rPr>
            </w:pPr>
          </w:p>
        </w:tc>
        <w:tc>
          <w:tcPr>
            <w:tcW w:w="1290" w:type="dxa"/>
          </w:tcPr>
          <w:p w14:paraId="1C25EB68">
            <w:pPr>
              <w:rPr>
                <w:rFonts w:ascii="宋体"/>
                <w:color w:val="auto"/>
                <w:szCs w:val="21"/>
              </w:rPr>
            </w:pPr>
          </w:p>
        </w:tc>
      </w:tr>
      <w:tr w14:paraId="7DE05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14:paraId="1BDBBE8F">
            <w:pPr>
              <w:rPr>
                <w:rFonts w:ascii="宋体"/>
                <w:color w:val="auto"/>
                <w:szCs w:val="21"/>
              </w:rPr>
            </w:pPr>
          </w:p>
        </w:tc>
        <w:tc>
          <w:tcPr>
            <w:tcW w:w="726" w:type="dxa"/>
          </w:tcPr>
          <w:p w14:paraId="1652BE0D">
            <w:pPr>
              <w:rPr>
                <w:rFonts w:ascii="宋体"/>
                <w:color w:val="auto"/>
                <w:szCs w:val="21"/>
              </w:rPr>
            </w:pPr>
          </w:p>
        </w:tc>
        <w:tc>
          <w:tcPr>
            <w:tcW w:w="889" w:type="dxa"/>
          </w:tcPr>
          <w:p w14:paraId="0658275E">
            <w:pPr>
              <w:rPr>
                <w:rFonts w:ascii="宋体"/>
                <w:color w:val="auto"/>
                <w:szCs w:val="21"/>
              </w:rPr>
            </w:pPr>
          </w:p>
        </w:tc>
        <w:tc>
          <w:tcPr>
            <w:tcW w:w="1450" w:type="dxa"/>
          </w:tcPr>
          <w:p w14:paraId="51CA1853">
            <w:pPr>
              <w:rPr>
                <w:rFonts w:ascii="宋体"/>
                <w:color w:val="auto"/>
                <w:szCs w:val="21"/>
              </w:rPr>
            </w:pPr>
          </w:p>
        </w:tc>
        <w:tc>
          <w:tcPr>
            <w:tcW w:w="900" w:type="dxa"/>
          </w:tcPr>
          <w:p w14:paraId="7B4877AB">
            <w:pPr>
              <w:rPr>
                <w:rFonts w:ascii="宋体"/>
                <w:color w:val="auto"/>
                <w:szCs w:val="21"/>
              </w:rPr>
            </w:pPr>
          </w:p>
        </w:tc>
        <w:tc>
          <w:tcPr>
            <w:tcW w:w="1079" w:type="dxa"/>
          </w:tcPr>
          <w:p w14:paraId="481E1BE5">
            <w:pPr>
              <w:rPr>
                <w:rFonts w:ascii="宋体"/>
                <w:color w:val="auto"/>
                <w:szCs w:val="21"/>
              </w:rPr>
            </w:pPr>
          </w:p>
        </w:tc>
        <w:tc>
          <w:tcPr>
            <w:tcW w:w="1285" w:type="dxa"/>
          </w:tcPr>
          <w:p w14:paraId="0020911A">
            <w:pPr>
              <w:rPr>
                <w:rFonts w:ascii="宋体"/>
                <w:color w:val="auto"/>
                <w:szCs w:val="21"/>
              </w:rPr>
            </w:pPr>
          </w:p>
        </w:tc>
        <w:tc>
          <w:tcPr>
            <w:tcW w:w="1327" w:type="dxa"/>
          </w:tcPr>
          <w:p w14:paraId="0D36684E">
            <w:pPr>
              <w:rPr>
                <w:rFonts w:ascii="宋体"/>
                <w:color w:val="auto"/>
                <w:szCs w:val="21"/>
              </w:rPr>
            </w:pPr>
          </w:p>
        </w:tc>
        <w:tc>
          <w:tcPr>
            <w:tcW w:w="1290" w:type="dxa"/>
          </w:tcPr>
          <w:p w14:paraId="202ECE06">
            <w:pPr>
              <w:rPr>
                <w:rFonts w:ascii="宋体"/>
                <w:color w:val="auto"/>
                <w:szCs w:val="21"/>
              </w:rPr>
            </w:pPr>
          </w:p>
        </w:tc>
      </w:tr>
      <w:tr w14:paraId="133F3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14:paraId="2D0D393A">
            <w:pPr>
              <w:rPr>
                <w:rFonts w:ascii="宋体"/>
                <w:color w:val="auto"/>
                <w:szCs w:val="21"/>
              </w:rPr>
            </w:pPr>
          </w:p>
        </w:tc>
        <w:tc>
          <w:tcPr>
            <w:tcW w:w="726" w:type="dxa"/>
          </w:tcPr>
          <w:p w14:paraId="5C138858">
            <w:pPr>
              <w:rPr>
                <w:rFonts w:ascii="宋体"/>
                <w:color w:val="auto"/>
                <w:szCs w:val="21"/>
              </w:rPr>
            </w:pPr>
          </w:p>
        </w:tc>
        <w:tc>
          <w:tcPr>
            <w:tcW w:w="889" w:type="dxa"/>
          </w:tcPr>
          <w:p w14:paraId="3877D877">
            <w:pPr>
              <w:rPr>
                <w:rFonts w:ascii="宋体"/>
                <w:color w:val="auto"/>
                <w:szCs w:val="21"/>
              </w:rPr>
            </w:pPr>
          </w:p>
        </w:tc>
        <w:tc>
          <w:tcPr>
            <w:tcW w:w="1450" w:type="dxa"/>
          </w:tcPr>
          <w:p w14:paraId="191A5D9B">
            <w:pPr>
              <w:rPr>
                <w:rFonts w:ascii="宋体"/>
                <w:color w:val="auto"/>
                <w:szCs w:val="21"/>
              </w:rPr>
            </w:pPr>
          </w:p>
        </w:tc>
        <w:tc>
          <w:tcPr>
            <w:tcW w:w="900" w:type="dxa"/>
          </w:tcPr>
          <w:p w14:paraId="6F89B31C">
            <w:pPr>
              <w:rPr>
                <w:rFonts w:ascii="宋体"/>
                <w:color w:val="auto"/>
                <w:szCs w:val="21"/>
              </w:rPr>
            </w:pPr>
          </w:p>
        </w:tc>
        <w:tc>
          <w:tcPr>
            <w:tcW w:w="1079" w:type="dxa"/>
          </w:tcPr>
          <w:p w14:paraId="02C71DBE">
            <w:pPr>
              <w:rPr>
                <w:rFonts w:ascii="宋体"/>
                <w:color w:val="auto"/>
                <w:szCs w:val="21"/>
              </w:rPr>
            </w:pPr>
          </w:p>
        </w:tc>
        <w:tc>
          <w:tcPr>
            <w:tcW w:w="1285" w:type="dxa"/>
          </w:tcPr>
          <w:p w14:paraId="24FEE4C4">
            <w:pPr>
              <w:rPr>
                <w:rFonts w:ascii="宋体"/>
                <w:color w:val="auto"/>
                <w:szCs w:val="21"/>
              </w:rPr>
            </w:pPr>
          </w:p>
        </w:tc>
        <w:tc>
          <w:tcPr>
            <w:tcW w:w="1327" w:type="dxa"/>
          </w:tcPr>
          <w:p w14:paraId="4652C6E3">
            <w:pPr>
              <w:rPr>
                <w:rFonts w:ascii="宋体"/>
                <w:color w:val="auto"/>
                <w:szCs w:val="21"/>
              </w:rPr>
            </w:pPr>
          </w:p>
        </w:tc>
        <w:tc>
          <w:tcPr>
            <w:tcW w:w="1290" w:type="dxa"/>
          </w:tcPr>
          <w:p w14:paraId="24C70B35">
            <w:pPr>
              <w:rPr>
                <w:rFonts w:ascii="宋体"/>
                <w:color w:val="auto"/>
                <w:szCs w:val="21"/>
              </w:rPr>
            </w:pPr>
          </w:p>
        </w:tc>
      </w:tr>
      <w:tr w14:paraId="40D05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14:paraId="65024B7B">
            <w:pPr>
              <w:rPr>
                <w:rFonts w:ascii="宋体"/>
                <w:color w:val="auto"/>
                <w:szCs w:val="21"/>
              </w:rPr>
            </w:pPr>
          </w:p>
        </w:tc>
        <w:tc>
          <w:tcPr>
            <w:tcW w:w="726" w:type="dxa"/>
          </w:tcPr>
          <w:p w14:paraId="1BA3D06E">
            <w:pPr>
              <w:rPr>
                <w:rFonts w:ascii="宋体"/>
                <w:color w:val="auto"/>
                <w:szCs w:val="21"/>
              </w:rPr>
            </w:pPr>
          </w:p>
        </w:tc>
        <w:tc>
          <w:tcPr>
            <w:tcW w:w="889" w:type="dxa"/>
          </w:tcPr>
          <w:p w14:paraId="2262E1BB">
            <w:pPr>
              <w:rPr>
                <w:rFonts w:ascii="宋体"/>
                <w:color w:val="auto"/>
                <w:szCs w:val="21"/>
              </w:rPr>
            </w:pPr>
          </w:p>
        </w:tc>
        <w:tc>
          <w:tcPr>
            <w:tcW w:w="1450" w:type="dxa"/>
          </w:tcPr>
          <w:p w14:paraId="546D7CCC">
            <w:pPr>
              <w:rPr>
                <w:rFonts w:ascii="宋体"/>
                <w:color w:val="auto"/>
                <w:szCs w:val="21"/>
              </w:rPr>
            </w:pPr>
          </w:p>
        </w:tc>
        <w:tc>
          <w:tcPr>
            <w:tcW w:w="900" w:type="dxa"/>
          </w:tcPr>
          <w:p w14:paraId="6A63097E">
            <w:pPr>
              <w:rPr>
                <w:rFonts w:ascii="宋体"/>
                <w:color w:val="auto"/>
                <w:szCs w:val="21"/>
              </w:rPr>
            </w:pPr>
          </w:p>
        </w:tc>
        <w:tc>
          <w:tcPr>
            <w:tcW w:w="1079" w:type="dxa"/>
          </w:tcPr>
          <w:p w14:paraId="42BDC317">
            <w:pPr>
              <w:rPr>
                <w:rFonts w:ascii="宋体"/>
                <w:color w:val="auto"/>
                <w:szCs w:val="21"/>
              </w:rPr>
            </w:pPr>
          </w:p>
        </w:tc>
        <w:tc>
          <w:tcPr>
            <w:tcW w:w="1285" w:type="dxa"/>
          </w:tcPr>
          <w:p w14:paraId="429CB1A3">
            <w:pPr>
              <w:rPr>
                <w:rFonts w:ascii="宋体"/>
                <w:color w:val="auto"/>
                <w:szCs w:val="21"/>
              </w:rPr>
            </w:pPr>
          </w:p>
        </w:tc>
        <w:tc>
          <w:tcPr>
            <w:tcW w:w="1327" w:type="dxa"/>
          </w:tcPr>
          <w:p w14:paraId="4A0C0473">
            <w:pPr>
              <w:rPr>
                <w:rFonts w:ascii="宋体"/>
                <w:color w:val="auto"/>
                <w:szCs w:val="21"/>
              </w:rPr>
            </w:pPr>
          </w:p>
        </w:tc>
        <w:tc>
          <w:tcPr>
            <w:tcW w:w="1290" w:type="dxa"/>
          </w:tcPr>
          <w:p w14:paraId="2615A1C8">
            <w:pPr>
              <w:rPr>
                <w:rFonts w:ascii="宋体"/>
                <w:color w:val="auto"/>
                <w:szCs w:val="21"/>
              </w:rPr>
            </w:pPr>
          </w:p>
        </w:tc>
      </w:tr>
      <w:tr w14:paraId="1C61E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14:paraId="3517C985">
            <w:pPr>
              <w:rPr>
                <w:rFonts w:ascii="宋体"/>
                <w:color w:val="auto"/>
                <w:szCs w:val="21"/>
              </w:rPr>
            </w:pPr>
          </w:p>
        </w:tc>
        <w:tc>
          <w:tcPr>
            <w:tcW w:w="726" w:type="dxa"/>
          </w:tcPr>
          <w:p w14:paraId="4D57122C">
            <w:pPr>
              <w:rPr>
                <w:rFonts w:ascii="宋体"/>
                <w:color w:val="auto"/>
                <w:szCs w:val="21"/>
              </w:rPr>
            </w:pPr>
          </w:p>
        </w:tc>
        <w:tc>
          <w:tcPr>
            <w:tcW w:w="889" w:type="dxa"/>
          </w:tcPr>
          <w:p w14:paraId="4C0EB4B7">
            <w:pPr>
              <w:rPr>
                <w:rFonts w:ascii="宋体"/>
                <w:color w:val="auto"/>
                <w:szCs w:val="21"/>
              </w:rPr>
            </w:pPr>
          </w:p>
        </w:tc>
        <w:tc>
          <w:tcPr>
            <w:tcW w:w="1450" w:type="dxa"/>
          </w:tcPr>
          <w:p w14:paraId="2AA9FC32">
            <w:pPr>
              <w:rPr>
                <w:rFonts w:ascii="宋体"/>
                <w:color w:val="auto"/>
                <w:szCs w:val="21"/>
              </w:rPr>
            </w:pPr>
          </w:p>
        </w:tc>
        <w:tc>
          <w:tcPr>
            <w:tcW w:w="900" w:type="dxa"/>
          </w:tcPr>
          <w:p w14:paraId="2276E18F">
            <w:pPr>
              <w:rPr>
                <w:rFonts w:ascii="宋体"/>
                <w:color w:val="auto"/>
                <w:szCs w:val="21"/>
              </w:rPr>
            </w:pPr>
          </w:p>
        </w:tc>
        <w:tc>
          <w:tcPr>
            <w:tcW w:w="1079" w:type="dxa"/>
          </w:tcPr>
          <w:p w14:paraId="37B40815">
            <w:pPr>
              <w:rPr>
                <w:rFonts w:ascii="宋体"/>
                <w:color w:val="auto"/>
                <w:szCs w:val="21"/>
              </w:rPr>
            </w:pPr>
          </w:p>
        </w:tc>
        <w:tc>
          <w:tcPr>
            <w:tcW w:w="1285" w:type="dxa"/>
          </w:tcPr>
          <w:p w14:paraId="66B8832A">
            <w:pPr>
              <w:rPr>
                <w:rFonts w:ascii="宋体"/>
                <w:color w:val="auto"/>
                <w:szCs w:val="21"/>
              </w:rPr>
            </w:pPr>
          </w:p>
        </w:tc>
        <w:tc>
          <w:tcPr>
            <w:tcW w:w="1327" w:type="dxa"/>
          </w:tcPr>
          <w:p w14:paraId="3E1AE61C">
            <w:pPr>
              <w:rPr>
                <w:rFonts w:ascii="宋体"/>
                <w:color w:val="auto"/>
                <w:szCs w:val="21"/>
              </w:rPr>
            </w:pPr>
          </w:p>
        </w:tc>
        <w:tc>
          <w:tcPr>
            <w:tcW w:w="1290" w:type="dxa"/>
          </w:tcPr>
          <w:p w14:paraId="6A6CAC77">
            <w:pPr>
              <w:rPr>
                <w:rFonts w:ascii="宋体"/>
                <w:color w:val="auto"/>
                <w:szCs w:val="21"/>
              </w:rPr>
            </w:pPr>
          </w:p>
        </w:tc>
      </w:tr>
      <w:tr w14:paraId="621DB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14:paraId="1B725335">
            <w:pPr>
              <w:rPr>
                <w:rFonts w:ascii="宋体"/>
                <w:color w:val="auto"/>
                <w:szCs w:val="21"/>
              </w:rPr>
            </w:pPr>
          </w:p>
        </w:tc>
        <w:tc>
          <w:tcPr>
            <w:tcW w:w="726" w:type="dxa"/>
          </w:tcPr>
          <w:p w14:paraId="5735D8C4">
            <w:pPr>
              <w:rPr>
                <w:rFonts w:ascii="宋体"/>
                <w:color w:val="auto"/>
                <w:szCs w:val="21"/>
              </w:rPr>
            </w:pPr>
          </w:p>
        </w:tc>
        <w:tc>
          <w:tcPr>
            <w:tcW w:w="889" w:type="dxa"/>
          </w:tcPr>
          <w:p w14:paraId="76FBAB0E">
            <w:pPr>
              <w:rPr>
                <w:rFonts w:ascii="宋体"/>
                <w:color w:val="auto"/>
                <w:szCs w:val="21"/>
              </w:rPr>
            </w:pPr>
          </w:p>
        </w:tc>
        <w:tc>
          <w:tcPr>
            <w:tcW w:w="1450" w:type="dxa"/>
          </w:tcPr>
          <w:p w14:paraId="031B3218">
            <w:pPr>
              <w:rPr>
                <w:rFonts w:ascii="宋体"/>
                <w:color w:val="auto"/>
                <w:szCs w:val="21"/>
              </w:rPr>
            </w:pPr>
          </w:p>
        </w:tc>
        <w:tc>
          <w:tcPr>
            <w:tcW w:w="900" w:type="dxa"/>
          </w:tcPr>
          <w:p w14:paraId="22C5BD9E">
            <w:pPr>
              <w:rPr>
                <w:rFonts w:ascii="宋体"/>
                <w:color w:val="auto"/>
                <w:szCs w:val="21"/>
              </w:rPr>
            </w:pPr>
          </w:p>
        </w:tc>
        <w:tc>
          <w:tcPr>
            <w:tcW w:w="1079" w:type="dxa"/>
          </w:tcPr>
          <w:p w14:paraId="4C0EF1EB">
            <w:pPr>
              <w:rPr>
                <w:rFonts w:ascii="宋体"/>
                <w:color w:val="auto"/>
                <w:szCs w:val="21"/>
              </w:rPr>
            </w:pPr>
          </w:p>
        </w:tc>
        <w:tc>
          <w:tcPr>
            <w:tcW w:w="1285" w:type="dxa"/>
          </w:tcPr>
          <w:p w14:paraId="3C9842C2">
            <w:pPr>
              <w:rPr>
                <w:rFonts w:ascii="宋体"/>
                <w:color w:val="auto"/>
                <w:szCs w:val="21"/>
              </w:rPr>
            </w:pPr>
          </w:p>
        </w:tc>
        <w:tc>
          <w:tcPr>
            <w:tcW w:w="1327" w:type="dxa"/>
          </w:tcPr>
          <w:p w14:paraId="3433F70A">
            <w:pPr>
              <w:rPr>
                <w:rFonts w:ascii="宋体"/>
                <w:color w:val="auto"/>
                <w:szCs w:val="21"/>
              </w:rPr>
            </w:pPr>
          </w:p>
        </w:tc>
        <w:tc>
          <w:tcPr>
            <w:tcW w:w="1290" w:type="dxa"/>
          </w:tcPr>
          <w:p w14:paraId="35BE9125">
            <w:pPr>
              <w:rPr>
                <w:rFonts w:ascii="宋体"/>
                <w:color w:val="auto"/>
                <w:szCs w:val="21"/>
              </w:rPr>
            </w:pPr>
          </w:p>
        </w:tc>
      </w:tr>
      <w:tr w14:paraId="392A1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14:paraId="5A4EFFD1">
            <w:pPr>
              <w:rPr>
                <w:rFonts w:ascii="宋体"/>
                <w:color w:val="auto"/>
                <w:szCs w:val="21"/>
              </w:rPr>
            </w:pPr>
          </w:p>
        </w:tc>
        <w:tc>
          <w:tcPr>
            <w:tcW w:w="726" w:type="dxa"/>
          </w:tcPr>
          <w:p w14:paraId="2AB78122">
            <w:pPr>
              <w:rPr>
                <w:rFonts w:ascii="宋体"/>
                <w:color w:val="auto"/>
                <w:szCs w:val="21"/>
              </w:rPr>
            </w:pPr>
          </w:p>
        </w:tc>
        <w:tc>
          <w:tcPr>
            <w:tcW w:w="889" w:type="dxa"/>
          </w:tcPr>
          <w:p w14:paraId="58F614FB">
            <w:pPr>
              <w:rPr>
                <w:rFonts w:ascii="宋体"/>
                <w:color w:val="auto"/>
                <w:szCs w:val="21"/>
              </w:rPr>
            </w:pPr>
          </w:p>
        </w:tc>
        <w:tc>
          <w:tcPr>
            <w:tcW w:w="1450" w:type="dxa"/>
          </w:tcPr>
          <w:p w14:paraId="086D21A8">
            <w:pPr>
              <w:rPr>
                <w:rFonts w:ascii="宋体"/>
                <w:color w:val="auto"/>
                <w:szCs w:val="21"/>
              </w:rPr>
            </w:pPr>
          </w:p>
        </w:tc>
        <w:tc>
          <w:tcPr>
            <w:tcW w:w="900" w:type="dxa"/>
          </w:tcPr>
          <w:p w14:paraId="047C7187">
            <w:pPr>
              <w:rPr>
                <w:rFonts w:ascii="宋体"/>
                <w:color w:val="auto"/>
                <w:szCs w:val="21"/>
              </w:rPr>
            </w:pPr>
          </w:p>
        </w:tc>
        <w:tc>
          <w:tcPr>
            <w:tcW w:w="1079" w:type="dxa"/>
          </w:tcPr>
          <w:p w14:paraId="2CC9F7A3">
            <w:pPr>
              <w:rPr>
                <w:rFonts w:ascii="宋体"/>
                <w:color w:val="auto"/>
                <w:szCs w:val="21"/>
              </w:rPr>
            </w:pPr>
          </w:p>
        </w:tc>
        <w:tc>
          <w:tcPr>
            <w:tcW w:w="1285" w:type="dxa"/>
          </w:tcPr>
          <w:p w14:paraId="4F696EC5">
            <w:pPr>
              <w:rPr>
                <w:rFonts w:ascii="宋体"/>
                <w:color w:val="auto"/>
                <w:szCs w:val="21"/>
              </w:rPr>
            </w:pPr>
          </w:p>
        </w:tc>
        <w:tc>
          <w:tcPr>
            <w:tcW w:w="1327" w:type="dxa"/>
          </w:tcPr>
          <w:p w14:paraId="467D2F61">
            <w:pPr>
              <w:rPr>
                <w:rFonts w:ascii="宋体"/>
                <w:color w:val="auto"/>
                <w:szCs w:val="21"/>
              </w:rPr>
            </w:pPr>
          </w:p>
        </w:tc>
        <w:tc>
          <w:tcPr>
            <w:tcW w:w="1290" w:type="dxa"/>
          </w:tcPr>
          <w:p w14:paraId="27AB5D3E">
            <w:pPr>
              <w:rPr>
                <w:rFonts w:ascii="宋体"/>
                <w:color w:val="auto"/>
                <w:szCs w:val="21"/>
              </w:rPr>
            </w:pPr>
          </w:p>
        </w:tc>
      </w:tr>
      <w:tr w14:paraId="5A5B8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718" w:type="dxa"/>
          </w:tcPr>
          <w:p w14:paraId="4B9D9331">
            <w:pPr>
              <w:rPr>
                <w:rFonts w:ascii="宋体"/>
                <w:color w:val="auto"/>
                <w:szCs w:val="21"/>
              </w:rPr>
            </w:pPr>
          </w:p>
        </w:tc>
        <w:tc>
          <w:tcPr>
            <w:tcW w:w="726" w:type="dxa"/>
          </w:tcPr>
          <w:p w14:paraId="37065E18">
            <w:pPr>
              <w:rPr>
                <w:rFonts w:ascii="宋体"/>
                <w:color w:val="auto"/>
                <w:szCs w:val="21"/>
              </w:rPr>
            </w:pPr>
          </w:p>
        </w:tc>
        <w:tc>
          <w:tcPr>
            <w:tcW w:w="889" w:type="dxa"/>
          </w:tcPr>
          <w:p w14:paraId="777FE819">
            <w:pPr>
              <w:rPr>
                <w:rFonts w:ascii="宋体"/>
                <w:color w:val="auto"/>
                <w:szCs w:val="21"/>
              </w:rPr>
            </w:pPr>
          </w:p>
        </w:tc>
        <w:tc>
          <w:tcPr>
            <w:tcW w:w="1450" w:type="dxa"/>
          </w:tcPr>
          <w:p w14:paraId="0BD9D54F">
            <w:pPr>
              <w:rPr>
                <w:rFonts w:ascii="宋体"/>
                <w:color w:val="auto"/>
                <w:szCs w:val="21"/>
              </w:rPr>
            </w:pPr>
          </w:p>
        </w:tc>
        <w:tc>
          <w:tcPr>
            <w:tcW w:w="900" w:type="dxa"/>
          </w:tcPr>
          <w:p w14:paraId="54383DCB">
            <w:pPr>
              <w:rPr>
                <w:rFonts w:ascii="宋体"/>
                <w:color w:val="auto"/>
                <w:szCs w:val="21"/>
              </w:rPr>
            </w:pPr>
          </w:p>
        </w:tc>
        <w:tc>
          <w:tcPr>
            <w:tcW w:w="1079" w:type="dxa"/>
          </w:tcPr>
          <w:p w14:paraId="569E4F4A">
            <w:pPr>
              <w:rPr>
                <w:rFonts w:ascii="宋体"/>
                <w:color w:val="auto"/>
                <w:szCs w:val="21"/>
              </w:rPr>
            </w:pPr>
          </w:p>
        </w:tc>
        <w:tc>
          <w:tcPr>
            <w:tcW w:w="1285" w:type="dxa"/>
          </w:tcPr>
          <w:p w14:paraId="7D091F21">
            <w:pPr>
              <w:rPr>
                <w:rFonts w:ascii="宋体"/>
                <w:color w:val="auto"/>
                <w:szCs w:val="21"/>
              </w:rPr>
            </w:pPr>
          </w:p>
        </w:tc>
        <w:tc>
          <w:tcPr>
            <w:tcW w:w="1327" w:type="dxa"/>
          </w:tcPr>
          <w:p w14:paraId="7E71BA10">
            <w:pPr>
              <w:rPr>
                <w:rFonts w:ascii="宋体"/>
                <w:color w:val="auto"/>
                <w:szCs w:val="21"/>
              </w:rPr>
            </w:pPr>
          </w:p>
        </w:tc>
        <w:tc>
          <w:tcPr>
            <w:tcW w:w="1290" w:type="dxa"/>
          </w:tcPr>
          <w:p w14:paraId="516819B1">
            <w:pPr>
              <w:rPr>
                <w:rFonts w:ascii="宋体"/>
                <w:color w:val="auto"/>
                <w:szCs w:val="21"/>
              </w:rPr>
            </w:pPr>
          </w:p>
        </w:tc>
      </w:tr>
      <w:tr w14:paraId="2CDB7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18" w:type="dxa"/>
          </w:tcPr>
          <w:p w14:paraId="386CE5B9">
            <w:pPr>
              <w:rPr>
                <w:rFonts w:ascii="宋体"/>
                <w:color w:val="auto"/>
                <w:szCs w:val="21"/>
              </w:rPr>
            </w:pPr>
          </w:p>
        </w:tc>
        <w:tc>
          <w:tcPr>
            <w:tcW w:w="726" w:type="dxa"/>
          </w:tcPr>
          <w:p w14:paraId="32C3B16F">
            <w:pPr>
              <w:rPr>
                <w:rFonts w:ascii="宋体"/>
                <w:color w:val="auto"/>
                <w:szCs w:val="21"/>
              </w:rPr>
            </w:pPr>
          </w:p>
        </w:tc>
        <w:tc>
          <w:tcPr>
            <w:tcW w:w="889" w:type="dxa"/>
          </w:tcPr>
          <w:p w14:paraId="60F01797">
            <w:pPr>
              <w:rPr>
                <w:rFonts w:ascii="宋体"/>
                <w:color w:val="auto"/>
                <w:szCs w:val="21"/>
              </w:rPr>
            </w:pPr>
          </w:p>
        </w:tc>
        <w:tc>
          <w:tcPr>
            <w:tcW w:w="1450" w:type="dxa"/>
          </w:tcPr>
          <w:p w14:paraId="1E62ABF6">
            <w:pPr>
              <w:rPr>
                <w:rFonts w:ascii="宋体"/>
                <w:color w:val="auto"/>
                <w:szCs w:val="21"/>
              </w:rPr>
            </w:pPr>
          </w:p>
        </w:tc>
        <w:tc>
          <w:tcPr>
            <w:tcW w:w="900" w:type="dxa"/>
          </w:tcPr>
          <w:p w14:paraId="61DCC38D">
            <w:pPr>
              <w:rPr>
                <w:rFonts w:ascii="宋体"/>
                <w:color w:val="auto"/>
                <w:szCs w:val="21"/>
              </w:rPr>
            </w:pPr>
          </w:p>
        </w:tc>
        <w:tc>
          <w:tcPr>
            <w:tcW w:w="1079" w:type="dxa"/>
          </w:tcPr>
          <w:p w14:paraId="7959794C">
            <w:pPr>
              <w:rPr>
                <w:rFonts w:ascii="宋体"/>
                <w:color w:val="auto"/>
                <w:szCs w:val="21"/>
              </w:rPr>
            </w:pPr>
          </w:p>
        </w:tc>
        <w:tc>
          <w:tcPr>
            <w:tcW w:w="1285" w:type="dxa"/>
          </w:tcPr>
          <w:p w14:paraId="44B37105">
            <w:pPr>
              <w:rPr>
                <w:rFonts w:ascii="宋体"/>
                <w:color w:val="auto"/>
                <w:szCs w:val="21"/>
              </w:rPr>
            </w:pPr>
          </w:p>
        </w:tc>
        <w:tc>
          <w:tcPr>
            <w:tcW w:w="1327" w:type="dxa"/>
          </w:tcPr>
          <w:p w14:paraId="22960335">
            <w:pPr>
              <w:rPr>
                <w:rFonts w:ascii="宋体"/>
                <w:color w:val="auto"/>
                <w:szCs w:val="21"/>
              </w:rPr>
            </w:pPr>
          </w:p>
        </w:tc>
        <w:tc>
          <w:tcPr>
            <w:tcW w:w="1290" w:type="dxa"/>
          </w:tcPr>
          <w:p w14:paraId="3DA23FA3">
            <w:pPr>
              <w:rPr>
                <w:rFonts w:ascii="宋体"/>
                <w:color w:val="auto"/>
                <w:szCs w:val="21"/>
              </w:rPr>
            </w:pPr>
          </w:p>
        </w:tc>
      </w:tr>
      <w:tr w14:paraId="04518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718" w:type="dxa"/>
          </w:tcPr>
          <w:p w14:paraId="15F9A278">
            <w:pPr>
              <w:rPr>
                <w:rFonts w:ascii="宋体"/>
                <w:color w:val="auto"/>
                <w:szCs w:val="21"/>
              </w:rPr>
            </w:pPr>
          </w:p>
        </w:tc>
        <w:tc>
          <w:tcPr>
            <w:tcW w:w="726" w:type="dxa"/>
          </w:tcPr>
          <w:p w14:paraId="0810CE7F">
            <w:pPr>
              <w:rPr>
                <w:rFonts w:ascii="宋体"/>
                <w:color w:val="auto"/>
                <w:szCs w:val="21"/>
              </w:rPr>
            </w:pPr>
          </w:p>
        </w:tc>
        <w:tc>
          <w:tcPr>
            <w:tcW w:w="889" w:type="dxa"/>
          </w:tcPr>
          <w:p w14:paraId="67693C70">
            <w:pPr>
              <w:rPr>
                <w:rFonts w:ascii="宋体"/>
                <w:color w:val="auto"/>
                <w:szCs w:val="21"/>
              </w:rPr>
            </w:pPr>
          </w:p>
        </w:tc>
        <w:tc>
          <w:tcPr>
            <w:tcW w:w="1450" w:type="dxa"/>
          </w:tcPr>
          <w:p w14:paraId="447D867D">
            <w:pPr>
              <w:rPr>
                <w:rFonts w:ascii="宋体"/>
                <w:color w:val="auto"/>
                <w:szCs w:val="21"/>
              </w:rPr>
            </w:pPr>
          </w:p>
        </w:tc>
        <w:tc>
          <w:tcPr>
            <w:tcW w:w="900" w:type="dxa"/>
          </w:tcPr>
          <w:p w14:paraId="79B86B45">
            <w:pPr>
              <w:rPr>
                <w:rFonts w:ascii="宋体"/>
                <w:color w:val="auto"/>
                <w:szCs w:val="21"/>
              </w:rPr>
            </w:pPr>
          </w:p>
        </w:tc>
        <w:tc>
          <w:tcPr>
            <w:tcW w:w="1079" w:type="dxa"/>
          </w:tcPr>
          <w:p w14:paraId="702B9EEF">
            <w:pPr>
              <w:rPr>
                <w:rFonts w:ascii="宋体"/>
                <w:color w:val="auto"/>
                <w:szCs w:val="21"/>
              </w:rPr>
            </w:pPr>
          </w:p>
        </w:tc>
        <w:tc>
          <w:tcPr>
            <w:tcW w:w="1285" w:type="dxa"/>
          </w:tcPr>
          <w:p w14:paraId="23E6B731">
            <w:pPr>
              <w:rPr>
                <w:rFonts w:ascii="宋体"/>
                <w:color w:val="auto"/>
                <w:szCs w:val="21"/>
              </w:rPr>
            </w:pPr>
          </w:p>
        </w:tc>
        <w:tc>
          <w:tcPr>
            <w:tcW w:w="1327" w:type="dxa"/>
          </w:tcPr>
          <w:p w14:paraId="6EE6A9EF">
            <w:pPr>
              <w:rPr>
                <w:rFonts w:ascii="宋体"/>
                <w:color w:val="auto"/>
                <w:szCs w:val="21"/>
              </w:rPr>
            </w:pPr>
          </w:p>
        </w:tc>
        <w:tc>
          <w:tcPr>
            <w:tcW w:w="1290" w:type="dxa"/>
          </w:tcPr>
          <w:p w14:paraId="7816DF93">
            <w:pPr>
              <w:rPr>
                <w:rFonts w:ascii="宋体"/>
                <w:color w:val="auto"/>
                <w:szCs w:val="21"/>
              </w:rPr>
            </w:pPr>
          </w:p>
        </w:tc>
      </w:tr>
    </w:tbl>
    <w:p w14:paraId="356D9A13">
      <w:pPr>
        <w:spacing w:line="230" w:lineRule="exact"/>
        <w:rPr>
          <w:color w:val="auto"/>
        </w:rPr>
      </w:pPr>
    </w:p>
    <w:p w14:paraId="6540CAFF">
      <w:pPr>
        <w:spacing w:before="31" w:line="184" w:lineRule="auto"/>
        <w:ind w:firstLine="12"/>
        <w:rPr>
          <w:rFonts w:ascii="宋体" w:hAnsi="宋体" w:cs="宋体"/>
          <w:color w:val="auto"/>
          <w:szCs w:val="21"/>
        </w:rPr>
      </w:pPr>
      <w:r>
        <w:rPr>
          <w:rFonts w:ascii="宋体" w:hAnsi="宋体" w:cs="宋体"/>
          <w:color w:val="auto"/>
          <w:spacing w:val="-8"/>
          <w:szCs w:val="21"/>
        </w:rPr>
        <w:t>注：</w:t>
      </w:r>
      <w:r>
        <w:rPr>
          <w:rFonts w:ascii="宋体" w:hAnsi="宋体" w:cs="宋体"/>
          <w:color w:val="auto"/>
          <w:spacing w:val="54"/>
          <w:szCs w:val="21"/>
        </w:rPr>
        <w:t xml:space="preserve"> </w:t>
      </w:r>
      <w:r>
        <w:rPr>
          <w:rFonts w:ascii="宋体" w:hAnsi="宋体" w:cs="宋体"/>
          <w:color w:val="auto"/>
          <w:spacing w:val="-8"/>
          <w:szCs w:val="21"/>
        </w:rPr>
        <w:t>项目管理机构组成表中的人员应配备齐全。</w:t>
      </w:r>
    </w:p>
    <w:p w14:paraId="40D01796">
      <w:pPr>
        <w:spacing w:before="135" w:line="186" w:lineRule="auto"/>
        <w:rPr>
          <w:rFonts w:ascii="宋体" w:hAnsi="宋体" w:cs="宋体"/>
          <w:color w:val="auto"/>
          <w:spacing w:val="-15"/>
          <w:szCs w:val="21"/>
        </w:rPr>
      </w:pPr>
    </w:p>
    <w:p w14:paraId="4AD0F7CE">
      <w:pPr>
        <w:pStyle w:val="151"/>
        <w:rPr>
          <w:color w:val="auto"/>
        </w:rPr>
      </w:pPr>
    </w:p>
    <w:p w14:paraId="414168D4">
      <w:pPr>
        <w:spacing w:before="135" w:line="186" w:lineRule="auto"/>
        <w:rPr>
          <w:rFonts w:ascii="宋体" w:hAnsi="宋体" w:cs="宋体"/>
          <w:color w:val="auto"/>
          <w:spacing w:val="-15"/>
          <w:sz w:val="28"/>
          <w:szCs w:val="28"/>
        </w:rPr>
      </w:pPr>
    </w:p>
    <w:p w14:paraId="67262DD1">
      <w:pPr>
        <w:spacing w:before="135" w:line="186" w:lineRule="auto"/>
        <w:ind w:firstLine="3374"/>
        <w:rPr>
          <w:rFonts w:ascii="宋体" w:hAnsi="宋体" w:cs="宋体"/>
          <w:color w:val="auto"/>
          <w:sz w:val="28"/>
          <w:szCs w:val="28"/>
        </w:rPr>
      </w:pPr>
      <w:r>
        <w:rPr>
          <w:rFonts w:ascii="宋体" w:hAnsi="宋体" w:cs="宋体"/>
          <w:color w:val="auto"/>
          <w:spacing w:val="-15"/>
          <w:sz w:val="28"/>
          <w:szCs w:val="28"/>
        </w:rPr>
        <w:t>（二）</w:t>
      </w:r>
      <w:r>
        <w:rPr>
          <w:rFonts w:ascii="宋体" w:hAnsi="宋体" w:cs="宋体"/>
          <w:color w:val="auto"/>
          <w:spacing w:val="1"/>
          <w:sz w:val="28"/>
          <w:szCs w:val="28"/>
        </w:rPr>
        <w:t xml:space="preserve"> </w:t>
      </w:r>
      <w:r>
        <w:rPr>
          <w:rFonts w:ascii="宋体" w:hAnsi="宋体" w:cs="宋体"/>
          <w:color w:val="auto"/>
          <w:spacing w:val="-15"/>
          <w:sz w:val="28"/>
          <w:szCs w:val="28"/>
        </w:rPr>
        <w:t>主要人员简历表</w:t>
      </w:r>
    </w:p>
    <w:p w14:paraId="379DD69A">
      <w:pPr>
        <w:rPr>
          <w:color w:val="auto"/>
        </w:rPr>
      </w:pPr>
    </w:p>
    <w:tbl>
      <w:tblPr>
        <w:tblStyle w:val="177"/>
        <w:tblpPr w:leftFromText="180" w:rightFromText="180" w:vertAnchor="text" w:horzAnchor="page" w:tblpX="1412" w:tblpY="79"/>
        <w:tblOverlap w:val="never"/>
        <w:tblW w:w="942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355"/>
        <w:gridCol w:w="1624"/>
        <w:gridCol w:w="1079"/>
        <w:gridCol w:w="899"/>
        <w:gridCol w:w="540"/>
        <w:gridCol w:w="1251"/>
        <w:gridCol w:w="728"/>
        <w:gridCol w:w="1689"/>
      </w:tblGrid>
      <w:tr w14:paraId="68016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619" w:type="dxa"/>
            <w:gridSpan w:val="2"/>
          </w:tcPr>
          <w:p w14:paraId="2644EF36">
            <w:pPr>
              <w:spacing w:before="63" w:line="184" w:lineRule="auto"/>
              <w:ind w:firstLine="605"/>
              <w:rPr>
                <w:rFonts w:ascii="宋体" w:hAnsi="宋体" w:cs="宋体"/>
                <w:color w:val="auto"/>
                <w:szCs w:val="21"/>
              </w:rPr>
            </w:pPr>
            <w:r>
              <w:rPr>
                <w:rFonts w:ascii="宋体" w:hAnsi="宋体" w:cs="宋体"/>
                <w:color w:val="auto"/>
                <w:spacing w:val="-5"/>
                <w:szCs w:val="21"/>
              </w:rPr>
              <w:t>姓名</w:t>
            </w:r>
          </w:p>
        </w:tc>
        <w:tc>
          <w:tcPr>
            <w:tcW w:w="1624" w:type="dxa"/>
          </w:tcPr>
          <w:p w14:paraId="48591C85">
            <w:pPr>
              <w:rPr>
                <w:rFonts w:ascii="宋体"/>
                <w:color w:val="auto"/>
                <w:szCs w:val="21"/>
              </w:rPr>
            </w:pPr>
          </w:p>
        </w:tc>
        <w:tc>
          <w:tcPr>
            <w:tcW w:w="1079" w:type="dxa"/>
          </w:tcPr>
          <w:p w14:paraId="25AC5954">
            <w:pPr>
              <w:spacing w:before="63" w:line="184" w:lineRule="auto"/>
              <w:ind w:firstLine="336"/>
              <w:rPr>
                <w:rFonts w:ascii="宋体" w:hAnsi="宋体" w:cs="宋体"/>
                <w:color w:val="auto"/>
                <w:szCs w:val="21"/>
              </w:rPr>
            </w:pPr>
            <w:r>
              <w:rPr>
                <w:rFonts w:ascii="宋体" w:hAnsi="宋体" w:cs="宋体"/>
                <w:color w:val="auto"/>
                <w:spacing w:val="-5"/>
                <w:szCs w:val="21"/>
              </w:rPr>
              <w:t>年龄</w:t>
            </w:r>
          </w:p>
        </w:tc>
        <w:tc>
          <w:tcPr>
            <w:tcW w:w="1439" w:type="dxa"/>
            <w:gridSpan w:val="2"/>
          </w:tcPr>
          <w:p w14:paraId="329DE6DA">
            <w:pPr>
              <w:rPr>
                <w:rFonts w:ascii="宋体"/>
                <w:color w:val="auto"/>
                <w:szCs w:val="21"/>
              </w:rPr>
            </w:pPr>
          </w:p>
        </w:tc>
        <w:tc>
          <w:tcPr>
            <w:tcW w:w="1979" w:type="dxa"/>
            <w:gridSpan w:val="2"/>
          </w:tcPr>
          <w:p w14:paraId="7505708D">
            <w:pPr>
              <w:spacing w:before="63" w:line="184" w:lineRule="auto"/>
              <w:ind w:firstLine="265"/>
              <w:rPr>
                <w:rFonts w:ascii="宋体" w:hAnsi="宋体" w:cs="宋体"/>
                <w:color w:val="auto"/>
                <w:szCs w:val="21"/>
              </w:rPr>
            </w:pPr>
            <w:r>
              <w:rPr>
                <w:rFonts w:ascii="宋体" w:hAnsi="宋体" w:cs="宋体"/>
                <w:color w:val="auto"/>
                <w:spacing w:val="-7"/>
                <w:szCs w:val="21"/>
              </w:rPr>
              <w:t>学</w:t>
            </w:r>
            <w:r>
              <w:rPr>
                <w:rFonts w:ascii="宋体" w:hAnsi="宋体" w:cs="宋体"/>
                <w:color w:val="auto"/>
                <w:spacing w:val="1"/>
                <w:szCs w:val="21"/>
              </w:rPr>
              <w:t xml:space="preserve">          </w:t>
            </w:r>
            <w:r>
              <w:rPr>
                <w:rFonts w:ascii="宋体" w:hAnsi="宋体" w:cs="宋体"/>
                <w:color w:val="auto"/>
                <w:spacing w:val="-7"/>
                <w:szCs w:val="21"/>
              </w:rPr>
              <w:t>历</w:t>
            </w:r>
          </w:p>
        </w:tc>
        <w:tc>
          <w:tcPr>
            <w:tcW w:w="1689" w:type="dxa"/>
          </w:tcPr>
          <w:p w14:paraId="7A7AAD43">
            <w:pPr>
              <w:rPr>
                <w:rFonts w:ascii="宋体"/>
                <w:color w:val="auto"/>
                <w:szCs w:val="21"/>
              </w:rPr>
            </w:pPr>
          </w:p>
        </w:tc>
      </w:tr>
      <w:tr w14:paraId="5D78A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1619" w:type="dxa"/>
            <w:gridSpan w:val="2"/>
          </w:tcPr>
          <w:p w14:paraId="06AB1AB2">
            <w:pPr>
              <w:spacing w:before="54" w:line="184" w:lineRule="auto"/>
              <w:ind w:firstLine="606"/>
              <w:rPr>
                <w:rFonts w:ascii="宋体" w:hAnsi="宋体" w:cs="宋体"/>
                <w:color w:val="auto"/>
                <w:szCs w:val="21"/>
              </w:rPr>
            </w:pPr>
            <w:r>
              <w:rPr>
                <w:rFonts w:ascii="宋体" w:hAnsi="宋体" w:cs="宋体"/>
                <w:color w:val="auto"/>
                <w:spacing w:val="-5"/>
                <w:szCs w:val="21"/>
              </w:rPr>
              <w:t>职称</w:t>
            </w:r>
          </w:p>
        </w:tc>
        <w:tc>
          <w:tcPr>
            <w:tcW w:w="1624" w:type="dxa"/>
          </w:tcPr>
          <w:p w14:paraId="49ABE463">
            <w:pPr>
              <w:rPr>
                <w:rFonts w:ascii="宋体"/>
                <w:color w:val="auto"/>
                <w:szCs w:val="21"/>
              </w:rPr>
            </w:pPr>
          </w:p>
        </w:tc>
        <w:tc>
          <w:tcPr>
            <w:tcW w:w="1079" w:type="dxa"/>
          </w:tcPr>
          <w:p w14:paraId="5BE17D4D">
            <w:pPr>
              <w:spacing w:before="54" w:line="184" w:lineRule="auto"/>
              <w:ind w:firstLine="336"/>
              <w:rPr>
                <w:rFonts w:ascii="宋体" w:hAnsi="宋体" w:cs="宋体"/>
                <w:color w:val="auto"/>
                <w:szCs w:val="21"/>
              </w:rPr>
            </w:pPr>
            <w:r>
              <w:rPr>
                <w:rFonts w:ascii="宋体" w:hAnsi="宋体" w:cs="宋体"/>
                <w:color w:val="auto"/>
                <w:spacing w:val="-5"/>
                <w:szCs w:val="21"/>
              </w:rPr>
              <w:t>职务</w:t>
            </w:r>
          </w:p>
        </w:tc>
        <w:tc>
          <w:tcPr>
            <w:tcW w:w="1439" w:type="dxa"/>
            <w:gridSpan w:val="2"/>
          </w:tcPr>
          <w:p w14:paraId="2172879F">
            <w:pPr>
              <w:rPr>
                <w:rFonts w:ascii="宋体"/>
                <w:color w:val="auto"/>
                <w:szCs w:val="21"/>
              </w:rPr>
            </w:pPr>
          </w:p>
        </w:tc>
        <w:tc>
          <w:tcPr>
            <w:tcW w:w="1979" w:type="dxa"/>
            <w:gridSpan w:val="2"/>
          </w:tcPr>
          <w:p w14:paraId="6FF22DEF">
            <w:pPr>
              <w:spacing w:before="54" w:line="184" w:lineRule="auto"/>
              <w:ind w:firstLine="261"/>
              <w:rPr>
                <w:rFonts w:ascii="宋体" w:hAnsi="宋体" w:cs="宋体"/>
                <w:color w:val="auto"/>
                <w:szCs w:val="21"/>
              </w:rPr>
            </w:pPr>
            <w:r>
              <w:rPr>
                <w:rFonts w:ascii="宋体" w:hAnsi="宋体" w:cs="宋体"/>
                <w:color w:val="auto"/>
                <w:spacing w:val="-2"/>
                <w:szCs w:val="21"/>
              </w:rPr>
              <w:t>拟在本合同任职</w:t>
            </w:r>
          </w:p>
        </w:tc>
        <w:tc>
          <w:tcPr>
            <w:tcW w:w="1689" w:type="dxa"/>
          </w:tcPr>
          <w:p w14:paraId="7556420B">
            <w:pPr>
              <w:rPr>
                <w:rFonts w:ascii="宋体"/>
                <w:color w:val="auto"/>
                <w:szCs w:val="21"/>
              </w:rPr>
            </w:pPr>
          </w:p>
        </w:tc>
      </w:tr>
      <w:tr w14:paraId="7FF9E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19" w:type="dxa"/>
            <w:gridSpan w:val="2"/>
          </w:tcPr>
          <w:p w14:paraId="600ABEB5">
            <w:pPr>
              <w:spacing w:before="128" w:line="184" w:lineRule="auto"/>
              <w:ind w:firstLine="398"/>
              <w:rPr>
                <w:rFonts w:ascii="宋体" w:hAnsi="宋体" w:cs="宋体"/>
                <w:color w:val="auto"/>
                <w:szCs w:val="21"/>
              </w:rPr>
            </w:pPr>
            <w:r>
              <w:rPr>
                <w:rFonts w:ascii="宋体" w:hAnsi="宋体" w:cs="宋体"/>
                <w:color w:val="auto"/>
                <w:spacing w:val="-4"/>
                <w:szCs w:val="21"/>
              </w:rPr>
              <w:t>毕业学校</w:t>
            </w:r>
          </w:p>
        </w:tc>
        <w:tc>
          <w:tcPr>
            <w:tcW w:w="7810" w:type="dxa"/>
            <w:gridSpan w:val="7"/>
          </w:tcPr>
          <w:p w14:paraId="4A26F07B">
            <w:pPr>
              <w:spacing w:before="32" w:line="184" w:lineRule="auto"/>
              <w:ind w:firstLine="638"/>
              <w:rPr>
                <w:rFonts w:ascii="宋体" w:hAnsi="宋体" w:cs="宋体"/>
                <w:color w:val="auto"/>
                <w:spacing w:val="-5"/>
                <w:szCs w:val="21"/>
              </w:rPr>
            </w:pPr>
          </w:p>
          <w:p w14:paraId="715F03E4">
            <w:pPr>
              <w:spacing w:before="32" w:line="184" w:lineRule="auto"/>
              <w:ind w:firstLine="638"/>
              <w:rPr>
                <w:rFonts w:ascii="宋体" w:hAnsi="宋体" w:cs="宋体"/>
                <w:color w:val="auto"/>
                <w:szCs w:val="21"/>
              </w:rPr>
            </w:pPr>
            <w:r>
              <w:rPr>
                <w:rFonts w:ascii="宋体" w:hAnsi="宋体" w:cs="宋体"/>
                <w:color w:val="auto"/>
                <w:spacing w:val="-5"/>
                <w:szCs w:val="21"/>
              </w:rPr>
              <w:t>年毕业于</w:t>
            </w:r>
            <w:r>
              <w:rPr>
                <w:rFonts w:ascii="宋体" w:hAnsi="宋体" w:cs="宋体"/>
                <w:color w:val="auto"/>
                <w:spacing w:val="1"/>
                <w:szCs w:val="21"/>
              </w:rPr>
              <w:t xml:space="preserve">                 </w:t>
            </w:r>
            <w:r>
              <w:rPr>
                <w:rFonts w:ascii="宋体" w:hAnsi="宋体" w:cs="宋体"/>
                <w:color w:val="auto"/>
                <w:spacing w:val="-5"/>
                <w:szCs w:val="21"/>
              </w:rPr>
              <w:t>学校</w:t>
            </w:r>
            <w:r>
              <w:rPr>
                <w:rFonts w:ascii="宋体" w:hAnsi="宋体" w:cs="宋体"/>
                <w:color w:val="auto"/>
                <w:spacing w:val="1"/>
                <w:szCs w:val="21"/>
              </w:rPr>
              <w:t xml:space="preserve">         </w:t>
            </w:r>
            <w:r>
              <w:rPr>
                <w:rFonts w:ascii="宋体" w:hAnsi="宋体" w:cs="宋体"/>
                <w:color w:val="auto"/>
                <w:spacing w:val="-5"/>
                <w:szCs w:val="21"/>
              </w:rPr>
              <w:t>专业</w:t>
            </w:r>
          </w:p>
        </w:tc>
      </w:tr>
      <w:tr w14:paraId="27287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9429" w:type="dxa"/>
            <w:gridSpan w:val="9"/>
          </w:tcPr>
          <w:p w14:paraId="4F7136EA">
            <w:pPr>
              <w:spacing w:before="32" w:line="184" w:lineRule="auto"/>
              <w:ind w:firstLine="117"/>
              <w:rPr>
                <w:rFonts w:ascii="宋体" w:hAnsi="宋体" w:cs="宋体"/>
                <w:color w:val="auto"/>
                <w:spacing w:val="-2"/>
                <w:szCs w:val="21"/>
              </w:rPr>
            </w:pPr>
          </w:p>
          <w:p w14:paraId="64B065B9">
            <w:pPr>
              <w:spacing w:before="32" w:line="184" w:lineRule="auto"/>
              <w:ind w:firstLine="117"/>
              <w:rPr>
                <w:rFonts w:ascii="宋体" w:hAnsi="宋体" w:cs="宋体"/>
                <w:color w:val="auto"/>
                <w:szCs w:val="21"/>
              </w:rPr>
            </w:pPr>
            <w:r>
              <w:rPr>
                <w:rFonts w:ascii="宋体" w:hAnsi="宋体" w:cs="宋体"/>
                <w:color w:val="auto"/>
                <w:spacing w:val="-2"/>
                <w:szCs w:val="21"/>
              </w:rPr>
              <w:t>主要工作经历</w:t>
            </w:r>
          </w:p>
        </w:tc>
      </w:tr>
      <w:tr w14:paraId="3CFBE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264" w:type="dxa"/>
          </w:tcPr>
          <w:p w14:paraId="42033E75">
            <w:pPr>
              <w:spacing w:before="133" w:line="184" w:lineRule="auto"/>
              <w:ind w:firstLine="437"/>
              <w:rPr>
                <w:rFonts w:ascii="宋体" w:hAnsi="宋体" w:cs="宋体"/>
                <w:color w:val="auto"/>
                <w:szCs w:val="21"/>
              </w:rPr>
            </w:pPr>
            <w:r>
              <w:rPr>
                <w:rFonts w:ascii="宋体" w:hAnsi="宋体" w:cs="宋体"/>
                <w:color w:val="auto"/>
                <w:spacing w:val="-10"/>
                <w:szCs w:val="21"/>
              </w:rPr>
              <w:t>时间</w:t>
            </w:r>
          </w:p>
        </w:tc>
        <w:tc>
          <w:tcPr>
            <w:tcW w:w="3957" w:type="dxa"/>
            <w:gridSpan w:val="4"/>
          </w:tcPr>
          <w:p w14:paraId="035C7B8B">
            <w:pPr>
              <w:spacing w:before="133" w:line="184" w:lineRule="auto"/>
              <w:ind w:firstLine="1145"/>
              <w:rPr>
                <w:rFonts w:ascii="宋体" w:hAnsi="宋体" w:cs="宋体"/>
                <w:color w:val="auto"/>
                <w:szCs w:val="21"/>
              </w:rPr>
            </w:pPr>
            <w:r>
              <w:rPr>
                <w:rFonts w:ascii="宋体" w:hAnsi="宋体" w:cs="宋体"/>
                <w:color w:val="auto"/>
                <w:spacing w:val="-2"/>
                <w:szCs w:val="21"/>
              </w:rPr>
              <w:t>参加过的类似项目</w:t>
            </w:r>
          </w:p>
        </w:tc>
        <w:tc>
          <w:tcPr>
            <w:tcW w:w="1791" w:type="dxa"/>
            <w:gridSpan w:val="2"/>
          </w:tcPr>
          <w:p w14:paraId="31D6F224">
            <w:pPr>
              <w:spacing w:before="133" w:line="184" w:lineRule="auto"/>
              <w:ind w:firstLine="482"/>
              <w:rPr>
                <w:rFonts w:ascii="宋体" w:hAnsi="宋体" w:cs="宋体"/>
                <w:color w:val="auto"/>
                <w:szCs w:val="21"/>
              </w:rPr>
            </w:pPr>
            <w:r>
              <w:rPr>
                <w:rFonts w:ascii="宋体" w:hAnsi="宋体" w:cs="宋体"/>
                <w:color w:val="auto"/>
                <w:spacing w:val="-3"/>
                <w:szCs w:val="21"/>
              </w:rPr>
              <w:t>担任职务</w:t>
            </w:r>
          </w:p>
        </w:tc>
        <w:tc>
          <w:tcPr>
            <w:tcW w:w="2417" w:type="dxa"/>
            <w:gridSpan w:val="2"/>
          </w:tcPr>
          <w:p w14:paraId="3384290B">
            <w:pPr>
              <w:spacing w:before="133" w:line="184" w:lineRule="auto"/>
              <w:ind w:firstLine="376"/>
              <w:rPr>
                <w:rFonts w:ascii="宋体" w:hAnsi="宋体" w:cs="宋体"/>
                <w:color w:val="auto"/>
                <w:szCs w:val="21"/>
              </w:rPr>
            </w:pPr>
            <w:r>
              <w:rPr>
                <w:rFonts w:ascii="宋体" w:hAnsi="宋体" w:cs="宋体"/>
                <w:color w:val="auto"/>
                <w:spacing w:val="-2"/>
                <w:szCs w:val="21"/>
              </w:rPr>
              <w:t>发包人及联系电话</w:t>
            </w:r>
          </w:p>
        </w:tc>
      </w:tr>
      <w:tr w14:paraId="01593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598BDC76">
            <w:pPr>
              <w:rPr>
                <w:rFonts w:ascii="宋体"/>
                <w:color w:val="auto"/>
                <w:szCs w:val="21"/>
              </w:rPr>
            </w:pPr>
          </w:p>
        </w:tc>
        <w:tc>
          <w:tcPr>
            <w:tcW w:w="3957" w:type="dxa"/>
            <w:gridSpan w:val="4"/>
          </w:tcPr>
          <w:p w14:paraId="618F3072">
            <w:pPr>
              <w:rPr>
                <w:rFonts w:ascii="宋体"/>
                <w:color w:val="auto"/>
                <w:szCs w:val="21"/>
              </w:rPr>
            </w:pPr>
          </w:p>
        </w:tc>
        <w:tc>
          <w:tcPr>
            <w:tcW w:w="1791" w:type="dxa"/>
            <w:gridSpan w:val="2"/>
          </w:tcPr>
          <w:p w14:paraId="7112AEF9">
            <w:pPr>
              <w:rPr>
                <w:rFonts w:ascii="宋体"/>
                <w:color w:val="auto"/>
                <w:szCs w:val="21"/>
              </w:rPr>
            </w:pPr>
          </w:p>
        </w:tc>
        <w:tc>
          <w:tcPr>
            <w:tcW w:w="2417" w:type="dxa"/>
            <w:gridSpan w:val="2"/>
          </w:tcPr>
          <w:p w14:paraId="5B8DE720">
            <w:pPr>
              <w:rPr>
                <w:rFonts w:ascii="宋体"/>
                <w:color w:val="auto"/>
                <w:szCs w:val="21"/>
              </w:rPr>
            </w:pPr>
          </w:p>
        </w:tc>
      </w:tr>
      <w:tr w14:paraId="358BF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0FF0B905">
            <w:pPr>
              <w:rPr>
                <w:rFonts w:ascii="宋体"/>
                <w:color w:val="auto"/>
                <w:szCs w:val="21"/>
              </w:rPr>
            </w:pPr>
          </w:p>
        </w:tc>
        <w:tc>
          <w:tcPr>
            <w:tcW w:w="3957" w:type="dxa"/>
            <w:gridSpan w:val="4"/>
          </w:tcPr>
          <w:p w14:paraId="1B74EB7E">
            <w:pPr>
              <w:rPr>
                <w:rFonts w:ascii="宋体"/>
                <w:color w:val="auto"/>
                <w:szCs w:val="21"/>
              </w:rPr>
            </w:pPr>
          </w:p>
        </w:tc>
        <w:tc>
          <w:tcPr>
            <w:tcW w:w="1791" w:type="dxa"/>
            <w:gridSpan w:val="2"/>
          </w:tcPr>
          <w:p w14:paraId="4BAD80AB">
            <w:pPr>
              <w:rPr>
                <w:rFonts w:ascii="宋体"/>
                <w:color w:val="auto"/>
                <w:szCs w:val="21"/>
              </w:rPr>
            </w:pPr>
          </w:p>
        </w:tc>
        <w:tc>
          <w:tcPr>
            <w:tcW w:w="2417" w:type="dxa"/>
            <w:gridSpan w:val="2"/>
          </w:tcPr>
          <w:p w14:paraId="10A0F3F7">
            <w:pPr>
              <w:rPr>
                <w:rFonts w:ascii="宋体"/>
                <w:color w:val="auto"/>
                <w:szCs w:val="21"/>
              </w:rPr>
            </w:pPr>
          </w:p>
        </w:tc>
      </w:tr>
      <w:tr w14:paraId="3101A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1DCB7875">
            <w:pPr>
              <w:rPr>
                <w:rFonts w:ascii="宋体"/>
                <w:color w:val="auto"/>
                <w:szCs w:val="21"/>
              </w:rPr>
            </w:pPr>
          </w:p>
        </w:tc>
        <w:tc>
          <w:tcPr>
            <w:tcW w:w="3957" w:type="dxa"/>
            <w:gridSpan w:val="4"/>
          </w:tcPr>
          <w:p w14:paraId="22301587">
            <w:pPr>
              <w:rPr>
                <w:rFonts w:ascii="宋体"/>
                <w:color w:val="auto"/>
                <w:szCs w:val="21"/>
              </w:rPr>
            </w:pPr>
          </w:p>
        </w:tc>
        <w:tc>
          <w:tcPr>
            <w:tcW w:w="1791" w:type="dxa"/>
            <w:gridSpan w:val="2"/>
          </w:tcPr>
          <w:p w14:paraId="43A9B7E9">
            <w:pPr>
              <w:rPr>
                <w:rFonts w:ascii="宋体"/>
                <w:color w:val="auto"/>
                <w:szCs w:val="21"/>
              </w:rPr>
            </w:pPr>
          </w:p>
        </w:tc>
        <w:tc>
          <w:tcPr>
            <w:tcW w:w="2417" w:type="dxa"/>
            <w:gridSpan w:val="2"/>
          </w:tcPr>
          <w:p w14:paraId="3E2F61B7">
            <w:pPr>
              <w:rPr>
                <w:rFonts w:ascii="宋体"/>
                <w:color w:val="auto"/>
                <w:szCs w:val="21"/>
              </w:rPr>
            </w:pPr>
          </w:p>
        </w:tc>
      </w:tr>
      <w:tr w14:paraId="1F5F8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5FFA012C">
            <w:pPr>
              <w:rPr>
                <w:rFonts w:ascii="宋体"/>
                <w:color w:val="auto"/>
                <w:szCs w:val="21"/>
              </w:rPr>
            </w:pPr>
          </w:p>
        </w:tc>
        <w:tc>
          <w:tcPr>
            <w:tcW w:w="3957" w:type="dxa"/>
            <w:gridSpan w:val="4"/>
          </w:tcPr>
          <w:p w14:paraId="7E29C182">
            <w:pPr>
              <w:rPr>
                <w:rFonts w:ascii="宋体"/>
                <w:color w:val="auto"/>
                <w:szCs w:val="21"/>
              </w:rPr>
            </w:pPr>
          </w:p>
        </w:tc>
        <w:tc>
          <w:tcPr>
            <w:tcW w:w="1791" w:type="dxa"/>
            <w:gridSpan w:val="2"/>
          </w:tcPr>
          <w:p w14:paraId="55B3B51B">
            <w:pPr>
              <w:rPr>
                <w:rFonts w:ascii="宋体"/>
                <w:color w:val="auto"/>
                <w:szCs w:val="21"/>
              </w:rPr>
            </w:pPr>
          </w:p>
        </w:tc>
        <w:tc>
          <w:tcPr>
            <w:tcW w:w="2417" w:type="dxa"/>
            <w:gridSpan w:val="2"/>
          </w:tcPr>
          <w:p w14:paraId="3FA62FBC">
            <w:pPr>
              <w:rPr>
                <w:rFonts w:ascii="宋体"/>
                <w:color w:val="auto"/>
                <w:szCs w:val="21"/>
              </w:rPr>
            </w:pPr>
          </w:p>
        </w:tc>
      </w:tr>
      <w:tr w14:paraId="21219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3EF8E13B">
            <w:pPr>
              <w:rPr>
                <w:rFonts w:ascii="宋体"/>
                <w:color w:val="auto"/>
                <w:szCs w:val="21"/>
              </w:rPr>
            </w:pPr>
          </w:p>
        </w:tc>
        <w:tc>
          <w:tcPr>
            <w:tcW w:w="3957" w:type="dxa"/>
            <w:gridSpan w:val="4"/>
          </w:tcPr>
          <w:p w14:paraId="19DA6687">
            <w:pPr>
              <w:rPr>
                <w:rFonts w:ascii="宋体"/>
                <w:color w:val="auto"/>
                <w:szCs w:val="21"/>
              </w:rPr>
            </w:pPr>
          </w:p>
        </w:tc>
        <w:tc>
          <w:tcPr>
            <w:tcW w:w="1791" w:type="dxa"/>
            <w:gridSpan w:val="2"/>
          </w:tcPr>
          <w:p w14:paraId="66641D5B">
            <w:pPr>
              <w:rPr>
                <w:rFonts w:ascii="宋体"/>
                <w:color w:val="auto"/>
                <w:szCs w:val="21"/>
              </w:rPr>
            </w:pPr>
          </w:p>
        </w:tc>
        <w:tc>
          <w:tcPr>
            <w:tcW w:w="2417" w:type="dxa"/>
            <w:gridSpan w:val="2"/>
          </w:tcPr>
          <w:p w14:paraId="635A6A27">
            <w:pPr>
              <w:rPr>
                <w:rFonts w:ascii="宋体"/>
                <w:color w:val="auto"/>
                <w:szCs w:val="21"/>
              </w:rPr>
            </w:pPr>
          </w:p>
        </w:tc>
      </w:tr>
      <w:tr w14:paraId="05324B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656EB01D">
            <w:pPr>
              <w:rPr>
                <w:rFonts w:ascii="宋体"/>
                <w:color w:val="auto"/>
                <w:szCs w:val="21"/>
              </w:rPr>
            </w:pPr>
          </w:p>
        </w:tc>
        <w:tc>
          <w:tcPr>
            <w:tcW w:w="3957" w:type="dxa"/>
            <w:gridSpan w:val="4"/>
          </w:tcPr>
          <w:p w14:paraId="0FC4ECBB">
            <w:pPr>
              <w:rPr>
                <w:rFonts w:ascii="宋体"/>
                <w:color w:val="auto"/>
                <w:szCs w:val="21"/>
              </w:rPr>
            </w:pPr>
          </w:p>
        </w:tc>
        <w:tc>
          <w:tcPr>
            <w:tcW w:w="1791" w:type="dxa"/>
            <w:gridSpan w:val="2"/>
          </w:tcPr>
          <w:p w14:paraId="3570F606">
            <w:pPr>
              <w:rPr>
                <w:rFonts w:ascii="宋体"/>
                <w:color w:val="auto"/>
                <w:szCs w:val="21"/>
              </w:rPr>
            </w:pPr>
          </w:p>
        </w:tc>
        <w:tc>
          <w:tcPr>
            <w:tcW w:w="2417" w:type="dxa"/>
            <w:gridSpan w:val="2"/>
          </w:tcPr>
          <w:p w14:paraId="3C94D6D0">
            <w:pPr>
              <w:rPr>
                <w:rFonts w:ascii="宋体"/>
                <w:color w:val="auto"/>
                <w:szCs w:val="21"/>
              </w:rPr>
            </w:pPr>
          </w:p>
        </w:tc>
      </w:tr>
      <w:tr w14:paraId="04E49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0F9C89BF">
            <w:pPr>
              <w:rPr>
                <w:rFonts w:ascii="宋体"/>
                <w:color w:val="auto"/>
                <w:szCs w:val="21"/>
              </w:rPr>
            </w:pPr>
          </w:p>
        </w:tc>
        <w:tc>
          <w:tcPr>
            <w:tcW w:w="3957" w:type="dxa"/>
            <w:gridSpan w:val="4"/>
          </w:tcPr>
          <w:p w14:paraId="08AFBB86">
            <w:pPr>
              <w:rPr>
                <w:rFonts w:ascii="宋体"/>
                <w:color w:val="auto"/>
                <w:szCs w:val="21"/>
              </w:rPr>
            </w:pPr>
          </w:p>
        </w:tc>
        <w:tc>
          <w:tcPr>
            <w:tcW w:w="1791" w:type="dxa"/>
            <w:gridSpan w:val="2"/>
          </w:tcPr>
          <w:p w14:paraId="47D81960">
            <w:pPr>
              <w:rPr>
                <w:rFonts w:ascii="宋体"/>
                <w:color w:val="auto"/>
                <w:szCs w:val="21"/>
              </w:rPr>
            </w:pPr>
          </w:p>
        </w:tc>
        <w:tc>
          <w:tcPr>
            <w:tcW w:w="2417" w:type="dxa"/>
            <w:gridSpan w:val="2"/>
          </w:tcPr>
          <w:p w14:paraId="5996AAB0">
            <w:pPr>
              <w:rPr>
                <w:rFonts w:ascii="宋体"/>
                <w:color w:val="auto"/>
                <w:szCs w:val="21"/>
              </w:rPr>
            </w:pPr>
          </w:p>
        </w:tc>
      </w:tr>
      <w:tr w14:paraId="5FEF7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45B08300">
            <w:pPr>
              <w:rPr>
                <w:rFonts w:ascii="宋体"/>
                <w:color w:val="auto"/>
                <w:szCs w:val="21"/>
              </w:rPr>
            </w:pPr>
          </w:p>
        </w:tc>
        <w:tc>
          <w:tcPr>
            <w:tcW w:w="3957" w:type="dxa"/>
            <w:gridSpan w:val="4"/>
          </w:tcPr>
          <w:p w14:paraId="2FF9320E">
            <w:pPr>
              <w:rPr>
                <w:rFonts w:ascii="宋体"/>
                <w:color w:val="auto"/>
                <w:szCs w:val="21"/>
              </w:rPr>
            </w:pPr>
          </w:p>
        </w:tc>
        <w:tc>
          <w:tcPr>
            <w:tcW w:w="1791" w:type="dxa"/>
            <w:gridSpan w:val="2"/>
          </w:tcPr>
          <w:p w14:paraId="3AD58BB0">
            <w:pPr>
              <w:rPr>
                <w:rFonts w:ascii="宋体"/>
                <w:color w:val="auto"/>
                <w:szCs w:val="21"/>
              </w:rPr>
            </w:pPr>
          </w:p>
        </w:tc>
        <w:tc>
          <w:tcPr>
            <w:tcW w:w="2417" w:type="dxa"/>
            <w:gridSpan w:val="2"/>
          </w:tcPr>
          <w:p w14:paraId="5F4D2F4B">
            <w:pPr>
              <w:rPr>
                <w:rFonts w:ascii="宋体"/>
                <w:color w:val="auto"/>
                <w:szCs w:val="21"/>
              </w:rPr>
            </w:pPr>
          </w:p>
        </w:tc>
      </w:tr>
      <w:tr w14:paraId="4D721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07269657">
            <w:pPr>
              <w:rPr>
                <w:rFonts w:ascii="宋体"/>
                <w:color w:val="auto"/>
                <w:szCs w:val="21"/>
              </w:rPr>
            </w:pPr>
          </w:p>
        </w:tc>
        <w:tc>
          <w:tcPr>
            <w:tcW w:w="3957" w:type="dxa"/>
            <w:gridSpan w:val="4"/>
          </w:tcPr>
          <w:p w14:paraId="13C65890">
            <w:pPr>
              <w:rPr>
                <w:rFonts w:ascii="宋体"/>
                <w:color w:val="auto"/>
                <w:szCs w:val="21"/>
              </w:rPr>
            </w:pPr>
          </w:p>
        </w:tc>
        <w:tc>
          <w:tcPr>
            <w:tcW w:w="1791" w:type="dxa"/>
            <w:gridSpan w:val="2"/>
          </w:tcPr>
          <w:p w14:paraId="7B6021E0">
            <w:pPr>
              <w:rPr>
                <w:rFonts w:ascii="宋体"/>
                <w:color w:val="auto"/>
                <w:szCs w:val="21"/>
              </w:rPr>
            </w:pPr>
          </w:p>
        </w:tc>
        <w:tc>
          <w:tcPr>
            <w:tcW w:w="2417" w:type="dxa"/>
            <w:gridSpan w:val="2"/>
          </w:tcPr>
          <w:p w14:paraId="3143F8F3">
            <w:pPr>
              <w:rPr>
                <w:rFonts w:ascii="宋体"/>
                <w:color w:val="auto"/>
                <w:szCs w:val="21"/>
              </w:rPr>
            </w:pPr>
          </w:p>
        </w:tc>
      </w:tr>
      <w:tr w14:paraId="1F57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1D5F67E8">
            <w:pPr>
              <w:rPr>
                <w:rFonts w:ascii="宋体"/>
                <w:color w:val="auto"/>
                <w:szCs w:val="21"/>
              </w:rPr>
            </w:pPr>
          </w:p>
        </w:tc>
        <w:tc>
          <w:tcPr>
            <w:tcW w:w="3957" w:type="dxa"/>
            <w:gridSpan w:val="4"/>
          </w:tcPr>
          <w:p w14:paraId="084B7771">
            <w:pPr>
              <w:rPr>
                <w:rFonts w:ascii="宋体"/>
                <w:color w:val="auto"/>
                <w:szCs w:val="21"/>
              </w:rPr>
            </w:pPr>
          </w:p>
        </w:tc>
        <w:tc>
          <w:tcPr>
            <w:tcW w:w="1791" w:type="dxa"/>
            <w:gridSpan w:val="2"/>
          </w:tcPr>
          <w:p w14:paraId="15DD554E">
            <w:pPr>
              <w:rPr>
                <w:rFonts w:ascii="宋体"/>
                <w:color w:val="auto"/>
                <w:szCs w:val="21"/>
              </w:rPr>
            </w:pPr>
          </w:p>
        </w:tc>
        <w:tc>
          <w:tcPr>
            <w:tcW w:w="2417" w:type="dxa"/>
            <w:gridSpan w:val="2"/>
          </w:tcPr>
          <w:p w14:paraId="725E0D14">
            <w:pPr>
              <w:rPr>
                <w:rFonts w:ascii="宋体"/>
                <w:color w:val="auto"/>
                <w:szCs w:val="21"/>
              </w:rPr>
            </w:pPr>
          </w:p>
        </w:tc>
      </w:tr>
      <w:tr w14:paraId="24921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1264" w:type="dxa"/>
          </w:tcPr>
          <w:p w14:paraId="140D1A69">
            <w:pPr>
              <w:rPr>
                <w:rFonts w:ascii="宋体"/>
                <w:color w:val="auto"/>
                <w:szCs w:val="21"/>
              </w:rPr>
            </w:pPr>
          </w:p>
        </w:tc>
        <w:tc>
          <w:tcPr>
            <w:tcW w:w="3957" w:type="dxa"/>
            <w:gridSpan w:val="4"/>
          </w:tcPr>
          <w:p w14:paraId="3C5B39B9">
            <w:pPr>
              <w:rPr>
                <w:rFonts w:ascii="宋体"/>
                <w:color w:val="auto"/>
                <w:szCs w:val="21"/>
              </w:rPr>
            </w:pPr>
          </w:p>
        </w:tc>
        <w:tc>
          <w:tcPr>
            <w:tcW w:w="1791" w:type="dxa"/>
            <w:gridSpan w:val="2"/>
          </w:tcPr>
          <w:p w14:paraId="4160F254">
            <w:pPr>
              <w:rPr>
                <w:rFonts w:ascii="宋体"/>
                <w:color w:val="auto"/>
                <w:szCs w:val="21"/>
              </w:rPr>
            </w:pPr>
          </w:p>
        </w:tc>
        <w:tc>
          <w:tcPr>
            <w:tcW w:w="2417" w:type="dxa"/>
            <w:gridSpan w:val="2"/>
          </w:tcPr>
          <w:p w14:paraId="27FC0083">
            <w:pPr>
              <w:rPr>
                <w:rFonts w:ascii="宋体"/>
                <w:color w:val="auto"/>
                <w:szCs w:val="21"/>
              </w:rPr>
            </w:pPr>
          </w:p>
        </w:tc>
      </w:tr>
    </w:tbl>
    <w:p w14:paraId="38AE3D25">
      <w:pPr>
        <w:spacing w:line="92" w:lineRule="exact"/>
        <w:rPr>
          <w:color w:val="auto"/>
        </w:rPr>
      </w:pPr>
    </w:p>
    <w:p w14:paraId="5F960E2C">
      <w:pPr>
        <w:spacing w:before="231" w:line="415" w:lineRule="auto"/>
        <w:ind w:left="121" w:firstLine="462"/>
        <w:rPr>
          <w:rFonts w:ascii="宋体" w:hAnsi="宋体" w:cs="宋体"/>
          <w:color w:val="auto"/>
          <w:spacing w:val="-1"/>
          <w:szCs w:val="21"/>
        </w:rPr>
      </w:pPr>
      <w:r>
        <w:rPr>
          <w:rFonts w:ascii="宋体" w:hAnsi="宋体" w:cs="宋体"/>
          <w:color w:val="auto"/>
          <w:spacing w:val="-8"/>
          <w:szCs w:val="21"/>
        </w:rPr>
        <w:t>“项目管理机构组成表”中所填写的人员应分别单独填写“主要人员简历表”，其中，</w:t>
      </w:r>
      <w:r>
        <w:rPr>
          <w:rFonts w:ascii="宋体" w:hAnsi="宋体" w:cs="宋体"/>
          <w:color w:val="auto"/>
          <w:spacing w:val="-1"/>
          <w:szCs w:val="21"/>
        </w:rPr>
        <w:t>项目经理应附项目经理证的注册建造师证书复印件、安全生产考核合格证书［B］证复印</w:t>
      </w:r>
      <w:r>
        <w:rPr>
          <w:rFonts w:ascii="宋体" w:hAnsi="宋体" w:cs="宋体"/>
          <w:color w:val="auto"/>
          <w:spacing w:val="-3"/>
          <w:szCs w:val="21"/>
        </w:rPr>
        <w:t>件、身份证复印件、职称证（如有）复印件、管理过的项目业绩须附合同协议书复印件；</w:t>
      </w:r>
      <w:r>
        <w:rPr>
          <w:rFonts w:ascii="宋体" w:hAnsi="宋体" w:cs="宋体"/>
          <w:color w:val="auto"/>
          <w:spacing w:val="-1"/>
          <w:szCs w:val="21"/>
        </w:rPr>
        <w:t>技术负责人应附身份证复印件、职称证复印件，管理过的项目业绩须附证明其所任技术职</w:t>
      </w:r>
      <w:r>
        <w:rPr>
          <w:rFonts w:ascii="宋体" w:hAnsi="宋体" w:cs="宋体"/>
          <w:color w:val="auto"/>
          <w:spacing w:val="-8"/>
          <w:szCs w:val="21"/>
        </w:rPr>
        <w:t>务的企业文件或用户证明复印件；</w:t>
      </w:r>
      <w:r>
        <w:rPr>
          <w:rFonts w:ascii="宋体" w:hAnsi="宋体" w:cs="宋体"/>
          <w:color w:val="auto"/>
          <w:spacing w:val="-1"/>
          <w:szCs w:val="21"/>
        </w:rPr>
        <w:t>其他主要人员应附职称证（执业证或上岗证书）复印件、身份证复印件。</w:t>
      </w:r>
    </w:p>
    <w:p w14:paraId="0B36E7C1">
      <w:pPr>
        <w:pStyle w:val="151"/>
        <w:ind w:firstLine="476"/>
        <w:rPr>
          <w:color w:val="auto"/>
          <w:spacing w:val="-1"/>
        </w:rPr>
      </w:pPr>
    </w:p>
    <w:p w14:paraId="111AD4A7">
      <w:pPr>
        <w:spacing w:before="135" w:line="480" w:lineRule="auto"/>
        <w:ind w:firstLine="3374"/>
        <w:rPr>
          <w:rFonts w:ascii="宋体" w:hAnsi="宋体" w:cs="宋体"/>
          <w:color w:val="auto"/>
          <w:sz w:val="28"/>
          <w:szCs w:val="28"/>
        </w:rPr>
      </w:pPr>
      <w:r>
        <w:rPr>
          <w:rFonts w:ascii="宋体" w:hAnsi="宋体" w:cs="宋体"/>
          <w:color w:val="auto"/>
          <w:spacing w:val="-15"/>
          <w:sz w:val="28"/>
          <w:szCs w:val="28"/>
        </w:rPr>
        <w:t>（</w:t>
      </w:r>
      <w:r>
        <w:rPr>
          <w:rFonts w:hint="eastAsia" w:ascii="宋体" w:hAnsi="宋体" w:cs="宋体"/>
          <w:color w:val="auto"/>
          <w:spacing w:val="-15"/>
          <w:sz w:val="28"/>
          <w:szCs w:val="28"/>
        </w:rPr>
        <w:t>三</w:t>
      </w:r>
      <w:r>
        <w:rPr>
          <w:rFonts w:ascii="宋体" w:hAnsi="宋体" w:cs="宋体"/>
          <w:color w:val="auto"/>
          <w:spacing w:val="-15"/>
          <w:sz w:val="28"/>
          <w:szCs w:val="28"/>
        </w:rPr>
        <w:t>）</w:t>
      </w:r>
      <w:r>
        <w:rPr>
          <w:rFonts w:ascii="宋体" w:hAnsi="宋体" w:cs="宋体"/>
          <w:color w:val="auto"/>
          <w:spacing w:val="1"/>
          <w:sz w:val="28"/>
          <w:szCs w:val="28"/>
        </w:rPr>
        <w:t xml:space="preserve"> </w:t>
      </w:r>
      <w:r>
        <w:rPr>
          <w:rFonts w:hint="eastAsia" w:ascii="宋体" w:hAnsi="宋体" w:cs="宋体"/>
          <w:color w:val="auto"/>
          <w:spacing w:val="-15"/>
          <w:sz w:val="28"/>
          <w:szCs w:val="28"/>
        </w:rPr>
        <w:t>项目经理无在建承诺书</w:t>
      </w:r>
    </w:p>
    <w:p w14:paraId="5C236B26">
      <w:pPr>
        <w:tabs>
          <w:tab w:val="left" w:pos="1507"/>
        </w:tabs>
        <w:spacing w:line="460" w:lineRule="exact"/>
        <w:rPr>
          <w:rFonts w:ascii="宋体" w:hAnsi="宋体" w:cs="宋体"/>
          <w:color w:val="auto"/>
          <w:position w:val="-7"/>
          <w:szCs w:val="21"/>
          <w:u w:val="single"/>
        </w:rPr>
      </w:pPr>
    </w:p>
    <w:p w14:paraId="481B2104">
      <w:pPr>
        <w:tabs>
          <w:tab w:val="left" w:pos="1507"/>
        </w:tabs>
        <w:spacing w:line="460" w:lineRule="exact"/>
        <w:rPr>
          <w:rFonts w:ascii="宋体" w:hAnsi="宋体" w:cs="宋体"/>
          <w:color w:val="auto"/>
          <w:position w:val="-7"/>
          <w:szCs w:val="21"/>
          <w:u w:val="single"/>
        </w:rPr>
      </w:pPr>
    </w:p>
    <w:p w14:paraId="00F767E2">
      <w:pPr>
        <w:tabs>
          <w:tab w:val="left" w:pos="1507"/>
        </w:tabs>
        <w:spacing w:line="460" w:lineRule="exact"/>
        <w:rPr>
          <w:rFonts w:ascii="宋体" w:hAnsi="宋体" w:cs="宋体"/>
          <w:color w:val="auto"/>
          <w:szCs w:val="21"/>
        </w:rPr>
      </w:pPr>
      <w:r>
        <w:rPr>
          <w:rFonts w:hint="eastAsia" w:ascii="宋体" w:hAnsi="宋体" w:cs="宋体"/>
          <w:color w:val="auto"/>
          <w:position w:val="-7"/>
          <w:szCs w:val="21"/>
          <w:u w:val="single"/>
        </w:rPr>
        <w:t xml:space="preserve">                   </w:t>
      </w:r>
      <w:r>
        <w:rPr>
          <w:rFonts w:hint="eastAsia" w:ascii="宋体" w:hAnsi="宋体" w:cs="宋体"/>
          <w:color w:val="auto"/>
          <w:szCs w:val="21"/>
        </w:rPr>
        <w:t>（招标人名称）：</w:t>
      </w:r>
    </w:p>
    <w:p w14:paraId="4EB9C2EF">
      <w:pPr>
        <w:pStyle w:val="151"/>
        <w:ind w:firstLine="420"/>
        <w:rPr>
          <w:color w:val="auto"/>
          <w:sz w:val="21"/>
          <w:szCs w:val="21"/>
        </w:rPr>
      </w:pPr>
    </w:p>
    <w:p w14:paraId="285A433B">
      <w:pPr>
        <w:tabs>
          <w:tab w:val="left" w:pos="1507"/>
        </w:tabs>
        <w:spacing w:line="600" w:lineRule="auto"/>
        <w:ind w:firstLine="420" w:firstLineChars="200"/>
        <w:rPr>
          <w:rFonts w:ascii="宋体" w:hAnsi="宋体" w:cs="宋体"/>
          <w:color w:val="auto"/>
          <w:szCs w:val="21"/>
        </w:rPr>
      </w:pPr>
      <w:r>
        <w:rPr>
          <w:rFonts w:hint="eastAsia" w:ascii="宋体" w:hAnsi="宋体" w:cs="宋体"/>
          <w:color w:val="auto"/>
          <w:szCs w:val="21"/>
        </w:rPr>
        <w:t>我方在此声明，我方拟派往</w:t>
      </w:r>
      <w:r>
        <w:rPr>
          <w:rFonts w:hint="eastAsia" w:ascii="宋体" w:hAnsi="宋体" w:cs="宋体"/>
          <w:color w:val="auto"/>
          <w:szCs w:val="21"/>
          <w:u w:val="single"/>
        </w:rPr>
        <w:t xml:space="preserve">                </w:t>
      </w:r>
      <w:r>
        <w:rPr>
          <w:rFonts w:hint="eastAsia" w:ascii="宋体" w:hAnsi="宋体" w:cs="宋体"/>
          <w:color w:val="auto"/>
          <w:szCs w:val="21"/>
        </w:rPr>
        <w:t>（项目名称）（以下简称“本工程”）的项目经理</w:t>
      </w:r>
      <w:r>
        <w:rPr>
          <w:rFonts w:hint="eastAsia" w:ascii="宋体" w:hAnsi="宋体" w:cs="宋体"/>
          <w:color w:val="auto"/>
          <w:szCs w:val="21"/>
          <w:u w:val="single"/>
        </w:rPr>
        <w:t xml:space="preserve">           </w:t>
      </w:r>
      <w:r>
        <w:rPr>
          <w:rFonts w:hint="eastAsia" w:ascii="宋体" w:hAnsi="宋体" w:cs="宋体"/>
          <w:color w:val="auto"/>
          <w:szCs w:val="21"/>
        </w:rPr>
        <w:t>（项目经理姓名）现阶段没有担任任何在施建设工程项目的项目经理。</w:t>
      </w:r>
    </w:p>
    <w:p w14:paraId="72877610">
      <w:pPr>
        <w:tabs>
          <w:tab w:val="left" w:pos="1507"/>
        </w:tabs>
        <w:spacing w:line="600" w:lineRule="auto"/>
        <w:ind w:firstLine="420" w:firstLineChars="200"/>
        <w:rPr>
          <w:rFonts w:ascii="宋体" w:hAnsi="宋体" w:cs="宋体"/>
          <w:color w:val="auto"/>
          <w:szCs w:val="21"/>
        </w:rPr>
      </w:pPr>
      <w:r>
        <w:rPr>
          <w:rFonts w:hint="eastAsia" w:ascii="宋体" w:hAnsi="宋体" w:cs="宋体"/>
          <w:color w:val="auto"/>
          <w:szCs w:val="21"/>
        </w:rPr>
        <w:t>我方保证上述信息的真实和准确，并愿意承担因我方就此弄虚作假所引起的一切法律后果。</w:t>
      </w:r>
    </w:p>
    <w:p w14:paraId="1257DF1D">
      <w:pPr>
        <w:tabs>
          <w:tab w:val="left" w:pos="1507"/>
        </w:tabs>
        <w:spacing w:line="600" w:lineRule="auto"/>
        <w:ind w:firstLine="420" w:firstLineChars="200"/>
        <w:rPr>
          <w:rFonts w:ascii="宋体" w:hAnsi="宋体" w:cs="宋体"/>
          <w:color w:val="auto"/>
          <w:szCs w:val="21"/>
        </w:rPr>
      </w:pPr>
      <w:r>
        <w:rPr>
          <w:rFonts w:hint="eastAsia" w:ascii="宋体" w:hAnsi="宋体" w:cs="宋体"/>
          <w:color w:val="auto"/>
          <w:szCs w:val="21"/>
        </w:rPr>
        <w:t>特此承诺！</w:t>
      </w:r>
    </w:p>
    <w:p w14:paraId="7AF2327F">
      <w:pPr>
        <w:tabs>
          <w:tab w:val="left" w:pos="1507"/>
        </w:tabs>
        <w:spacing w:line="460" w:lineRule="exact"/>
        <w:rPr>
          <w:rFonts w:ascii="宋体" w:hAnsi="宋体" w:cs="宋体"/>
          <w:color w:val="auto"/>
          <w:szCs w:val="21"/>
        </w:rPr>
      </w:pPr>
    </w:p>
    <w:p w14:paraId="1118DD0C">
      <w:pPr>
        <w:tabs>
          <w:tab w:val="left" w:pos="1507"/>
        </w:tabs>
        <w:spacing w:line="460" w:lineRule="exact"/>
        <w:rPr>
          <w:rFonts w:ascii="宋体" w:hAnsi="宋体" w:cs="宋体"/>
          <w:color w:val="auto"/>
          <w:szCs w:val="21"/>
        </w:rPr>
      </w:pPr>
    </w:p>
    <w:p w14:paraId="069E83AD">
      <w:pPr>
        <w:tabs>
          <w:tab w:val="left" w:pos="1507"/>
        </w:tabs>
        <w:spacing w:line="460" w:lineRule="exact"/>
        <w:rPr>
          <w:rFonts w:ascii="宋体" w:hAnsi="宋体" w:cs="宋体"/>
          <w:color w:val="auto"/>
          <w:szCs w:val="21"/>
        </w:rPr>
      </w:pPr>
    </w:p>
    <w:p w14:paraId="672DDC42">
      <w:pPr>
        <w:tabs>
          <w:tab w:val="left" w:pos="1507"/>
        </w:tabs>
        <w:spacing w:line="460" w:lineRule="exact"/>
        <w:rPr>
          <w:rFonts w:ascii="宋体" w:hAnsi="宋体" w:cs="宋体"/>
          <w:color w:val="auto"/>
          <w:szCs w:val="21"/>
        </w:rPr>
      </w:pPr>
    </w:p>
    <w:p w14:paraId="63C7ADBD">
      <w:pPr>
        <w:tabs>
          <w:tab w:val="left" w:pos="1507"/>
        </w:tabs>
        <w:spacing w:line="460" w:lineRule="exact"/>
        <w:rPr>
          <w:rFonts w:ascii="宋体" w:hAnsi="宋体" w:cs="宋体"/>
          <w:color w:val="auto"/>
          <w:szCs w:val="21"/>
        </w:rPr>
      </w:pPr>
    </w:p>
    <w:p w14:paraId="67FF81B9">
      <w:pPr>
        <w:tabs>
          <w:tab w:val="left" w:pos="1507"/>
        </w:tabs>
        <w:spacing w:line="460" w:lineRule="exact"/>
        <w:rPr>
          <w:rFonts w:ascii="宋体" w:hAnsi="宋体" w:cs="宋体"/>
          <w:color w:val="auto"/>
          <w:szCs w:val="21"/>
        </w:rPr>
      </w:pPr>
    </w:p>
    <w:p w14:paraId="085800F4">
      <w:pPr>
        <w:tabs>
          <w:tab w:val="left" w:pos="1507"/>
        </w:tabs>
        <w:spacing w:line="360" w:lineRule="auto"/>
        <w:jc w:val="center"/>
        <w:rPr>
          <w:rFonts w:ascii="宋体" w:hAnsi="宋体" w:cs="宋体"/>
          <w:color w:val="auto"/>
          <w:szCs w:val="21"/>
        </w:rPr>
      </w:pPr>
      <w:r>
        <w:rPr>
          <w:rFonts w:hint="eastAsia" w:ascii="宋体" w:hAnsi="宋体" w:cs="宋体"/>
          <w:color w:val="auto"/>
          <w:szCs w:val="21"/>
        </w:rPr>
        <w:t xml:space="preserve">                 投标人：</w:t>
      </w:r>
      <w:r>
        <w:rPr>
          <w:rFonts w:hint="eastAsia" w:ascii="宋体" w:hAnsi="宋体" w:cs="宋体"/>
          <w:color w:val="auto"/>
          <w:szCs w:val="21"/>
          <w:u w:val="single"/>
        </w:rPr>
        <w:t xml:space="preserve">                             </w:t>
      </w:r>
      <w:r>
        <w:rPr>
          <w:rFonts w:hint="eastAsia" w:ascii="宋体" w:hAnsi="宋体" w:cs="宋体"/>
          <w:color w:val="auto"/>
          <w:szCs w:val="21"/>
        </w:rPr>
        <w:t>（盖单位章）</w:t>
      </w:r>
    </w:p>
    <w:p w14:paraId="620142F1">
      <w:pPr>
        <w:tabs>
          <w:tab w:val="left" w:pos="1507"/>
        </w:tabs>
        <w:spacing w:line="360" w:lineRule="auto"/>
        <w:jc w:val="center"/>
        <w:rPr>
          <w:rFonts w:ascii="宋体" w:hAnsi="宋体" w:cs="宋体"/>
          <w:color w:val="auto"/>
          <w:szCs w:val="21"/>
        </w:rPr>
      </w:pPr>
      <w:r>
        <w:rPr>
          <w:rFonts w:hint="eastAsia" w:ascii="宋体" w:hAnsi="宋体" w:cs="宋体"/>
          <w:color w:val="auto"/>
          <w:szCs w:val="21"/>
        </w:rPr>
        <w:t xml:space="preserve">                      法定代表人或其委托代理人：</w:t>
      </w:r>
      <w:r>
        <w:rPr>
          <w:rFonts w:hint="eastAsia" w:ascii="宋体" w:hAnsi="宋体" w:cs="宋体"/>
          <w:color w:val="auto"/>
          <w:szCs w:val="21"/>
          <w:u w:val="single"/>
        </w:rPr>
        <w:t xml:space="preserve">               </w:t>
      </w:r>
      <w:r>
        <w:rPr>
          <w:rFonts w:hint="eastAsia" w:ascii="宋体" w:hAnsi="宋体" w:cs="宋体"/>
          <w:color w:val="auto"/>
          <w:szCs w:val="21"/>
        </w:rPr>
        <w:t>（签字或盖章）</w:t>
      </w:r>
    </w:p>
    <w:p w14:paraId="259BFA29">
      <w:pPr>
        <w:tabs>
          <w:tab w:val="left" w:pos="1507"/>
        </w:tabs>
        <w:spacing w:line="360" w:lineRule="auto"/>
        <w:jc w:val="center"/>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09FDF667">
      <w:pPr>
        <w:rPr>
          <w:color w:val="auto"/>
          <w:szCs w:val="21"/>
        </w:rPr>
      </w:pPr>
    </w:p>
    <w:p w14:paraId="3283A0C0">
      <w:pPr>
        <w:pStyle w:val="151"/>
        <w:rPr>
          <w:color w:val="auto"/>
        </w:rPr>
      </w:pPr>
    </w:p>
    <w:p w14:paraId="660A1C3A">
      <w:pPr>
        <w:rPr>
          <w:color w:val="auto"/>
        </w:rPr>
      </w:pPr>
    </w:p>
    <w:p w14:paraId="45AF0D17">
      <w:pPr>
        <w:pStyle w:val="151"/>
        <w:rPr>
          <w:color w:val="auto"/>
        </w:rPr>
      </w:pPr>
    </w:p>
    <w:p w14:paraId="4A422346">
      <w:pPr>
        <w:rPr>
          <w:color w:val="auto"/>
        </w:rPr>
      </w:pPr>
    </w:p>
    <w:p w14:paraId="10D60AC2">
      <w:pPr>
        <w:pStyle w:val="151"/>
        <w:rPr>
          <w:color w:val="auto"/>
        </w:rPr>
      </w:pPr>
    </w:p>
    <w:p w14:paraId="759F3255">
      <w:pPr>
        <w:pStyle w:val="2"/>
        <w:numPr>
          <w:ilvl w:val="0"/>
          <w:numId w:val="8"/>
        </w:numPr>
        <w:spacing w:after="0"/>
        <w:jc w:val="center"/>
        <w:rPr>
          <w:color w:val="auto"/>
        </w:rPr>
      </w:pPr>
      <w:r>
        <w:rPr>
          <w:rFonts w:ascii="Times New Roman" w:hAnsi="Times New Roman"/>
          <w:color w:val="auto"/>
        </w:rPr>
        <w:t>资格审查资料</w:t>
      </w:r>
      <w:bookmarkEnd w:id="813"/>
      <w:bookmarkEnd w:id="814"/>
    </w:p>
    <w:p w14:paraId="62706CEE">
      <w:pPr>
        <w:pStyle w:val="5"/>
        <w:spacing w:before="20" w:after="0"/>
        <w:ind w:firstLine="138"/>
        <w:jc w:val="center"/>
        <w:rPr>
          <w:rFonts w:asciiTheme="minorEastAsia" w:hAnsiTheme="minorEastAsia" w:eastAsiaTheme="minorEastAsia" w:cstheme="minorEastAsia"/>
          <w:b/>
          <w:bCs/>
          <w:color w:val="auto"/>
        </w:rPr>
      </w:pPr>
      <w:bookmarkStart w:id="816" w:name="_Toc534190160"/>
      <w:r>
        <w:rPr>
          <w:rFonts w:hint="eastAsia" w:asciiTheme="minorEastAsia" w:hAnsiTheme="minorEastAsia" w:eastAsiaTheme="minorEastAsia" w:cstheme="minorEastAsia"/>
          <w:b/>
          <w:bCs/>
          <w:color w:val="auto"/>
        </w:rPr>
        <w:t>（一）投标人基本情况表</w:t>
      </w:r>
      <w:bookmarkEnd w:id="816"/>
    </w:p>
    <w:tbl>
      <w:tblPr>
        <w:tblStyle w:val="88"/>
        <w:tblW w:w="979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85"/>
        <w:gridCol w:w="1035"/>
        <w:gridCol w:w="2645"/>
        <w:gridCol w:w="1244"/>
        <w:gridCol w:w="2490"/>
      </w:tblGrid>
      <w:tr w14:paraId="253013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2385" w:type="dxa"/>
            <w:tcBorders>
              <w:top w:val="single" w:color="auto" w:sz="4" w:space="0"/>
              <w:left w:val="single" w:color="auto" w:sz="4" w:space="0"/>
              <w:bottom w:val="single" w:color="auto" w:sz="4" w:space="0"/>
              <w:right w:val="single" w:color="auto" w:sz="4" w:space="0"/>
            </w:tcBorders>
            <w:vAlign w:val="center"/>
          </w:tcPr>
          <w:p w14:paraId="01CEB59F">
            <w:pPr>
              <w:topLinePunct/>
              <w:spacing w:line="440" w:lineRule="exact"/>
              <w:jc w:val="center"/>
              <w:rPr>
                <w:rFonts w:ascii="Times New Roman" w:hAnsi="Times New Roman"/>
                <w:color w:val="auto"/>
                <w:szCs w:val="21"/>
              </w:rPr>
            </w:pPr>
            <w:r>
              <w:rPr>
                <w:rFonts w:ascii="Times New Roman" w:hAnsi="Times New Roman"/>
                <w:color w:val="auto"/>
                <w:szCs w:val="21"/>
              </w:rPr>
              <w:t>投标人名称</w:t>
            </w:r>
          </w:p>
        </w:tc>
        <w:tc>
          <w:tcPr>
            <w:tcW w:w="7414" w:type="dxa"/>
            <w:gridSpan w:val="4"/>
            <w:tcBorders>
              <w:top w:val="single" w:color="auto" w:sz="4" w:space="0"/>
              <w:left w:val="single" w:color="auto" w:sz="4" w:space="0"/>
              <w:bottom w:val="single" w:color="auto" w:sz="4" w:space="0"/>
              <w:right w:val="single" w:color="auto" w:sz="4" w:space="0"/>
            </w:tcBorders>
            <w:vAlign w:val="center"/>
          </w:tcPr>
          <w:p w14:paraId="1B08CC3A">
            <w:pPr>
              <w:topLinePunct/>
              <w:spacing w:line="440" w:lineRule="exact"/>
              <w:jc w:val="center"/>
              <w:rPr>
                <w:rFonts w:ascii="Times New Roman" w:hAnsi="Times New Roman"/>
                <w:color w:val="auto"/>
                <w:szCs w:val="21"/>
              </w:rPr>
            </w:pPr>
          </w:p>
        </w:tc>
      </w:tr>
      <w:tr w14:paraId="77363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2385" w:type="dxa"/>
            <w:tcBorders>
              <w:top w:val="single" w:color="auto" w:sz="4" w:space="0"/>
              <w:left w:val="single" w:color="auto" w:sz="4" w:space="0"/>
              <w:bottom w:val="single" w:color="auto" w:sz="4" w:space="0"/>
              <w:right w:val="single" w:color="auto" w:sz="4" w:space="0"/>
            </w:tcBorders>
            <w:vAlign w:val="center"/>
          </w:tcPr>
          <w:p w14:paraId="6AF44631">
            <w:pPr>
              <w:topLinePunct/>
              <w:spacing w:line="440" w:lineRule="exact"/>
              <w:jc w:val="center"/>
              <w:rPr>
                <w:rFonts w:ascii="Times New Roman" w:hAnsi="Times New Roman"/>
                <w:color w:val="auto"/>
                <w:szCs w:val="21"/>
              </w:rPr>
            </w:pPr>
            <w:r>
              <w:rPr>
                <w:rFonts w:ascii="Times New Roman" w:hAnsi="Times New Roman"/>
                <w:color w:val="auto"/>
                <w:szCs w:val="21"/>
              </w:rPr>
              <w:t>注册资金</w:t>
            </w:r>
          </w:p>
        </w:tc>
        <w:tc>
          <w:tcPr>
            <w:tcW w:w="3680" w:type="dxa"/>
            <w:gridSpan w:val="2"/>
            <w:tcBorders>
              <w:top w:val="single" w:color="auto" w:sz="4" w:space="0"/>
              <w:left w:val="single" w:color="auto" w:sz="4" w:space="0"/>
              <w:bottom w:val="single" w:color="auto" w:sz="4" w:space="0"/>
              <w:right w:val="single" w:color="auto" w:sz="4" w:space="0"/>
            </w:tcBorders>
            <w:vAlign w:val="center"/>
          </w:tcPr>
          <w:p w14:paraId="600D6B2C">
            <w:pPr>
              <w:topLinePunct/>
              <w:spacing w:line="440" w:lineRule="exact"/>
              <w:jc w:val="center"/>
              <w:rPr>
                <w:rFonts w:ascii="Times New Roman" w:hAnsi="Times New Roman"/>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24A6DB13">
            <w:pPr>
              <w:topLinePunct/>
              <w:spacing w:line="440" w:lineRule="exact"/>
              <w:jc w:val="center"/>
              <w:rPr>
                <w:rFonts w:ascii="Times New Roman" w:hAnsi="Times New Roman"/>
                <w:color w:val="auto"/>
                <w:szCs w:val="21"/>
              </w:rPr>
            </w:pPr>
            <w:r>
              <w:rPr>
                <w:rFonts w:ascii="Times New Roman" w:hAnsi="Times New Roman"/>
                <w:color w:val="auto"/>
                <w:szCs w:val="21"/>
              </w:rPr>
              <w:t>成立时间</w:t>
            </w:r>
          </w:p>
        </w:tc>
        <w:tc>
          <w:tcPr>
            <w:tcW w:w="2490" w:type="dxa"/>
            <w:tcBorders>
              <w:top w:val="single" w:color="auto" w:sz="4" w:space="0"/>
              <w:left w:val="single" w:color="auto" w:sz="4" w:space="0"/>
              <w:bottom w:val="single" w:color="auto" w:sz="4" w:space="0"/>
              <w:right w:val="single" w:color="auto" w:sz="4" w:space="0"/>
            </w:tcBorders>
            <w:vAlign w:val="center"/>
          </w:tcPr>
          <w:p w14:paraId="37B785F2">
            <w:pPr>
              <w:topLinePunct/>
              <w:spacing w:line="440" w:lineRule="exact"/>
              <w:jc w:val="center"/>
              <w:rPr>
                <w:rFonts w:ascii="Times New Roman" w:hAnsi="Times New Roman"/>
                <w:color w:val="auto"/>
                <w:szCs w:val="21"/>
              </w:rPr>
            </w:pPr>
          </w:p>
        </w:tc>
      </w:tr>
      <w:tr w14:paraId="0888AF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2385" w:type="dxa"/>
            <w:tcBorders>
              <w:top w:val="single" w:color="auto" w:sz="4" w:space="0"/>
              <w:left w:val="single" w:color="auto" w:sz="4" w:space="0"/>
              <w:bottom w:val="single" w:color="auto" w:sz="4" w:space="0"/>
              <w:right w:val="single" w:color="auto" w:sz="4" w:space="0"/>
            </w:tcBorders>
            <w:vAlign w:val="center"/>
          </w:tcPr>
          <w:p w14:paraId="5758213F">
            <w:pPr>
              <w:topLinePunct/>
              <w:spacing w:line="440" w:lineRule="exact"/>
              <w:jc w:val="center"/>
              <w:rPr>
                <w:rFonts w:ascii="Times New Roman" w:hAnsi="Times New Roman"/>
                <w:color w:val="auto"/>
                <w:szCs w:val="21"/>
              </w:rPr>
            </w:pPr>
            <w:r>
              <w:rPr>
                <w:rFonts w:ascii="Times New Roman" w:hAnsi="Times New Roman"/>
                <w:color w:val="auto"/>
                <w:szCs w:val="21"/>
              </w:rPr>
              <w:t>注册地址</w:t>
            </w:r>
          </w:p>
        </w:tc>
        <w:tc>
          <w:tcPr>
            <w:tcW w:w="7414" w:type="dxa"/>
            <w:gridSpan w:val="4"/>
            <w:tcBorders>
              <w:top w:val="single" w:color="auto" w:sz="4" w:space="0"/>
              <w:left w:val="single" w:color="auto" w:sz="4" w:space="0"/>
              <w:bottom w:val="single" w:color="auto" w:sz="4" w:space="0"/>
              <w:right w:val="single" w:color="auto" w:sz="4" w:space="0"/>
            </w:tcBorders>
            <w:vAlign w:val="center"/>
          </w:tcPr>
          <w:p w14:paraId="2D763B4F">
            <w:pPr>
              <w:topLinePunct/>
              <w:spacing w:line="440" w:lineRule="exact"/>
              <w:jc w:val="center"/>
              <w:rPr>
                <w:rFonts w:ascii="Times New Roman" w:hAnsi="Times New Roman"/>
                <w:color w:val="auto"/>
                <w:szCs w:val="21"/>
              </w:rPr>
            </w:pPr>
          </w:p>
        </w:tc>
      </w:tr>
      <w:tr w14:paraId="2D20F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2385" w:type="dxa"/>
            <w:tcBorders>
              <w:top w:val="single" w:color="auto" w:sz="4" w:space="0"/>
              <w:left w:val="single" w:color="auto" w:sz="4" w:space="0"/>
              <w:bottom w:val="single" w:color="auto" w:sz="4" w:space="0"/>
              <w:right w:val="single" w:color="auto" w:sz="4" w:space="0"/>
            </w:tcBorders>
            <w:vAlign w:val="center"/>
          </w:tcPr>
          <w:p w14:paraId="2CECBCDC">
            <w:pPr>
              <w:topLinePunct/>
              <w:spacing w:line="440" w:lineRule="exact"/>
              <w:jc w:val="center"/>
              <w:rPr>
                <w:rFonts w:ascii="Times New Roman" w:hAnsi="Times New Roman"/>
                <w:color w:val="auto"/>
                <w:szCs w:val="21"/>
              </w:rPr>
            </w:pPr>
            <w:r>
              <w:rPr>
                <w:rFonts w:ascii="Times New Roman" w:hAnsi="Times New Roman"/>
                <w:color w:val="auto"/>
                <w:szCs w:val="21"/>
              </w:rPr>
              <w:t>邮政编码</w:t>
            </w:r>
          </w:p>
        </w:tc>
        <w:tc>
          <w:tcPr>
            <w:tcW w:w="3680" w:type="dxa"/>
            <w:gridSpan w:val="2"/>
            <w:tcBorders>
              <w:top w:val="single" w:color="auto" w:sz="4" w:space="0"/>
              <w:left w:val="single" w:color="auto" w:sz="4" w:space="0"/>
              <w:bottom w:val="single" w:color="auto" w:sz="4" w:space="0"/>
              <w:right w:val="single" w:color="auto" w:sz="4" w:space="0"/>
            </w:tcBorders>
            <w:vAlign w:val="center"/>
          </w:tcPr>
          <w:p w14:paraId="21F2D8FC">
            <w:pPr>
              <w:topLinePunct/>
              <w:spacing w:line="440" w:lineRule="exact"/>
              <w:jc w:val="center"/>
              <w:rPr>
                <w:rFonts w:ascii="Times New Roman" w:hAnsi="Times New Roman"/>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0320B085">
            <w:pPr>
              <w:topLinePunct/>
              <w:spacing w:line="440" w:lineRule="exact"/>
              <w:jc w:val="center"/>
              <w:rPr>
                <w:rFonts w:ascii="Times New Roman" w:hAnsi="Times New Roman"/>
                <w:color w:val="auto"/>
                <w:szCs w:val="21"/>
              </w:rPr>
            </w:pPr>
            <w:r>
              <w:rPr>
                <w:rFonts w:ascii="Times New Roman" w:hAnsi="Times New Roman"/>
                <w:color w:val="auto"/>
                <w:szCs w:val="21"/>
              </w:rPr>
              <w:t>员工总数</w:t>
            </w:r>
          </w:p>
        </w:tc>
        <w:tc>
          <w:tcPr>
            <w:tcW w:w="2490" w:type="dxa"/>
            <w:tcBorders>
              <w:top w:val="single" w:color="auto" w:sz="4" w:space="0"/>
              <w:left w:val="single" w:color="auto" w:sz="4" w:space="0"/>
              <w:bottom w:val="single" w:color="auto" w:sz="4" w:space="0"/>
              <w:right w:val="single" w:color="auto" w:sz="4" w:space="0"/>
            </w:tcBorders>
            <w:vAlign w:val="center"/>
          </w:tcPr>
          <w:p w14:paraId="315BCC44">
            <w:pPr>
              <w:topLinePunct/>
              <w:spacing w:line="440" w:lineRule="exact"/>
              <w:jc w:val="center"/>
              <w:rPr>
                <w:rFonts w:ascii="Times New Roman" w:hAnsi="Times New Roman"/>
                <w:color w:val="auto"/>
                <w:szCs w:val="21"/>
              </w:rPr>
            </w:pPr>
          </w:p>
        </w:tc>
      </w:tr>
      <w:tr w14:paraId="0209B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2385" w:type="dxa"/>
            <w:vMerge w:val="restart"/>
            <w:tcBorders>
              <w:top w:val="single" w:color="auto" w:sz="4" w:space="0"/>
              <w:left w:val="single" w:color="auto" w:sz="4" w:space="0"/>
              <w:bottom w:val="single" w:color="auto" w:sz="4" w:space="0"/>
              <w:right w:val="single" w:color="auto" w:sz="4" w:space="0"/>
            </w:tcBorders>
            <w:vAlign w:val="center"/>
          </w:tcPr>
          <w:p w14:paraId="28F3CCC0">
            <w:pPr>
              <w:topLinePunct/>
              <w:spacing w:line="440" w:lineRule="exact"/>
              <w:jc w:val="center"/>
              <w:rPr>
                <w:rFonts w:ascii="Times New Roman" w:hAnsi="Times New Roman"/>
                <w:color w:val="auto"/>
                <w:szCs w:val="21"/>
              </w:rPr>
            </w:pPr>
            <w:r>
              <w:rPr>
                <w:rFonts w:ascii="Times New Roman" w:hAnsi="Times New Roman"/>
                <w:color w:val="auto"/>
                <w:szCs w:val="21"/>
              </w:rPr>
              <w:t>联系方式</w:t>
            </w:r>
          </w:p>
        </w:tc>
        <w:tc>
          <w:tcPr>
            <w:tcW w:w="1035" w:type="dxa"/>
            <w:tcBorders>
              <w:top w:val="single" w:color="auto" w:sz="4" w:space="0"/>
              <w:left w:val="single" w:color="auto" w:sz="4" w:space="0"/>
              <w:bottom w:val="single" w:color="auto" w:sz="4" w:space="0"/>
              <w:right w:val="single" w:color="auto" w:sz="4" w:space="0"/>
            </w:tcBorders>
            <w:vAlign w:val="center"/>
          </w:tcPr>
          <w:p w14:paraId="10E04EED">
            <w:pPr>
              <w:topLinePunct/>
              <w:spacing w:line="440" w:lineRule="exact"/>
              <w:jc w:val="center"/>
              <w:rPr>
                <w:rFonts w:ascii="Times New Roman" w:hAnsi="Times New Roman"/>
                <w:color w:val="auto"/>
                <w:szCs w:val="21"/>
              </w:rPr>
            </w:pPr>
            <w:r>
              <w:rPr>
                <w:rFonts w:ascii="Times New Roman" w:hAnsi="Times New Roman"/>
                <w:color w:val="auto"/>
                <w:szCs w:val="21"/>
              </w:rPr>
              <w:t>联系人</w:t>
            </w:r>
          </w:p>
        </w:tc>
        <w:tc>
          <w:tcPr>
            <w:tcW w:w="2645" w:type="dxa"/>
            <w:tcBorders>
              <w:top w:val="single" w:color="auto" w:sz="4" w:space="0"/>
              <w:left w:val="single" w:color="auto" w:sz="4" w:space="0"/>
              <w:bottom w:val="single" w:color="auto" w:sz="4" w:space="0"/>
              <w:right w:val="single" w:color="auto" w:sz="4" w:space="0"/>
            </w:tcBorders>
            <w:vAlign w:val="center"/>
          </w:tcPr>
          <w:p w14:paraId="3B0B3E58">
            <w:pPr>
              <w:topLinePunct/>
              <w:spacing w:line="440" w:lineRule="exact"/>
              <w:jc w:val="center"/>
              <w:rPr>
                <w:rFonts w:ascii="Times New Roman" w:hAnsi="Times New Roman"/>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2225130D">
            <w:pPr>
              <w:topLinePunct/>
              <w:spacing w:line="440" w:lineRule="exact"/>
              <w:jc w:val="center"/>
              <w:rPr>
                <w:rFonts w:ascii="Times New Roman" w:hAnsi="Times New Roman"/>
                <w:color w:val="auto"/>
                <w:szCs w:val="21"/>
              </w:rPr>
            </w:pPr>
            <w:r>
              <w:rPr>
                <w:rFonts w:ascii="Times New Roman" w:hAnsi="Times New Roman"/>
                <w:color w:val="auto"/>
                <w:szCs w:val="21"/>
              </w:rPr>
              <w:t>电话</w:t>
            </w:r>
          </w:p>
        </w:tc>
        <w:tc>
          <w:tcPr>
            <w:tcW w:w="2490" w:type="dxa"/>
            <w:tcBorders>
              <w:top w:val="single" w:color="auto" w:sz="4" w:space="0"/>
              <w:left w:val="single" w:color="auto" w:sz="4" w:space="0"/>
              <w:bottom w:val="single" w:color="auto" w:sz="4" w:space="0"/>
              <w:right w:val="single" w:color="auto" w:sz="4" w:space="0"/>
            </w:tcBorders>
            <w:vAlign w:val="center"/>
          </w:tcPr>
          <w:p w14:paraId="4A42773A">
            <w:pPr>
              <w:topLinePunct/>
              <w:spacing w:line="440" w:lineRule="exact"/>
              <w:jc w:val="center"/>
              <w:rPr>
                <w:rFonts w:ascii="Times New Roman" w:hAnsi="Times New Roman"/>
                <w:color w:val="auto"/>
                <w:szCs w:val="21"/>
              </w:rPr>
            </w:pPr>
          </w:p>
        </w:tc>
      </w:tr>
      <w:tr w14:paraId="19C48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jc w:val="center"/>
        </w:trPr>
        <w:tc>
          <w:tcPr>
            <w:tcW w:w="2385" w:type="dxa"/>
            <w:vMerge w:val="continue"/>
            <w:tcBorders>
              <w:top w:val="single" w:color="auto" w:sz="4" w:space="0"/>
              <w:left w:val="single" w:color="auto" w:sz="4" w:space="0"/>
              <w:bottom w:val="single" w:color="auto" w:sz="4" w:space="0"/>
              <w:right w:val="single" w:color="auto" w:sz="4" w:space="0"/>
            </w:tcBorders>
            <w:vAlign w:val="center"/>
          </w:tcPr>
          <w:p w14:paraId="60B5450B">
            <w:pPr>
              <w:rPr>
                <w:rFonts w:ascii="Times New Roman" w:hAnsi="Times New Roman"/>
                <w:color w:val="auto"/>
                <w:szCs w:val="21"/>
              </w:rPr>
            </w:pPr>
          </w:p>
        </w:tc>
        <w:tc>
          <w:tcPr>
            <w:tcW w:w="1035" w:type="dxa"/>
            <w:tcBorders>
              <w:top w:val="single" w:color="auto" w:sz="4" w:space="0"/>
              <w:left w:val="single" w:color="auto" w:sz="4" w:space="0"/>
              <w:bottom w:val="single" w:color="auto" w:sz="4" w:space="0"/>
              <w:right w:val="single" w:color="auto" w:sz="4" w:space="0"/>
            </w:tcBorders>
            <w:vAlign w:val="center"/>
          </w:tcPr>
          <w:p w14:paraId="4EAE6FCF">
            <w:pPr>
              <w:topLinePunct/>
              <w:spacing w:line="440" w:lineRule="exact"/>
              <w:jc w:val="center"/>
              <w:rPr>
                <w:rFonts w:ascii="Times New Roman" w:hAnsi="Times New Roman"/>
                <w:color w:val="auto"/>
                <w:szCs w:val="21"/>
              </w:rPr>
            </w:pPr>
            <w:r>
              <w:rPr>
                <w:rFonts w:ascii="Times New Roman" w:hAnsi="Times New Roman"/>
                <w:color w:val="auto"/>
                <w:szCs w:val="21"/>
              </w:rPr>
              <w:t>网址</w:t>
            </w:r>
          </w:p>
        </w:tc>
        <w:tc>
          <w:tcPr>
            <w:tcW w:w="2645" w:type="dxa"/>
            <w:tcBorders>
              <w:top w:val="single" w:color="auto" w:sz="4" w:space="0"/>
              <w:left w:val="single" w:color="auto" w:sz="4" w:space="0"/>
              <w:bottom w:val="single" w:color="auto" w:sz="4" w:space="0"/>
              <w:right w:val="single" w:color="auto" w:sz="4" w:space="0"/>
            </w:tcBorders>
            <w:vAlign w:val="center"/>
          </w:tcPr>
          <w:p w14:paraId="26849F7D">
            <w:pPr>
              <w:topLinePunct/>
              <w:spacing w:line="440" w:lineRule="exact"/>
              <w:jc w:val="center"/>
              <w:rPr>
                <w:rFonts w:ascii="Times New Roman" w:hAnsi="Times New Roman"/>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24EF440F">
            <w:pPr>
              <w:topLinePunct/>
              <w:spacing w:line="440" w:lineRule="exact"/>
              <w:jc w:val="center"/>
              <w:rPr>
                <w:rFonts w:ascii="Times New Roman" w:hAnsi="Times New Roman"/>
                <w:color w:val="auto"/>
                <w:szCs w:val="21"/>
              </w:rPr>
            </w:pPr>
            <w:r>
              <w:rPr>
                <w:rFonts w:ascii="Times New Roman" w:hAnsi="Times New Roman"/>
                <w:color w:val="auto"/>
                <w:szCs w:val="21"/>
              </w:rPr>
              <w:t>传真</w:t>
            </w:r>
          </w:p>
        </w:tc>
        <w:tc>
          <w:tcPr>
            <w:tcW w:w="2490" w:type="dxa"/>
            <w:tcBorders>
              <w:top w:val="single" w:color="auto" w:sz="4" w:space="0"/>
              <w:left w:val="single" w:color="auto" w:sz="4" w:space="0"/>
              <w:bottom w:val="single" w:color="auto" w:sz="4" w:space="0"/>
              <w:right w:val="single" w:color="auto" w:sz="4" w:space="0"/>
            </w:tcBorders>
            <w:vAlign w:val="center"/>
          </w:tcPr>
          <w:p w14:paraId="5EE2AA7A">
            <w:pPr>
              <w:topLinePunct/>
              <w:spacing w:line="440" w:lineRule="exact"/>
              <w:jc w:val="center"/>
              <w:rPr>
                <w:rFonts w:ascii="Times New Roman" w:hAnsi="Times New Roman"/>
                <w:color w:val="auto"/>
                <w:szCs w:val="21"/>
              </w:rPr>
            </w:pPr>
          </w:p>
        </w:tc>
      </w:tr>
      <w:tr w14:paraId="403E0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6" w:hRule="atLeast"/>
          <w:jc w:val="center"/>
        </w:trPr>
        <w:tc>
          <w:tcPr>
            <w:tcW w:w="2385" w:type="dxa"/>
            <w:tcBorders>
              <w:top w:val="single" w:color="auto" w:sz="4" w:space="0"/>
              <w:left w:val="single" w:color="auto" w:sz="4" w:space="0"/>
              <w:bottom w:val="single" w:color="auto" w:sz="4" w:space="0"/>
              <w:right w:val="single" w:color="auto" w:sz="4" w:space="0"/>
            </w:tcBorders>
            <w:vAlign w:val="center"/>
          </w:tcPr>
          <w:p w14:paraId="501119C8">
            <w:pPr>
              <w:topLinePunct/>
              <w:spacing w:line="440" w:lineRule="exact"/>
              <w:jc w:val="center"/>
              <w:rPr>
                <w:rFonts w:ascii="Times New Roman" w:hAnsi="Times New Roman"/>
                <w:color w:val="auto"/>
                <w:szCs w:val="21"/>
              </w:rPr>
            </w:pPr>
            <w:r>
              <w:rPr>
                <w:rFonts w:ascii="Times New Roman" w:hAnsi="Times New Roman"/>
                <w:color w:val="auto"/>
                <w:szCs w:val="21"/>
              </w:rPr>
              <w:t>法定代表人</w:t>
            </w:r>
          </w:p>
          <w:p w14:paraId="004A84E9">
            <w:pPr>
              <w:topLinePunct/>
              <w:spacing w:line="440" w:lineRule="exact"/>
              <w:jc w:val="center"/>
              <w:rPr>
                <w:rFonts w:ascii="Times New Roman" w:hAnsi="Times New Roman"/>
                <w:color w:val="auto"/>
                <w:szCs w:val="21"/>
              </w:rPr>
            </w:pPr>
            <w:r>
              <w:rPr>
                <w:rFonts w:ascii="Times New Roman" w:hAnsi="Times New Roman"/>
                <w:color w:val="auto"/>
                <w:szCs w:val="21"/>
              </w:rPr>
              <w:t>（单位负责人）</w:t>
            </w:r>
          </w:p>
        </w:tc>
        <w:tc>
          <w:tcPr>
            <w:tcW w:w="1035" w:type="dxa"/>
            <w:tcBorders>
              <w:top w:val="single" w:color="auto" w:sz="4" w:space="0"/>
              <w:left w:val="single" w:color="auto" w:sz="4" w:space="0"/>
              <w:bottom w:val="single" w:color="auto" w:sz="4" w:space="0"/>
              <w:right w:val="single" w:color="auto" w:sz="4" w:space="0"/>
            </w:tcBorders>
            <w:vAlign w:val="center"/>
          </w:tcPr>
          <w:p w14:paraId="15D62A1D">
            <w:pPr>
              <w:topLinePunct/>
              <w:spacing w:line="440" w:lineRule="exact"/>
              <w:jc w:val="center"/>
              <w:rPr>
                <w:rFonts w:ascii="Times New Roman" w:hAnsi="Times New Roman"/>
                <w:color w:val="auto"/>
                <w:szCs w:val="21"/>
              </w:rPr>
            </w:pPr>
            <w:r>
              <w:rPr>
                <w:rFonts w:ascii="Times New Roman" w:hAnsi="Times New Roman"/>
                <w:color w:val="auto"/>
                <w:szCs w:val="21"/>
              </w:rPr>
              <w:t>姓名</w:t>
            </w:r>
          </w:p>
        </w:tc>
        <w:tc>
          <w:tcPr>
            <w:tcW w:w="2645" w:type="dxa"/>
            <w:tcBorders>
              <w:top w:val="single" w:color="auto" w:sz="4" w:space="0"/>
              <w:left w:val="single" w:color="auto" w:sz="4" w:space="0"/>
              <w:bottom w:val="single" w:color="auto" w:sz="4" w:space="0"/>
              <w:right w:val="single" w:color="auto" w:sz="4" w:space="0"/>
            </w:tcBorders>
            <w:vAlign w:val="center"/>
          </w:tcPr>
          <w:p w14:paraId="6832778C">
            <w:pPr>
              <w:topLinePunct/>
              <w:spacing w:line="440" w:lineRule="exact"/>
              <w:jc w:val="center"/>
              <w:rPr>
                <w:rFonts w:ascii="Times New Roman" w:hAnsi="Times New Roman"/>
                <w:color w:val="auto"/>
                <w:szCs w:val="21"/>
              </w:rPr>
            </w:pPr>
          </w:p>
        </w:tc>
        <w:tc>
          <w:tcPr>
            <w:tcW w:w="1244" w:type="dxa"/>
            <w:tcBorders>
              <w:top w:val="single" w:color="auto" w:sz="4" w:space="0"/>
              <w:left w:val="single" w:color="auto" w:sz="4" w:space="0"/>
              <w:bottom w:val="single" w:color="auto" w:sz="4" w:space="0"/>
              <w:right w:val="single" w:color="auto" w:sz="4" w:space="0"/>
            </w:tcBorders>
            <w:vAlign w:val="center"/>
          </w:tcPr>
          <w:p w14:paraId="45CEC40A">
            <w:pPr>
              <w:topLinePunct/>
              <w:spacing w:line="440" w:lineRule="exact"/>
              <w:jc w:val="center"/>
              <w:rPr>
                <w:rFonts w:ascii="Times New Roman" w:hAnsi="Times New Roman"/>
                <w:color w:val="auto"/>
                <w:szCs w:val="21"/>
              </w:rPr>
            </w:pPr>
            <w:r>
              <w:rPr>
                <w:rFonts w:ascii="Times New Roman" w:hAnsi="Times New Roman"/>
                <w:color w:val="auto"/>
                <w:szCs w:val="21"/>
              </w:rPr>
              <w:t>电话</w:t>
            </w:r>
          </w:p>
        </w:tc>
        <w:tc>
          <w:tcPr>
            <w:tcW w:w="2490" w:type="dxa"/>
            <w:tcBorders>
              <w:top w:val="single" w:color="auto" w:sz="4" w:space="0"/>
              <w:left w:val="single" w:color="auto" w:sz="4" w:space="0"/>
              <w:bottom w:val="single" w:color="auto" w:sz="4" w:space="0"/>
              <w:right w:val="single" w:color="auto" w:sz="4" w:space="0"/>
            </w:tcBorders>
            <w:vAlign w:val="center"/>
          </w:tcPr>
          <w:p w14:paraId="66BED2C0">
            <w:pPr>
              <w:topLinePunct/>
              <w:spacing w:line="440" w:lineRule="exact"/>
              <w:jc w:val="center"/>
              <w:rPr>
                <w:rFonts w:ascii="Times New Roman" w:hAnsi="Times New Roman"/>
                <w:color w:val="auto"/>
                <w:szCs w:val="21"/>
              </w:rPr>
            </w:pPr>
          </w:p>
        </w:tc>
      </w:tr>
      <w:tr w14:paraId="126AB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2385" w:type="dxa"/>
            <w:tcBorders>
              <w:top w:val="single" w:color="auto" w:sz="4" w:space="0"/>
              <w:left w:val="single" w:color="auto" w:sz="4" w:space="0"/>
              <w:bottom w:val="single" w:color="auto" w:sz="4" w:space="0"/>
              <w:right w:val="single" w:color="auto" w:sz="4" w:space="0"/>
            </w:tcBorders>
            <w:vAlign w:val="center"/>
          </w:tcPr>
          <w:p w14:paraId="7C566066">
            <w:pPr>
              <w:topLinePunct/>
              <w:spacing w:line="440" w:lineRule="exact"/>
              <w:jc w:val="center"/>
              <w:rPr>
                <w:rFonts w:ascii="Times New Roman" w:hAnsi="Times New Roman"/>
                <w:color w:val="auto"/>
                <w:szCs w:val="21"/>
              </w:rPr>
            </w:pPr>
            <w:r>
              <w:rPr>
                <w:rFonts w:ascii="Times New Roman" w:hAnsi="Times New Roman"/>
                <w:color w:val="auto"/>
                <w:szCs w:val="21"/>
              </w:rPr>
              <w:t>账户开户银行</w:t>
            </w:r>
          </w:p>
        </w:tc>
        <w:tc>
          <w:tcPr>
            <w:tcW w:w="7414" w:type="dxa"/>
            <w:gridSpan w:val="4"/>
            <w:tcBorders>
              <w:top w:val="single" w:color="auto" w:sz="4" w:space="0"/>
              <w:left w:val="single" w:color="auto" w:sz="4" w:space="0"/>
              <w:bottom w:val="single" w:color="auto" w:sz="4" w:space="0"/>
              <w:right w:val="single" w:color="auto" w:sz="4" w:space="0"/>
            </w:tcBorders>
            <w:vAlign w:val="center"/>
          </w:tcPr>
          <w:p w14:paraId="763818F9">
            <w:pPr>
              <w:topLinePunct/>
              <w:spacing w:line="440" w:lineRule="exact"/>
              <w:ind w:firstLine="105" w:firstLineChars="50"/>
              <w:rPr>
                <w:rFonts w:ascii="Times New Roman" w:hAnsi="Times New Roman"/>
                <w:color w:val="auto"/>
                <w:szCs w:val="21"/>
              </w:rPr>
            </w:pPr>
          </w:p>
        </w:tc>
      </w:tr>
      <w:tr w14:paraId="64673E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jc w:val="center"/>
        </w:trPr>
        <w:tc>
          <w:tcPr>
            <w:tcW w:w="2385" w:type="dxa"/>
            <w:tcBorders>
              <w:top w:val="single" w:color="auto" w:sz="4" w:space="0"/>
              <w:left w:val="single" w:color="auto" w:sz="4" w:space="0"/>
              <w:right w:val="single" w:color="auto" w:sz="4" w:space="0"/>
            </w:tcBorders>
            <w:vAlign w:val="center"/>
          </w:tcPr>
          <w:p w14:paraId="4ED455AE">
            <w:pPr>
              <w:topLinePunct/>
              <w:spacing w:line="440" w:lineRule="exact"/>
              <w:jc w:val="center"/>
              <w:rPr>
                <w:rFonts w:ascii="Times New Roman" w:hAnsi="Times New Roman"/>
                <w:color w:val="auto"/>
                <w:szCs w:val="21"/>
              </w:rPr>
            </w:pPr>
            <w:r>
              <w:rPr>
                <w:rFonts w:ascii="Times New Roman" w:hAnsi="Times New Roman"/>
                <w:color w:val="auto"/>
                <w:szCs w:val="21"/>
              </w:rPr>
              <w:t>账户银行账号</w:t>
            </w:r>
          </w:p>
        </w:tc>
        <w:tc>
          <w:tcPr>
            <w:tcW w:w="7414" w:type="dxa"/>
            <w:gridSpan w:val="4"/>
            <w:tcBorders>
              <w:top w:val="single" w:color="auto" w:sz="4" w:space="0"/>
              <w:left w:val="single" w:color="auto" w:sz="4" w:space="0"/>
              <w:right w:val="single" w:color="auto" w:sz="4" w:space="0"/>
            </w:tcBorders>
            <w:vAlign w:val="center"/>
          </w:tcPr>
          <w:p w14:paraId="196A43DF">
            <w:pPr>
              <w:topLinePunct/>
              <w:spacing w:line="440" w:lineRule="exact"/>
              <w:rPr>
                <w:rFonts w:ascii="Times New Roman" w:hAnsi="Times New Roman"/>
                <w:color w:val="auto"/>
                <w:szCs w:val="21"/>
              </w:rPr>
            </w:pPr>
          </w:p>
        </w:tc>
      </w:tr>
      <w:tr w14:paraId="7DF14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4" w:hRule="atLeast"/>
          <w:jc w:val="center"/>
        </w:trPr>
        <w:tc>
          <w:tcPr>
            <w:tcW w:w="2385" w:type="dxa"/>
            <w:tcBorders>
              <w:top w:val="single" w:color="auto" w:sz="4" w:space="0"/>
              <w:left w:val="single" w:color="auto" w:sz="4" w:space="0"/>
              <w:right w:val="single" w:color="auto" w:sz="4" w:space="0"/>
            </w:tcBorders>
            <w:vAlign w:val="center"/>
          </w:tcPr>
          <w:p w14:paraId="6F084268">
            <w:pPr>
              <w:topLinePunct/>
              <w:spacing w:line="440" w:lineRule="exact"/>
              <w:jc w:val="center"/>
              <w:rPr>
                <w:rFonts w:ascii="Times New Roman" w:hAnsi="Times New Roman"/>
                <w:color w:val="auto"/>
                <w:szCs w:val="21"/>
              </w:rPr>
            </w:pPr>
            <w:r>
              <w:rPr>
                <w:rFonts w:ascii="Times New Roman" w:hAnsi="Times New Roman"/>
                <w:color w:val="auto"/>
                <w:szCs w:val="21"/>
              </w:rPr>
              <w:t>投标人须知要求</w:t>
            </w:r>
          </w:p>
          <w:p w14:paraId="3CE4E475">
            <w:pPr>
              <w:topLinePunct/>
              <w:spacing w:line="440" w:lineRule="exact"/>
              <w:jc w:val="center"/>
              <w:rPr>
                <w:rFonts w:ascii="Times New Roman" w:hAnsi="Times New Roman"/>
                <w:color w:val="auto"/>
                <w:szCs w:val="21"/>
              </w:rPr>
            </w:pPr>
            <w:r>
              <w:rPr>
                <w:rFonts w:ascii="Times New Roman" w:hAnsi="Times New Roman"/>
                <w:color w:val="auto"/>
                <w:szCs w:val="21"/>
              </w:rPr>
              <w:t>投标设备制造商需具有的资质证书</w:t>
            </w:r>
          </w:p>
        </w:tc>
        <w:tc>
          <w:tcPr>
            <w:tcW w:w="7414" w:type="dxa"/>
            <w:gridSpan w:val="4"/>
            <w:tcBorders>
              <w:top w:val="single" w:color="auto" w:sz="4" w:space="0"/>
              <w:left w:val="single" w:color="auto" w:sz="4" w:space="0"/>
              <w:right w:val="single" w:color="auto" w:sz="4" w:space="0"/>
            </w:tcBorders>
            <w:vAlign w:val="center"/>
          </w:tcPr>
          <w:p w14:paraId="1A447799">
            <w:pPr>
              <w:topLinePunct/>
              <w:spacing w:line="440" w:lineRule="exact"/>
              <w:rPr>
                <w:rFonts w:ascii="Times New Roman" w:hAnsi="Times New Roman"/>
                <w:color w:val="auto"/>
                <w:szCs w:val="21"/>
              </w:rPr>
            </w:pPr>
          </w:p>
        </w:tc>
      </w:tr>
      <w:tr w14:paraId="17C01B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7" w:hRule="atLeast"/>
          <w:jc w:val="center"/>
        </w:trPr>
        <w:tc>
          <w:tcPr>
            <w:tcW w:w="2385" w:type="dxa"/>
            <w:tcBorders>
              <w:top w:val="single" w:color="auto" w:sz="4" w:space="0"/>
              <w:left w:val="single" w:color="auto" w:sz="4" w:space="0"/>
              <w:bottom w:val="single" w:color="auto" w:sz="4" w:space="0"/>
              <w:right w:val="single" w:color="auto" w:sz="4" w:space="0"/>
            </w:tcBorders>
            <w:vAlign w:val="center"/>
          </w:tcPr>
          <w:p w14:paraId="33E103B6">
            <w:pPr>
              <w:topLinePunct/>
              <w:spacing w:line="440" w:lineRule="exact"/>
              <w:jc w:val="center"/>
              <w:rPr>
                <w:rFonts w:ascii="Times New Roman" w:hAnsi="Times New Roman"/>
                <w:color w:val="auto"/>
                <w:szCs w:val="21"/>
              </w:rPr>
            </w:pPr>
            <w:r>
              <w:rPr>
                <w:rFonts w:ascii="Times New Roman" w:hAnsi="Times New Roman"/>
                <w:color w:val="auto"/>
                <w:szCs w:val="21"/>
              </w:rPr>
              <w:t>备注</w:t>
            </w:r>
          </w:p>
        </w:tc>
        <w:tc>
          <w:tcPr>
            <w:tcW w:w="7414" w:type="dxa"/>
            <w:gridSpan w:val="4"/>
            <w:tcBorders>
              <w:top w:val="single" w:color="auto" w:sz="4" w:space="0"/>
              <w:left w:val="single" w:color="auto" w:sz="4" w:space="0"/>
              <w:bottom w:val="single" w:color="auto" w:sz="4" w:space="0"/>
              <w:right w:val="single" w:color="auto" w:sz="4" w:space="0"/>
            </w:tcBorders>
            <w:vAlign w:val="center"/>
          </w:tcPr>
          <w:p w14:paraId="0A1A93C3">
            <w:pPr>
              <w:topLinePunct/>
              <w:spacing w:line="440" w:lineRule="exact"/>
              <w:jc w:val="center"/>
              <w:rPr>
                <w:rFonts w:ascii="Times New Roman" w:hAnsi="Times New Roman"/>
                <w:color w:val="auto"/>
                <w:szCs w:val="21"/>
              </w:rPr>
            </w:pPr>
          </w:p>
        </w:tc>
      </w:tr>
    </w:tbl>
    <w:p w14:paraId="1816C6E1">
      <w:pPr>
        <w:pStyle w:val="81"/>
        <w:adjustRightInd w:val="0"/>
        <w:snapToGrid w:val="0"/>
        <w:rPr>
          <w:rFonts w:ascii="宋体" w:hAnsi="宋体" w:eastAsia="宋体"/>
          <w:bCs/>
          <w:color w:val="auto"/>
        </w:rPr>
      </w:pPr>
    </w:p>
    <w:p w14:paraId="3C059808">
      <w:pPr>
        <w:pStyle w:val="81"/>
        <w:adjustRightInd w:val="0"/>
        <w:snapToGrid w:val="0"/>
        <w:ind w:firstLine="210" w:firstLineChars="100"/>
        <w:rPr>
          <w:rFonts w:ascii="宋体" w:hAnsi="宋体" w:eastAsia="宋体"/>
          <w:bCs/>
          <w:color w:val="auto"/>
        </w:rPr>
      </w:pPr>
      <w:r>
        <w:rPr>
          <w:rFonts w:ascii="宋体" w:hAnsi="宋体" w:eastAsia="宋体"/>
          <w:bCs/>
          <w:color w:val="auto"/>
        </w:rPr>
        <w:t>附：投标人须知前附表中要求提供的资格审查资料及投标人认为需要提供的其他资料</w:t>
      </w:r>
      <w:r>
        <w:rPr>
          <w:rFonts w:hint="eastAsia" w:ascii="宋体" w:hAnsi="宋体" w:eastAsia="宋体"/>
          <w:bCs/>
          <w:color w:val="auto"/>
        </w:rPr>
        <w:t>；</w:t>
      </w:r>
    </w:p>
    <w:p w14:paraId="3BE5EC84">
      <w:pPr>
        <w:spacing w:line="400" w:lineRule="exact"/>
        <w:ind w:firstLine="420" w:firstLineChars="200"/>
        <w:rPr>
          <w:rFonts w:ascii="Times New Roman" w:hAnsi="Times New Roman"/>
          <w:color w:val="auto"/>
        </w:rPr>
      </w:pPr>
    </w:p>
    <w:p w14:paraId="4351DB4B">
      <w:pPr>
        <w:spacing w:line="440" w:lineRule="exact"/>
        <w:rPr>
          <w:rFonts w:ascii="Times New Roman" w:hAnsi="Times New Roman"/>
          <w:color w:val="auto"/>
          <w:u w:val="single"/>
        </w:rPr>
      </w:pPr>
    </w:p>
    <w:bookmarkEnd w:id="815"/>
    <w:p w14:paraId="149770DC">
      <w:pPr>
        <w:rPr>
          <w:color w:val="auto"/>
        </w:rPr>
      </w:pPr>
      <w:bookmarkStart w:id="817" w:name="_Toc534190169"/>
    </w:p>
    <w:p w14:paraId="5B9D37C0">
      <w:pPr>
        <w:pStyle w:val="87"/>
        <w:rPr>
          <w:color w:val="auto"/>
        </w:rPr>
      </w:pPr>
    </w:p>
    <w:p w14:paraId="5EB0CAEC">
      <w:pPr>
        <w:pStyle w:val="5"/>
        <w:spacing w:before="20" w:after="0"/>
        <w:ind w:firstLine="138"/>
        <w:jc w:val="center"/>
        <w:rPr>
          <w:rFonts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（二）投标人近三年完成的类似项目情况表</w:t>
      </w:r>
    </w:p>
    <w:tbl>
      <w:tblPr>
        <w:tblStyle w:val="88"/>
        <w:tblW w:w="937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97"/>
        <w:gridCol w:w="6882"/>
      </w:tblGrid>
      <w:tr w14:paraId="11024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497" w:type="dxa"/>
            <w:vAlign w:val="center"/>
          </w:tcPr>
          <w:p w14:paraId="33EEB634">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项目名称</w:t>
            </w:r>
          </w:p>
        </w:tc>
        <w:tc>
          <w:tcPr>
            <w:tcW w:w="6882" w:type="dxa"/>
          </w:tcPr>
          <w:p w14:paraId="1C6D8038">
            <w:pPr>
              <w:widowControl/>
              <w:topLinePunct/>
              <w:adjustRightInd w:val="0"/>
              <w:snapToGrid w:val="0"/>
              <w:spacing w:before="120" w:beforeLines="50" w:line="360" w:lineRule="auto"/>
              <w:textAlignment w:val="baseline"/>
              <w:rPr>
                <w:color w:val="auto"/>
                <w:szCs w:val="21"/>
              </w:rPr>
            </w:pPr>
          </w:p>
        </w:tc>
      </w:tr>
      <w:tr w14:paraId="1ED9F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24CC86C7">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项目所在地</w:t>
            </w:r>
          </w:p>
        </w:tc>
        <w:tc>
          <w:tcPr>
            <w:tcW w:w="6882" w:type="dxa"/>
          </w:tcPr>
          <w:p w14:paraId="647FEDAB">
            <w:pPr>
              <w:widowControl/>
              <w:topLinePunct/>
              <w:adjustRightInd w:val="0"/>
              <w:snapToGrid w:val="0"/>
              <w:spacing w:before="120" w:beforeLines="50" w:line="360" w:lineRule="auto"/>
              <w:textAlignment w:val="baseline"/>
              <w:rPr>
                <w:color w:val="auto"/>
                <w:szCs w:val="21"/>
              </w:rPr>
            </w:pPr>
          </w:p>
        </w:tc>
      </w:tr>
      <w:tr w14:paraId="1D672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02E6A8C9">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发包人名称</w:t>
            </w:r>
          </w:p>
        </w:tc>
        <w:tc>
          <w:tcPr>
            <w:tcW w:w="6882" w:type="dxa"/>
          </w:tcPr>
          <w:p w14:paraId="1AC1F909">
            <w:pPr>
              <w:widowControl/>
              <w:topLinePunct/>
              <w:adjustRightInd w:val="0"/>
              <w:snapToGrid w:val="0"/>
              <w:spacing w:before="120" w:beforeLines="50" w:line="360" w:lineRule="auto"/>
              <w:textAlignment w:val="baseline"/>
              <w:rPr>
                <w:color w:val="auto"/>
                <w:szCs w:val="21"/>
              </w:rPr>
            </w:pPr>
          </w:p>
        </w:tc>
      </w:tr>
      <w:tr w14:paraId="1BD65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55D99A48">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发包人地址</w:t>
            </w:r>
          </w:p>
        </w:tc>
        <w:tc>
          <w:tcPr>
            <w:tcW w:w="6882" w:type="dxa"/>
          </w:tcPr>
          <w:p w14:paraId="12F860E4">
            <w:pPr>
              <w:widowControl/>
              <w:topLinePunct/>
              <w:adjustRightInd w:val="0"/>
              <w:snapToGrid w:val="0"/>
              <w:spacing w:before="120" w:beforeLines="50" w:line="360" w:lineRule="auto"/>
              <w:textAlignment w:val="baseline"/>
              <w:rPr>
                <w:color w:val="auto"/>
                <w:szCs w:val="21"/>
              </w:rPr>
            </w:pPr>
          </w:p>
        </w:tc>
      </w:tr>
      <w:tr w14:paraId="57A1E7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1B00C36C">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发包人电话</w:t>
            </w:r>
          </w:p>
        </w:tc>
        <w:tc>
          <w:tcPr>
            <w:tcW w:w="6882" w:type="dxa"/>
          </w:tcPr>
          <w:p w14:paraId="42F296AE">
            <w:pPr>
              <w:widowControl/>
              <w:topLinePunct/>
              <w:adjustRightInd w:val="0"/>
              <w:snapToGrid w:val="0"/>
              <w:spacing w:before="120" w:beforeLines="50" w:line="360" w:lineRule="auto"/>
              <w:textAlignment w:val="baseline"/>
              <w:rPr>
                <w:color w:val="auto"/>
                <w:szCs w:val="21"/>
              </w:rPr>
            </w:pPr>
          </w:p>
        </w:tc>
      </w:tr>
      <w:tr w14:paraId="008CD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073EC1EF">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合同价格</w:t>
            </w:r>
          </w:p>
        </w:tc>
        <w:tc>
          <w:tcPr>
            <w:tcW w:w="6882" w:type="dxa"/>
          </w:tcPr>
          <w:p w14:paraId="007286C8">
            <w:pPr>
              <w:widowControl/>
              <w:topLinePunct/>
              <w:adjustRightInd w:val="0"/>
              <w:snapToGrid w:val="0"/>
              <w:spacing w:before="120" w:beforeLines="50" w:line="360" w:lineRule="auto"/>
              <w:textAlignment w:val="baseline"/>
              <w:rPr>
                <w:color w:val="auto"/>
                <w:szCs w:val="21"/>
              </w:rPr>
            </w:pPr>
          </w:p>
        </w:tc>
      </w:tr>
      <w:tr w14:paraId="4CF4E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76CBCBDE">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开工日期</w:t>
            </w:r>
          </w:p>
        </w:tc>
        <w:tc>
          <w:tcPr>
            <w:tcW w:w="6882" w:type="dxa"/>
          </w:tcPr>
          <w:p w14:paraId="422B9396">
            <w:pPr>
              <w:widowControl/>
              <w:topLinePunct/>
              <w:adjustRightInd w:val="0"/>
              <w:snapToGrid w:val="0"/>
              <w:spacing w:before="120" w:beforeLines="50" w:line="360" w:lineRule="auto"/>
              <w:textAlignment w:val="baseline"/>
              <w:rPr>
                <w:color w:val="auto"/>
                <w:szCs w:val="21"/>
              </w:rPr>
            </w:pPr>
          </w:p>
        </w:tc>
      </w:tr>
      <w:tr w14:paraId="3B8A7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2497" w:type="dxa"/>
            <w:vAlign w:val="center"/>
          </w:tcPr>
          <w:p w14:paraId="355DFCE5">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竣工日期</w:t>
            </w:r>
          </w:p>
        </w:tc>
        <w:tc>
          <w:tcPr>
            <w:tcW w:w="6882" w:type="dxa"/>
          </w:tcPr>
          <w:p w14:paraId="5648FE62">
            <w:pPr>
              <w:widowControl/>
              <w:topLinePunct/>
              <w:adjustRightInd w:val="0"/>
              <w:snapToGrid w:val="0"/>
              <w:spacing w:before="120" w:beforeLines="50" w:line="360" w:lineRule="auto"/>
              <w:textAlignment w:val="baseline"/>
              <w:rPr>
                <w:color w:val="auto"/>
                <w:szCs w:val="21"/>
              </w:rPr>
            </w:pPr>
          </w:p>
        </w:tc>
      </w:tr>
      <w:tr w14:paraId="1273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08A4C28F">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承担的工作</w:t>
            </w:r>
          </w:p>
        </w:tc>
        <w:tc>
          <w:tcPr>
            <w:tcW w:w="6882" w:type="dxa"/>
          </w:tcPr>
          <w:p w14:paraId="51BD6629">
            <w:pPr>
              <w:widowControl/>
              <w:topLinePunct/>
              <w:adjustRightInd w:val="0"/>
              <w:snapToGrid w:val="0"/>
              <w:spacing w:before="120" w:beforeLines="50" w:line="360" w:lineRule="auto"/>
              <w:textAlignment w:val="baseline"/>
              <w:rPr>
                <w:color w:val="auto"/>
                <w:szCs w:val="21"/>
              </w:rPr>
            </w:pPr>
          </w:p>
        </w:tc>
      </w:tr>
      <w:tr w14:paraId="5E0B0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345C4419">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工程质量</w:t>
            </w:r>
          </w:p>
        </w:tc>
        <w:tc>
          <w:tcPr>
            <w:tcW w:w="6882" w:type="dxa"/>
          </w:tcPr>
          <w:p w14:paraId="4B91DB11">
            <w:pPr>
              <w:widowControl/>
              <w:topLinePunct/>
              <w:adjustRightInd w:val="0"/>
              <w:snapToGrid w:val="0"/>
              <w:spacing w:before="120" w:beforeLines="50" w:line="360" w:lineRule="auto"/>
              <w:textAlignment w:val="baseline"/>
              <w:rPr>
                <w:color w:val="auto"/>
                <w:szCs w:val="21"/>
              </w:rPr>
            </w:pPr>
          </w:p>
        </w:tc>
      </w:tr>
      <w:tr w14:paraId="5EDF4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49835D23">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项目经理</w:t>
            </w:r>
          </w:p>
        </w:tc>
        <w:tc>
          <w:tcPr>
            <w:tcW w:w="6882" w:type="dxa"/>
          </w:tcPr>
          <w:p w14:paraId="3FF5579F">
            <w:pPr>
              <w:widowControl/>
              <w:topLinePunct/>
              <w:adjustRightInd w:val="0"/>
              <w:snapToGrid w:val="0"/>
              <w:spacing w:before="120" w:beforeLines="50" w:line="360" w:lineRule="auto"/>
              <w:textAlignment w:val="baseline"/>
              <w:rPr>
                <w:color w:val="auto"/>
                <w:szCs w:val="21"/>
              </w:rPr>
            </w:pPr>
          </w:p>
        </w:tc>
      </w:tr>
      <w:tr w14:paraId="22871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2497" w:type="dxa"/>
            <w:vAlign w:val="center"/>
          </w:tcPr>
          <w:p w14:paraId="4912D694">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技术负责人</w:t>
            </w:r>
          </w:p>
        </w:tc>
        <w:tc>
          <w:tcPr>
            <w:tcW w:w="6882" w:type="dxa"/>
          </w:tcPr>
          <w:p w14:paraId="362A42FD">
            <w:pPr>
              <w:widowControl/>
              <w:topLinePunct/>
              <w:adjustRightInd w:val="0"/>
              <w:snapToGrid w:val="0"/>
              <w:spacing w:before="120" w:beforeLines="50" w:line="360" w:lineRule="auto"/>
              <w:textAlignment w:val="baseline"/>
              <w:rPr>
                <w:color w:val="auto"/>
                <w:szCs w:val="21"/>
              </w:rPr>
            </w:pPr>
          </w:p>
        </w:tc>
      </w:tr>
      <w:tr w14:paraId="0EDEC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2497" w:type="dxa"/>
            <w:vAlign w:val="center"/>
          </w:tcPr>
          <w:p w14:paraId="19F34B8A">
            <w:pPr>
              <w:widowControl/>
              <w:topLinePunct/>
              <w:adjustRightInd w:val="0"/>
              <w:snapToGrid w:val="0"/>
              <w:spacing w:before="120" w:beforeLines="50" w:line="360" w:lineRule="auto"/>
              <w:jc w:val="center"/>
              <w:textAlignment w:val="baseline"/>
              <w:rPr>
                <w:rFonts w:cs="宋体"/>
                <w:color w:val="auto"/>
                <w:szCs w:val="21"/>
              </w:rPr>
            </w:pPr>
            <w:r>
              <w:rPr>
                <w:rFonts w:hint="eastAsia" w:cs="宋体"/>
                <w:color w:val="auto"/>
                <w:szCs w:val="21"/>
              </w:rPr>
              <w:t>项目描述</w:t>
            </w:r>
          </w:p>
        </w:tc>
        <w:tc>
          <w:tcPr>
            <w:tcW w:w="6882" w:type="dxa"/>
          </w:tcPr>
          <w:p w14:paraId="1CE23E4D">
            <w:pPr>
              <w:widowControl/>
              <w:topLinePunct/>
              <w:adjustRightInd w:val="0"/>
              <w:snapToGrid w:val="0"/>
              <w:spacing w:before="120" w:beforeLines="50" w:line="360" w:lineRule="auto"/>
              <w:textAlignment w:val="baseline"/>
              <w:rPr>
                <w:color w:val="auto"/>
                <w:szCs w:val="21"/>
              </w:rPr>
            </w:pPr>
          </w:p>
        </w:tc>
      </w:tr>
      <w:tr w14:paraId="64F19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2497" w:type="dxa"/>
            <w:vAlign w:val="center"/>
          </w:tcPr>
          <w:p w14:paraId="60F71AE1">
            <w:pPr>
              <w:widowControl/>
              <w:topLinePunct/>
              <w:adjustRightInd w:val="0"/>
              <w:snapToGrid w:val="0"/>
              <w:spacing w:before="120" w:beforeLines="50" w:line="360" w:lineRule="auto"/>
              <w:jc w:val="center"/>
              <w:textAlignment w:val="baseline"/>
              <w:rPr>
                <w:color w:val="auto"/>
                <w:szCs w:val="21"/>
              </w:rPr>
            </w:pPr>
            <w:r>
              <w:rPr>
                <w:rFonts w:hint="eastAsia" w:cs="宋体"/>
                <w:color w:val="auto"/>
                <w:szCs w:val="21"/>
              </w:rPr>
              <w:t>备注</w:t>
            </w:r>
          </w:p>
        </w:tc>
        <w:tc>
          <w:tcPr>
            <w:tcW w:w="6882" w:type="dxa"/>
          </w:tcPr>
          <w:p w14:paraId="442612BB">
            <w:pPr>
              <w:widowControl/>
              <w:topLinePunct/>
              <w:adjustRightInd w:val="0"/>
              <w:snapToGrid w:val="0"/>
              <w:spacing w:before="120" w:beforeLines="50" w:line="360" w:lineRule="auto"/>
              <w:textAlignment w:val="baseline"/>
              <w:rPr>
                <w:color w:val="auto"/>
                <w:szCs w:val="21"/>
              </w:rPr>
            </w:pPr>
          </w:p>
        </w:tc>
      </w:tr>
    </w:tbl>
    <w:p w14:paraId="78667F10">
      <w:pPr>
        <w:pStyle w:val="151"/>
        <w:rPr>
          <w:color w:val="auto"/>
        </w:rPr>
      </w:pPr>
    </w:p>
    <w:p w14:paraId="045EF80C">
      <w:pPr>
        <w:pStyle w:val="2"/>
        <w:spacing w:line="400" w:lineRule="exact"/>
        <w:jc w:val="center"/>
        <w:rPr>
          <w:rFonts w:ascii="黑体" w:hAnsi="黑体" w:cs="黑体"/>
          <w:color w:val="auto"/>
        </w:rPr>
      </w:pPr>
      <w:bookmarkStart w:id="818" w:name="_Toc30715"/>
      <w:r>
        <w:rPr>
          <w:rFonts w:hint="eastAsia" w:ascii="黑体" w:hAnsi="黑体" w:cs="黑体"/>
          <w:color w:val="auto"/>
        </w:rPr>
        <w:t>八、</w:t>
      </w:r>
      <w:bookmarkEnd w:id="817"/>
      <w:bookmarkEnd w:id="818"/>
      <w:r>
        <w:rPr>
          <w:rFonts w:hint="eastAsia" w:ascii="黑体" w:hAnsi="黑体" w:cs="黑体"/>
          <w:color w:val="auto"/>
          <w:szCs w:val="32"/>
        </w:rPr>
        <w:t>对招标文件的认同程度的声明</w:t>
      </w:r>
    </w:p>
    <w:p w14:paraId="0C40994E">
      <w:pPr>
        <w:rPr>
          <w:rFonts w:ascii="Times New Roman" w:hAnsi="Times New Roman"/>
          <w:color w:val="auto"/>
        </w:rPr>
      </w:pPr>
    </w:p>
    <w:p w14:paraId="0383B925">
      <w:pPr>
        <w:tabs>
          <w:tab w:val="left" w:pos="1936"/>
        </w:tabs>
        <w:spacing w:before="78" w:line="185" w:lineRule="auto"/>
        <w:outlineLvl w:val="1"/>
        <w:rPr>
          <w:rFonts w:ascii="宋体" w:hAnsi="宋体" w:cs="宋体"/>
          <w:color w:val="auto"/>
          <w:szCs w:val="21"/>
        </w:rPr>
      </w:pPr>
      <w:r>
        <w:rPr>
          <w:rFonts w:ascii="宋体" w:hAnsi="宋体" w:cs="宋体"/>
          <w:color w:val="auto"/>
          <w:szCs w:val="21"/>
          <w:u w:val="single"/>
        </w:rPr>
        <w:tab/>
      </w:r>
      <w:r>
        <w:rPr>
          <w:rFonts w:ascii="宋体" w:hAnsi="宋体" w:cs="宋体"/>
          <w:color w:val="auto"/>
          <w:spacing w:val="-4"/>
          <w:szCs w:val="21"/>
          <w:u w:val="single"/>
        </w:rPr>
        <w:t>（招标人</w:t>
      </w:r>
      <w:r>
        <w:rPr>
          <w:rFonts w:hint="eastAsia" w:ascii="宋体" w:hAnsi="宋体" w:cs="宋体"/>
          <w:color w:val="auto"/>
          <w:spacing w:val="-4"/>
          <w:szCs w:val="21"/>
          <w:u w:val="single"/>
        </w:rPr>
        <w:t>）</w:t>
      </w:r>
      <w:r>
        <w:rPr>
          <w:rFonts w:ascii="宋体" w:hAnsi="宋体" w:cs="宋体"/>
          <w:color w:val="auto"/>
          <w:spacing w:val="-23"/>
          <w:w w:val="98"/>
          <w:szCs w:val="21"/>
        </w:rPr>
        <w:t>：</w:t>
      </w:r>
    </w:p>
    <w:p w14:paraId="1487FEA4">
      <w:pPr>
        <w:spacing w:before="340" w:line="360" w:lineRule="auto"/>
        <w:ind w:firstLine="492"/>
        <w:outlineLvl w:val="1"/>
        <w:rPr>
          <w:rFonts w:ascii="宋体" w:hAnsi="宋体" w:cs="宋体"/>
          <w:color w:val="auto"/>
          <w:szCs w:val="21"/>
        </w:rPr>
      </w:pPr>
      <w:r>
        <w:rPr>
          <w:rFonts w:ascii="宋体" w:hAnsi="宋体" w:cs="宋体"/>
          <w:color w:val="auto"/>
          <w:spacing w:val="-4"/>
          <w:szCs w:val="21"/>
        </w:rPr>
        <w:t>经我方对</w:t>
      </w:r>
      <w:r>
        <w:rPr>
          <w:rFonts w:hint="eastAsia" w:ascii="宋体" w:hAnsi="宋体" w:cs="宋体"/>
          <w:color w:val="auto"/>
          <w:szCs w:val="21"/>
          <w:u w:val="single"/>
        </w:rPr>
        <w:t xml:space="preserve">                          （项目名称）</w:t>
      </w:r>
      <w:r>
        <w:rPr>
          <w:rFonts w:hint="eastAsia" w:ascii="宋体" w:hAnsi="宋体" w:cs="宋体"/>
          <w:color w:val="auto"/>
          <w:szCs w:val="21"/>
        </w:rPr>
        <w:t xml:space="preserve"> </w:t>
      </w:r>
      <w:r>
        <w:rPr>
          <w:rFonts w:ascii="宋体" w:hAnsi="宋体" w:cs="宋体"/>
          <w:color w:val="auto"/>
          <w:spacing w:val="-4"/>
          <w:szCs w:val="21"/>
        </w:rPr>
        <w:t>（项目编号</w:t>
      </w:r>
      <w:r>
        <w:rPr>
          <w:rFonts w:hint="eastAsia" w:ascii="宋体" w:hAnsi="宋体" w:cs="宋体"/>
          <w:color w:val="auto"/>
          <w:spacing w:val="-4"/>
          <w:szCs w:val="21"/>
          <w:u w:val="single"/>
        </w:rPr>
        <w:t xml:space="preserve">               </w:t>
      </w:r>
      <w:r>
        <w:rPr>
          <w:rFonts w:ascii="宋体" w:hAnsi="宋体" w:cs="宋体"/>
          <w:color w:val="auto"/>
          <w:spacing w:val="-4"/>
          <w:szCs w:val="21"/>
        </w:rPr>
        <w:t>）</w:t>
      </w:r>
      <w:r>
        <w:rPr>
          <w:rFonts w:ascii="宋体" w:hAnsi="宋体" w:cs="宋体"/>
          <w:color w:val="auto"/>
          <w:spacing w:val="7"/>
          <w:szCs w:val="21"/>
        </w:rPr>
        <w:t xml:space="preserve"> </w:t>
      </w:r>
      <w:r>
        <w:rPr>
          <w:rFonts w:ascii="宋体" w:hAnsi="宋体" w:cs="宋体"/>
          <w:color w:val="auto"/>
          <w:spacing w:val="-4"/>
          <w:szCs w:val="21"/>
        </w:rPr>
        <w:t>仔细、认真的研究之后，对招标文件中所有的规定要求、条件</w:t>
      </w:r>
      <w:r>
        <w:rPr>
          <w:rFonts w:ascii="宋体" w:hAnsi="宋体" w:cs="宋体"/>
          <w:color w:val="auto"/>
          <w:spacing w:val="-1"/>
          <w:szCs w:val="21"/>
        </w:rPr>
        <w:t>全部确认，对招标文件的全部内容予以认同。</w:t>
      </w:r>
    </w:p>
    <w:p w14:paraId="7F63315F">
      <w:pPr>
        <w:spacing w:line="360" w:lineRule="auto"/>
        <w:rPr>
          <w:rFonts w:ascii="宋体"/>
          <w:color w:val="auto"/>
          <w:szCs w:val="21"/>
        </w:rPr>
      </w:pPr>
    </w:p>
    <w:p w14:paraId="00BC41BC">
      <w:pPr>
        <w:spacing w:line="279" w:lineRule="auto"/>
        <w:rPr>
          <w:rFonts w:ascii="宋体"/>
          <w:color w:val="auto"/>
          <w:szCs w:val="21"/>
        </w:rPr>
      </w:pPr>
    </w:p>
    <w:p w14:paraId="32CA3B62">
      <w:pPr>
        <w:spacing w:before="78" w:line="185" w:lineRule="auto"/>
        <w:ind w:firstLine="10"/>
        <w:outlineLvl w:val="1"/>
        <w:rPr>
          <w:rFonts w:ascii="宋体" w:hAnsi="宋体" w:cs="宋体"/>
          <w:color w:val="auto"/>
          <w:szCs w:val="21"/>
        </w:rPr>
      </w:pPr>
      <w:r>
        <w:rPr>
          <w:rFonts w:ascii="宋体" w:hAnsi="宋体" w:cs="宋体"/>
          <w:color w:val="auto"/>
          <w:spacing w:val="-2"/>
          <w:szCs w:val="21"/>
        </w:rPr>
        <w:t>特此声明！</w:t>
      </w:r>
    </w:p>
    <w:p w14:paraId="66C26997">
      <w:pPr>
        <w:spacing w:line="265" w:lineRule="auto"/>
        <w:rPr>
          <w:rFonts w:ascii="宋体"/>
          <w:color w:val="auto"/>
          <w:szCs w:val="21"/>
        </w:rPr>
      </w:pPr>
    </w:p>
    <w:p w14:paraId="4D3B0718">
      <w:pPr>
        <w:spacing w:line="266" w:lineRule="auto"/>
        <w:rPr>
          <w:rFonts w:ascii="宋体"/>
          <w:color w:val="auto"/>
          <w:szCs w:val="21"/>
        </w:rPr>
      </w:pPr>
    </w:p>
    <w:p w14:paraId="201617BF">
      <w:pPr>
        <w:spacing w:line="266" w:lineRule="auto"/>
        <w:rPr>
          <w:rFonts w:ascii="宋体"/>
          <w:color w:val="auto"/>
          <w:szCs w:val="21"/>
        </w:rPr>
      </w:pPr>
    </w:p>
    <w:p w14:paraId="53859887">
      <w:pPr>
        <w:spacing w:line="266" w:lineRule="auto"/>
        <w:rPr>
          <w:rFonts w:ascii="宋体"/>
          <w:color w:val="auto"/>
          <w:szCs w:val="21"/>
        </w:rPr>
      </w:pPr>
    </w:p>
    <w:p w14:paraId="1BA5C91A">
      <w:pPr>
        <w:spacing w:line="266" w:lineRule="auto"/>
        <w:rPr>
          <w:rFonts w:ascii="宋体"/>
          <w:color w:val="auto"/>
          <w:szCs w:val="21"/>
        </w:rPr>
      </w:pPr>
    </w:p>
    <w:p w14:paraId="528565F1">
      <w:pPr>
        <w:spacing w:line="266" w:lineRule="auto"/>
        <w:rPr>
          <w:rFonts w:ascii="宋体"/>
          <w:color w:val="auto"/>
          <w:szCs w:val="21"/>
        </w:rPr>
      </w:pPr>
    </w:p>
    <w:p w14:paraId="11327E8C">
      <w:pPr>
        <w:spacing w:line="266" w:lineRule="auto"/>
        <w:rPr>
          <w:rFonts w:ascii="宋体"/>
          <w:color w:val="auto"/>
          <w:szCs w:val="21"/>
        </w:rPr>
      </w:pPr>
    </w:p>
    <w:p w14:paraId="188766A3">
      <w:pPr>
        <w:spacing w:line="266" w:lineRule="auto"/>
        <w:rPr>
          <w:rFonts w:ascii="宋体"/>
          <w:color w:val="auto"/>
          <w:szCs w:val="21"/>
        </w:rPr>
      </w:pPr>
    </w:p>
    <w:p w14:paraId="084938EF">
      <w:pPr>
        <w:spacing w:line="266" w:lineRule="auto"/>
        <w:rPr>
          <w:rFonts w:ascii="宋体"/>
          <w:color w:val="auto"/>
          <w:szCs w:val="21"/>
        </w:rPr>
      </w:pPr>
    </w:p>
    <w:p w14:paraId="75345C51">
      <w:pPr>
        <w:spacing w:before="78" w:line="185" w:lineRule="auto"/>
        <w:ind w:firstLine="13"/>
        <w:outlineLvl w:val="1"/>
        <w:rPr>
          <w:rFonts w:ascii="宋体" w:hAnsi="宋体" w:cs="宋体"/>
          <w:color w:val="auto"/>
          <w:szCs w:val="21"/>
        </w:rPr>
      </w:pPr>
      <w:r>
        <w:rPr>
          <w:rFonts w:ascii="宋体" w:hAnsi="宋体" w:cs="宋体"/>
          <w:color w:val="auto"/>
          <w:spacing w:val="-13"/>
          <w:szCs w:val="21"/>
        </w:rPr>
        <w:t>投</w:t>
      </w:r>
      <w:r>
        <w:rPr>
          <w:rFonts w:ascii="宋体" w:hAnsi="宋体" w:cs="宋体"/>
          <w:color w:val="auto"/>
          <w:spacing w:val="5"/>
          <w:szCs w:val="21"/>
        </w:rPr>
        <w:t xml:space="preserve">  </w:t>
      </w:r>
      <w:r>
        <w:rPr>
          <w:rFonts w:ascii="宋体" w:hAnsi="宋体" w:cs="宋体"/>
          <w:color w:val="auto"/>
          <w:spacing w:val="-13"/>
          <w:szCs w:val="21"/>
        </w:rPr>
        <w:t>标</w:t>
      </w:r>
      <w:r>
        <w:rPr>
          <w:rFonts w:ascii="宋体" w:hAnsi="宋体" w:cs="宋体"/>
          <w:color w:val="auto"/>
          <w:spacing w:val="5"/>
          <w:szCs w:val="21"/>
        </w:rPr>
        <w:t xml:space="preserve">  </w:t>
      </w:r>
      <w:r>
        <w:rPr>
          <w:rFonts w:ascii="宋体" w:hAnsi="宋体" w:cs="宋体"/>
          <w:color w:val="auto"/>
          <w:spacing w:val="-13"/>
          <w:szCs w:val="21"/>
        </w:rPr>
        <w:t>人</w:t>
      </w:r>
      <w:r>
        <w:rPr>
          <w:rFonts w:ascii="宋体" w:hAnsi="宋体" w:cs="宋体"/>
          <w:color w:val="auto"/>
          <w:spacing w:val="-85"/>
          <w:szCs w:val="21"/>
        </w:rPr>
        <w:t>：</w:t>
      </w:r>
      <w:r>
        <w:rPr>
          <w:rFonts w:ascii="宋体" w:hAnsi="宋体" w:cs="宋体"/>
          <w:color w:val="auto"/>
          <w:spacing w:val="2"/>
          <w:szCs w:val="21"/>
          <w:u w:val="single"/>
        </w:rPr>
        <w:t xml:space="preserve">             </w:t>
      </w:r>
      <w:r>
        <w:rPr>
          <w:rFonts w:hint="eastAsia" w:ascii="宋体" w:hAnsi="宋体" w:cs="宋体"/>
          <w:color w:val="auto"/>
          <w:spacing w:val="2"/>
          <w:szCs w:val="21"/>
          <w:u w:val="single"/>
        </w:rPr>
        <w:t>（加盖单位公章）</w:t>
      </w:r>
    </w:p>
    <w:p w14:paraId="6D297D5C">
      <w:pPr>
        <w:spacing w:line="258" w:lineRule="auto"/>
        <w:rPr>
          <w:rFonts w:ascii="宋体"/>
          <w:color w:val="auto"/>
          <w:szCs w:val="21"/>
        </w:rPr>
      </w:pPr>
    </w:p>
    <w:p w14:paraId="7C9D2D31">
      <w:pPr>
        <w:spacing w:line="258" w:lineRule="auto"/>
        <w:rPr>
          <w:rFonts w:ascii="宋体"/>
          <w:color w:val="auto"/>
          <w:szCs w:val="21"/>
        </w:rPr>
      </w:pPr>
    </w:p>
    <w:p w14:paraId="69BC7B46">
      <w:pPr>
        <w:spacing w:line="258" w:lineRule="auto"/>
        <w:rPr>
          <w:rFonts w:ascii="宋体"/>
          <w:color w:val="auto"/>
          <w:szCs w:val="21"/>
        </w:rPr>
      </w:pPr>
    </w:p>
    <w:p w14:paraId="16095D35">
      <w:pPr>
        <w:spacing w:before="79" w:line="185" w:lineRule="auto"/>
        <w:ind w:firstLine="11"/>
        <w:outlineLvl w:val="1"/>
        <w:rPr>
          <w:rFonts w:ascii="宋体" w:hAnsi="宋体" w:cs="宋体"/>
          <w:color w:val="auto"/>
          <w:szCs w:val="21"/>
        </w:rPr>
      </w:pPr>
      <w:r>
        <w:rPr>
          <w:rFonts w:ascii="宋体" w:hAnsi="宋体" w:cs="宋体"/>
          <w:color w:val="auto"/>
          <w:spacing w:val="-6"/>
          <w:szCs w:val="21"/>
        </w:rPr>
        <w:t>法定代表人或其委托代理人</w:t>
      </w:r>
      <w:r>
        <w:rPr>
          <w:rFonts w:ascii="宋体" w:hAnsi="宋体" w:cs="宋体"/>
          <w:color w:val="auto"/>
          <w:spacing w:val="-86"/>
          <w:szCs w:val="21"/>
        </w:rPr>
        <w:t>：</w:t>
      </w:r>
      <w:r>
        <w:rPr>
          <w:rFonts w:ascii="宋体" w:hAnsi="宋体" w:cs="宋体"/>
          <w:color w:val="auto"/>
          <w:spacing w:val="8"/>
          <w:szCs w:val="21"/>
          <w:u w:val="single"/>
        </w:rPr>
        <w:t xml:space="preserve">     </w:t>
      </w:r>
      <w:r>
        <w:rPr>
          <w:rFonts w:hint="eastAsia" w:ascii="宋体" w:hAnsi="宋体" w:cs="宋体"/>
          <w:color w:val="auto"/>
          <w:spacing w:val="8"/>
          <w:szCs w:val="21"/>
          <w:u w:val="single"/>
        </w:rPr>
        <w:t xml:space="preserve">      </w:t>
      </w:r>
      <w:r>
        <w:rPr>
          <w:rFonts w:ascii="宋体" w:hAnsi="宋体" w:cs="宋体"/>
          <w:color w:val="auto"/>
          <w:spacing w:val="8"/>
          <w:szCs w:val="21"/>
          <w:u w:val="single"/>
        </w:rPr>
        <w:t xml:space="preserve"> </w:t>
      </w:r>
      <w:r>
        <w:rPr>
          <w:rFonts w:hint="eastAsia" w:ascii="宋体" w:hAnsi="宋体" w:cs="宋体"/>
          <w:color w:val="auto"/>
          <w:spacing w:val="8"/>
          <w:szCs w:val="21"/>
          <w:u w:val="single"/>
        </w:rPr>
        <w:t>（签字或盖章）</w:t>
      </w:r>
      <w:r>
        <w:rPr>
          <w:rFonts w:ascii="宋体" w:hAnsi="宋体" w:cs="宋体"/>
          <w:color w:val="auto"/>
          <w:szCs w:val="21"/>
          <w:u w:val="single"/>
        </w:rPr>
        <w:t xml:space="preserve"> </w:t>
      </w:r>
    </w:p>
    <w:p w14:paraId="3DD9AE13">
      <w:pPr>
        <w:spacing w:line="258" w:lineRule="auto"/>
        <w:rPr>
          <w:rFonts w:ascii="宋体"/>
          <w:color w:val="auto"/>
          <w:szCs w:val="21"/>
        </w:rPr>
      </w:pPr>
    </w:p>
    <w:p w14:paraId="13B7DB2C">
      <w:pPr>
        <w:spacing w:line="258" w:lineRule="auto"/>
        <w:rPr>
          <w:rFonts w:ascii="宋体"/>
          <w:color w:val="auto"/>
          <w:szCs w:val="21"/>
        </w:rPr>
      </w:pPr>
    </w:p>
    <w:p w14:paraId="2308E8B5">
      <w:pPr>
        <w:spacing w:line="258" w:lineRule="auto"/>
        <w:rPr>
          <w:rFonts w:ascii="宋体"/>
          <w:color w:val="auto"/>
          <w:szCs w:val="21"/>
        </w:rPr>
      </w:pPr>
    </w:p>
    <w:p w14:paraId="02994A64">
      <w:pPr>
        <w:spacing w:before="79" w:line="185" w:lineRule="auto"/>
        <w:ind w:firstLine="11"/>
        <w:outlineLvl w:val="1"/>
        <w:rPr>
          <w:rFonts w:ascii="宋体" w:hAnsi="宋体" w:cs="宋体"/>
          <w:color w:val="auto"/>
          <w:spacing w:val="-6"/>
          <w:szCs w:val="21"/>
        </w:rPr>
      </w:pPr>
      <w:r>
        <w:rPr>
          <w:rFonts w:ascii="宋体" w:hAnsi="宋体" w:cs="宋体"/>
          <w:color w:val="auto"/>
          <w:spacing w:val="-6"/>
          <w:szCs w:val="21"/>
        </w:rPr>
        <w:t>日    期：</w:t>
      </w:r>
      <w:r>
        <w:rPr>
          <w:rFonts w:ascii="宋体" w:hAnsi="宋体" w:cs="宋体"/>
          <w:color w:val="auto"/>
          <w:spacing w:val="-6"/>
          <w:szCs w:val="21"/>
          <w:u w:val="single"/>
        </w:rPr>
        <w:t xml:space="preserve">      </w:t>
      </w:r>
      <w:r>
        <w:rPr>
          <w:rFonts w:ascii="宋体" w:hAnsi="宋体" w:cs="宋体"/>
          <w:color w:val="auto"/>
          <w:spacing w:val="-6"/>
          <w:szCs w:val="21"/>
        </w:rPr>
        <w:t>年</w:t>
      </w:r>
      <w:r>
        <w:rPr>
          <w:rFonts w:ascii="宋体" w:hAnsi="宋体" w:cs="宋体"/>
          <w:color w:val="auto"/>
          <w:spacing w:val="-6"/>
          <w:szCs w:val="21"/>
          <w:u w:val="single"/>
        </w:rPr>
        <w:t xml:space="preserve">      </w:t>
      </w:r>
      <w:r>
        <w:rPr>
          <w:rFonts w:ascii="宋体" w:hAnsi="宋体" w:cs="宋体"/>
          <w:color w:val="auto"/>
          <w:spacing w:val="-6"/>
          <w:szCs w:val="21"/>
        </w:rPr>
        <w:t>月</w:t>
      </w:r>
      <w:r>
        <w:rPr>
          <w:rFonts w:ascii="宋体" w:hAnsi="宋体" w:cs="宋体"/>
          <w:color w:val="auto"/>
          <w:spacing w:val="-6"/>
          <w:szCs w:val="21"/>
          <w:u w:val="single"/>
        </w:rPr>
        <w:t xml:space="preserve">      </w:t>
      </w:r>
      <w:r>
        <w:rPr>
          <w:rFonts w:ascii="宋体" w:hAnsi="宋体" w:cs="宋体"/>
          <w:color w:val="auto"/>
          <w:spacing w:val="-6"/>
          <w:szCs w:val="21"/>
        </w:rPr>
        <w:t>日</w:t>
      </w:r>
    </w:p>
    <w:p w14:paraId="1071E7FB">
      <w:pPr>
        <w:spacing w:line="251" w:lineRule="auto"/>
        <w:rPr>
          <w:rFonts w:ascii="宋体"/>
          <w:color w:val="auto"/>
          <w:szCs w:val="21"/>
        </w:rPr>
      </w:pPr>
    </w:p>
    <w:p w14:paraId="7A84332C">
      <w:pPr>
        <w:pStyle w:val="56"/>
        <w:rPr>
          <w:rFonts w:ascii="Times New Roman" w:hAnsi="Times New Roman"/>
          <w:color w:val="auto"/>
          <w:sz w:val="21"/>
          <w:szCs w:val="21"/>
        </w:rPr>
      </w:pPr>
    </w:p>
    <w:p w14:paraId="37865F69">
      <w:pPr>
        <w:rPr>
          <w:rFonts w:ascii="Times New Roman" w:hAnsi="Times New Roman"/>
          <w:color w:val="auto"/>
          <w:szCs w:val="21"/>
        </w:rPr>
      </w:pPr>
    </w:p>
    <w:p w14:paraId="016E8131">
      <w:pPr>
        <w:pStyle w:val="56"/>
        <w:rPr>
          <w:rFonts w:ascii="Times New Roman" w:hAnsi="Times New Roman"/>
          <w:color w:val="auto"/>
        </w:rPr>
      </w:pPr>
    </w:p>
    <w:p w14:paraId="4780E0D1">
      <w:pPr>
        <w:rPr>
          <w:rFonts w:ascii="Times New Roman" w:hAnsi="Times New Roman"/>
          <w:color w:val="auto"/>
        </w:rPr>
      </w:pPr>
    </w:p>
    <w:p w14:paraId="4B37EB67">
      <w:pPr>
        <w:rPr>
          <w:rFonts w:ascii="Times New Roman" w:hAnsi="Times New Roman"/>
          <w:color w:val="auto"/>
        </w:rPr>
      </w:pPr>
    </w:p>
    <w:p w14:paraId="4C87DB08">
      <w:pPr>
        <w:pStyle w:val="43"/>
        <w:rPr>
          <w:color w:val="auto"/>
        </w:rPr>
      </w:pPr>
    </w:p>
    <w:p w14:paraId="4C04B84B">
      <w:pPr>
        <w:rPr>
          <w:rFonts w:ascii="Times New Roman" w:hAnsi="Times New Roman"/>
          <w:color w:val="auto"/>
        </w:rPr>
      </w:pPr>
    </w:p>
    <w:p w14:paraId="3142F78D">
      <w:pPr>
        <w:pStyle w:val="43"/>
        <w:rPr>
          <w:color w:val="auto"/>
        </w:rPr>
      </w:pPr>
    </w:p>
    <w:p w14:paraId="23C5864B">
      <w:pPr>
        <w:pStyle w:val="43"/>
        <w:rPr>
          <w:color w:val="auto"/>
        </w:rPr>
      </w:pPr>
    </w:p>
    <w:p w14:paraId="4B77D541">
      <w:pPr>
        <w:rPr>
          <w:color w:val="auto"/>
        </w:rPr>
      </w:pPr>
    </w:p>
    <w:p w14:paraId="262D959F">
      <w:pPr>
        <w:pStyle w:val="151"/>
        <w:rPr>
          <w:color w:val="auto"/>
        </w:rPr>
      </w:pPr>
    </w:p>
    <w:p w14:paraId="0FA8D802">
      <w:pPr>
        <w:pStyle w:val="2"/>
        <w:spacing w:line="400" w:lineRule="exact"/>
        <w:jc w:val="center"/>
        <w:rPr>
          <w:rFonts w:ascii="黑体" w:hAnsi="黑体" w:cs="黑体"/>
          <w:color w:val="auto"/>
        </w:rPr>
      </w:pPr>
      <w:r>
        <w:rPr>
          <w:rFonts w:hint="eastAsia" w:ascii="黑体" w:hAnsi="黑体" w:cs="黑体"/>
          <w:color w:val="auto"/>
        </w:rPr>
        <w:t>九、</w:t>
      </w:r>
      <w:r>
        <w:rPr>
          <w:rFonts w:hint="eastAsia" w:ascii="黑体" w:hAnsi="黑体" w:cs="黑体"/>
          <w:color w:val="auto"/>
          <w:szCs w:val="32"/>
        </w:rPr>
        <w:t>其他材料</w:t>
      </w:r>
    </w:p>
    <w:p w14:paraId="5241B30A">
      <w:pPr>
        <w:jc w:val="center"/>
        <w:rPr>
          <w:color w:val="auto"/>
          <w:szCs w:val="21"/>
        </w:rPr>
      </w:pPr>
      <w:r>
        <w:rPr>
          <w:rFonts w:hint="eastAsia"/>
          <w:color w:val="auto"/>
          <w:szCs w:val="21"/>
        </w:rPr>
        <w:t>投标人认为需要提交的其他材料</w:t>
      </w:r>
    </w:p>
    <w:p w14:paraId="79CF7F9A">
      <w:pPr>
        <w:pStyle w:val="43"/>
        <w:rPr>
          <w:color w:val="auto"/>
        </w:rPr>
      </w:pPr>
    </w:p>
    <w:sectPr>
      <w:pgSz w:w="12240" w:h="15840"/>
      <w:pgMar w:top="1440" w:right="1080" w:bottom="1440" w:left="1080" w:header="964" w:footer="83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imesNewRomanPSMT">
    <w:altName w:val="Times New Roman"/>
    <w:panose1 w:val="00000000000000000000"/>
    <w:charset w:val="00"/>
    <w:family w:val="roman"/>
    <w:pitch w:val="default"/>
    <w:sig w:usb0="00000000" w:usb1="00000000" w:usb2="00000001" w:usb3="00000000" w:csb0="400001BF" w:csb1="DFF70000"/>
  </w:font>
  <w:font w:name="Wingdings 2">
    <w:panose1 w:val="05020102010507070707"/>
    <w:charset w:val="02"/>
    <w:family w:val="roman"/>
    <w:pitch w:val="default"/>
    <w:sig w:usb0="00000000" w:usb1="00000000" w:usb2="00000000" w:usb3="00000000" w:csb0="80000000" w:csb1="00000000"/>
  </w:font>
  <w:font w:name="Segoe UI Emoji">
    <w:panose1 w:val="020B0502040204020203"/>
    <w:charset w:val="00"/>
    <w:family w:val="swiss"/>
    <w:pitch w:val="default"/>
    <w:sig w:usb0="00000001" w:usb1="02000000" w:usb2="00000000" w:usb3="00000000" w:csb0="00000001" w:csb1="00000000"/>
  </w:font>
  <w:font w:name="H-SS9-PK74820000032-Identity-H">
    <w:altName w:val="黑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B804E">
    <w:pPr>
      <w:pStyle w:val="56"/>
      <w:pBdr>
        <w:top w:val="thinThickSmallGap" w:color="auto" w:sz="24" w:space="1"/>
      </w:pBdr>
      <w:ind w:firstLine="452" w:firstLineChars="250"/>
      <w:rPr>
        <w:rFonts w:ascii="华文新魏" w:hAnsi="华文新魏" w:eastAsia="华文新魏" w:cs="华文新魏"/>
        <w:szCs w:val="21"/>
      </w:rPr>
    </w:pPr>
    <w:r>
      <w:rPr>
        <w:rStyle w:val="135"/>
        <w:rFonts w:hint="eastAsia" w:ascii="黑体" w:eastAsia="黑体"/>
        <w:b/>
        <w:i/>
      </w:rPr>
      <w:t xml:space="preserve">              </w:t>
    </w:r>
    <w:r>
      <w:rPr>
        <w:rStyle w:val="135"/>
        <w:rFonts w:hint="eastAsia" w:ascii="黑体" w:eastAsia="黑体"/>
        <w:b/>
        <w:i/>
        <w:lang w:val="en-US" w:eastAsia="zh-CN"/>
      </w:rPr>
      <w:t xml:space="preserve">                    </w:t>
    </w:r>
    <w:r>
      <w:rPr>
        <w:rStyle w:val="135"/>
        <w:rFonts w:hint="eastAsia" w:ascii="黑体" w:eastAsia="黑体"/>
        <w:b/>
        <w:i w:val="0"/>
        <w:iCs/>
        <w:lang w:val="en-US" w:eastAsia="zh-CN"/>
      </w:rPr>
      <w:t xml:space="preserve"> </w:t>
    </w:r>
    <w:r>
      <w:rPr>
        <w:rStyle w:val="135"/>
        <w:rFonts w:hint="eastAsia" w:ascii="黑体" w:eastAsia="黑体"/>
        <w:b/>
        <w:i w:val="0"/>
        <w:iCs/>
      </w:rPr>
      <w:t xml:space="preserve">  </w:t>
    </w:r>
    <w:r>
      <w:rPr>
        <w:rStyle w:val="135"/>
        <w:rFonts w:hint="eastAsia" w:ascii="黑体" w:eastAsia="黑体"/>
        <w:b/>
        <w:i/>
        <w:iCs w:val="0"/>
      </w:rPr>
      <w:t xml:space="preserve">   </w:t>
    </w:r>
    <w:r>
      <w:rPr>
        <w:rFonts w:asciiTheme="minorEastAsia" w:hAnsiTheme="minorEastAsia" w:eastAsiaTheme="minorEastAsia"/>
        <w:b/>
        <w:bCs/>
        <w:i/>
        <w:iCs w:val="0"/>
        <w:szCs w:val="21"/>
      </w:rPr>
      <w:fldChar w:fldCharType="begin"/>
    </w:r>
    <w:r>
      <w:rPr>
        <w:rFonts w:asciiTheme="minorEastAsia" w:hAnsiTheme="minorEastAsia" w:eastAsiaTheme="minorEastAsia"/>
        <w:b/>
        <w:bCs/>
        <w:i/>
        <w:iCs w:val="0"/>
        <w:szCs w:val="21"/>
      </w:rPr>
      <w:instrText xml:space="preserve">PAGE  \* Arabic  \* MERGEFORMAT</w:instrText>
    </w:r>
    <w:r>
      <w:rPr>
        <w:rFonts w:asciiTheme="minorEastAsia" w:hAnsiTheme="minorEastAsia" w:eastAsiaTheme="minorEastAsia"/>
        <w:b/>
        <w:bCs/>
        <w:i/>
        <w:iCs w:val="0"/>
        <w:szCs w:val="21"/>
      </w:rPr>
      <w:fldChar w:fldCharType="separate"/>
    </w:r>
    <w:r>
      <w:rPr>
        <w:rFonts w:asciiTheme="minorEastAsia" w:hAnsiTheme="minorEastAsia" w:eastAsiaTheme="minorEastAsia"/>
        <w:b/>
        <w:bCs/>
        <w:i/>
        <w:iCs w:val="0"/>
        <w:szCs w:val="21"/>
      </w:rPr>
      <w:t>61</w:t>
    </w:r>
    <w:r>
      <w:rPr>
        <w:rFonts w:asciiTheme="minorEastAsia" w:hAnsiTheme="minorEastAsia" w:eastAsiaTheme="minorEastAsia"/>
        <w:b/>
        <w:bCs/>
        <w:i/>
        <w:iCs w:val="0"/>
        <w:szCs w:val="21"/>
      </w:rPr>
      <w:fldChar w:fldCharType="end"/>
    </w:r>
    <w:r>
      <w:rPr>
        <w:rFonts w:asciiTheme="minorEastAsia" w:hAnsiTheme="minorEastAsia" w:eastAsiaTheme="minorEastAsia"/>
        <w:i/>
        <w:iCs w:val="0"/>
        <w:szCs w:val="21"/>
        <w:lang w:val="zh-CN"/>
      </w:rPr>
      <w:t xml:space="preserve"> / </w:t>
    </w:r>
    <w:r>
      <w:rPr>
        <w:rFonts w:asciiTheme="minorEastAsia" w:hAnsiTheme="minorEastAsia" w:eastAsiaTheme="minorEastAsia"/>
        <w:b/>
        <w:bCs/>
        <w:i/>
        <w:iCs w:val="0"/>
        <w:szCs w:val="21"/>
      </w:rPr>
      <w:fldChar w:fldCharType="begin"/>
    </w:r>
    <w:r>
      <w:rPr>
        <w:rFonts w:asciiTheme="minorEastAsia" w:hAnsiTheme="minorEastAsia" w:eastAsiaTheme="minorEastAsia"/>
        <w:b/>
        <w:bCs/>
        <w:i/>
        <w:iCs w:val="0"/>
        <w:szCs w:val="21"/>
      </w:rPr>
      <w:instrText xml:space="preserve">NUMPAGES  \* Arabic  \* MERGEFORMAT</w:instrText>
    </w:r>
    <w:r>
      <w:rPr>
        <w:rFonts w:asciiTheme="minorEastAsia" w:hAnsiTheme="minorEastAsia" w:eastAsiaTheme="minorEastAsia"/>
        <w:b/>
        <w:bCs/>
        <w:i/>
        <w:iCs w:val="0"/>
        <w:szCs w:val="21"/>
      </w:rPr>
      <w:fldChar w:fldCharType="separate"/>
    </w:r>
    <w:r>
      <w:rPr>
        <w:rFonts w:asciiTheme="minorEastAsia" w:hAnsiTheme="minorEastAsia" w:eastAsiaTheme="minorEastAsia"/>
        <w:b/>
        <w:bCs/>
        <w:i/>
        <w:iCs w:val="0"/>
        <w:szCs w:val="21"/>
      </w:rPr>
      <w:t>92</w:t>
    </w:r>
    <w:r>
      <w:rPr>
        <w:rFonts w:asciiTheme="minorEastAsia" w:hAnsiTheme="minorEastAsia" w:eastAsiaTheme="minorEastAsia"/>
        <w:b/>
        <w:bCs/>
        <w:i/>
        <w:iCs w:val="0"/>
        <w:szCs w:val="21"/>
      </w:rPr>
      <w:fldChar w:fldCharType="end"/>
    </w:r>
    <w:r>
      <w:rPr>
        <w:rStyle w:val="135"/>
        <w:rFonts w:hint="eastAsia" w:ascii="黑体" w:eastAsia="黑体"/>
        <w:b/>
        <w:i/>
        <w:iCs w:val="0"/>
      </w:rPr>
      <w:t xml:space="preserve">   </w:t>
    </w:r>
    <w:r>
      <w:rPr>
        <w:rStyle w:val="135"/>
        <w:rFonts w:hint="eastAsia" w:ascii="黑体" w:eastAsia="黑体"/>
        <w:b/>
        <w:i w:val="0"/>
        <w:iCs/>
      </w:rPr>
      <w:t xml:space="preserve">  </w:t>
    </w:r>
    <w:r>
      <w:rPr>
        <w:rStyle w:val="135"/>
        <w:rFonts w:ascii="黑体" w:eastAsia="黑体"/>
        <w:b/>
        <w:i w:val="0"/>
        <w:iCs/>
      </w:rPr>
      <w:t xml:space="preserve">   </w:t>
    </w:r>
    <w:r>
      <w:rPr>
        <w:rStyle w:val="135"/>
        <w:rFonts w:ascii="黑体" w:eastAsia="黑体"/>
        <w:b/>
        <w:i/>
      </w:rPr>
      <w:t xml:space="preserve">     </w:t>
    </w:r>
    <w:r>
      <w:rPr>
        <w:rStyle w:val="135"/>
        <w:rFonts w:hint="eastAsia" w:ascii="黑体" w:eastAsia="黑体"/>
        <w:b/>
        <w:i/>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0689C"/>
    <w:multiLevelType w:val="singleLevel"/>
    <w:tmpl w:val="A7B0689C"/>
    <w:lvl w:ilvl="0" w:tentative="0">
      <w:start w:val="1"/>
      <w:numFmt w:val="chineseCounting"/>
      <w:suff w:val="space"/>
      <w:lvlText w:val="第%1章"/>
      <w:lvlJc w:val="left"/>
      <w:rPr>
        <w:rFonts w:hint="eastAsia"/>
      </w:rPr>
    </w:lvl>
  </w:abstractNum>
  <w:abstractNum w:abstractNumId="1">
    <w:nsid w:val="B283BB95"/>
    <w:multiLevelType w:val="singleLevel"/>
    <w:tmpl w:val="B283BB95"/>
    <w:lvl w:ilvl="0" w:tentative="0">
      <w:start w:val="1"/>
      <w:numFmt w:val="decimal"/>
      <w:suff w:val="nothing"/>
      <w:lvlText w:val="%1、"/>
      <w:lvlJc w:val="left"/>
    </w:lvl>
  </w:abstractNum>
  <w:abstractNum w:abstractNumId="2">
    <w:nsid w:val="BA303216"/>
    <w:multiLevelType w:val="singleLevel"/>
    <w:tmpl w:val="BA303216"/>
    <w:lvl w:ilvl="0" w:tentative="0">
      <w:start w:val="3"/>
      <w:numFmt w:val="chineseCounting"/>
      <w:pStyle w:val="255"/>
      <w:suff w:val="space"/>
      <w:lvlText w:val="第%1章"/>
      <w:lvlJc w:val="left"/>
      <w:rPr>
        <w:rFonts w:hint="eastAsia"/>
      </w:rPr>
    </w:lvl>
  </w:abstractNum>
  <w:abstractNum w:abstractNumId="3">
    <w:nsid w:val="C0E27EFE"/>
    <w:multiLevelType w:val="singleLevel"/>
    <w:tmpl w:val="C0E27EFE"/>
    <w:lvl w:ilvl="0" w:tentative="0">
      <w:start w:val="1"/>
      <w:numFmt w:val="chineseCounting"/>
      <w:suff w:val="nothing"/>
      <w:lvlText w:val="%1、"/>
      <w:lvlJc w:val="left"/>
      <w:rPr>
        <w:rFonts w:hint="eastAsia"/>
      </w:rPr>
    </w:lvl>
  </w:abstractNum>
  <w:abstractNum w:abstractNumId="4">
    <w:nsid w:val="D7D33C61"/>
    <w:multiLevelType w:val="singleLevel"/>
    <w:tmpl w:val="D7D33C61"/>
    <w:lvl w:ilvl="0" w:tentative="0">
      <w:start w:val="1"/>
      <w:numFmt w:val="decimal"/>
      <w:suff w:val="nothing"/>
      <w:lvlText w:val="（%1）"/>
      <w:lvlJc w:val="left"/>
    </w:lvl>
  </w:abstractNum>
  <w:abstractNum w:abstractNumId="5">
    <w:nsid w:val="00510D49"/>
    <w:multiLevelType w:val="singleLevel"/>
    <w:tmpl w:val="00510D49"/>
    <w:lvl w:ilvl="0" w:tentative="0">
      <w:start w:val="1"/>
      <w:numFmt w:val="decimal"/>
      <w:suff w:val="space"/>
      <w:lvlText w:val="%1."/>
      <w:lvlJc w:val="left"/>
    </w:lvl>
  </w:abstractNum>
  <w:abstractNum w:abstractNumId="6">
    <w:nsid w:val="256E7A1E"/>
    <w:multiLevelType w:val="singleLevel"/>
    <w:tmpl w:val="256E7A1E"/>
    <w:lvl w:ilvl="0" w:tentative="0">
      <w:start w:val="2"/>
      <w:numFmt w:val="decimal"/>
      <w:lvlText w:val="(%1)"/>
      <w:lvlJc w:val="left"/>
      <w:pPr>
        <w:tabs>
          <w:tab w:val="left" w:pos="312"/>
        </w:tabs>
      </w:pPr>
    </w:lvl>
  </w:abstractNum>
  <w:abstractNum w:abstractNumId="7">
    <w:nsid w:val="3938EDB3"/>
    <w:multiLevelType w:val="singleLevel"/>
    <w:tmpl w:val="3938EDB3"/>
    <w:lvl w:ilvl="0" w:tentative="0">
      <w:start w:val="5"/>
      <w:numFmt w:val="chineseCounting"/>
      <w:suff w:val="nothing"/>
      <w:lvlText w:val="%1、"/>
      <w:lvlJc w:val="left"/>
      <w:rPr>
        <w:rFonts w:hint="eastAsia"/>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zYWYyMDc1OWFkYjc0NzY4NjE1ODllNDJlNjIwMGYifQ=="/>
  </w:docVars>
  <w:rsids>
    <w:rsidRoot w:val="00172A27"/>
    <w:rsid w:val="00000DA4"/>
    <w:rsid w:val="00002A60"/>
    <w:rsid w:val="00004603"/>
    <w:rsid w:val="00007319"/>
    <w:rsid w:val="000106AE"/>
    <w:rsid w:val="00010B53"/>
    <w:rsid w:val="000122C9"/>
    <w:rsid w:val="00012703"/>
    <w:rsid w:val="0001485E"/>
    <w:rsid w:val="0002193F"/>
    <w:rsid w:val="00021BFE"/>
    <w:rsid w:val="00023024"/>
    <w:rsid w:val="000250D6"/>
    <w:rsid w:val="00025ACC"/>
    <w:rsid w:val="00025EC4"/>
    <w:rsid w:val="00026171"/>
    <w:rsid w:val="000303E1"/>
    <w:rsid w:val="00033691"/>
    <w:rsid w:val="000351AE"/>
    <w:rsid w:val="00043778"/>
    <w:rsid w:val="000449F1"/>
    <w:rsid w:val="000514CF"/>
    <w:rsid w:val="00051E22"/>
    <w:rsid w:val="00054AF3"/>
    <w:rsid w:val="00062AC6"/>
    <w:rsid w:val="00067035"/>
    <w:rsid w:val="00071FA8"/>
    <w:rsid w:val="000737F9"/>
    <w:rsid w:val="000751DE"/>
    <w:rsid w:val="0008132B"/>
    <w:rsid w:val="00081360"/>
    <w:rsid w:val="0008253E"/>
    <w:rsid w:val="000943B0"/>
    <w:rsid w:val="00094C66"/>
    <w:rsid w:val="000A040B"/>
    <w:rsid w:val="000A287B"/>
    <w:rsid w:val="000A5C81"/>
    <w:rsid w:val="000A76B3"/>
    <w:rsid w:val="000B1B0C"/>
    <w:rsid w:val="000B65E2"/>
    <w:rsid w:val="000C0018"/>
    <w:rsid w:val="000C00CE"/>
    <w:rsid w:val="000C1A9B"/>
    <w:rsid w:val="000C2AB5"/>
    <w:rsid w:val="000C4710"/>
    <w:rsid w:val="000C5513"/>
    <w:rsid w:val="000D21B9"/>
    <w:rsid w:val="000D4336"/>
    <w:rsid w:val="000D49B4"/>
    <w:rsid w:val="000D4E08"/>
    <w:rsid w:val="000D61BC"/>
    <w:rsid w:val="000E08CB"/>
    <w:rsid w:val="000E5673"/>
    <w:rsid w:val="000E7B3C"/>
    <w:rsid w:val="000F150A"/>
    <w:rsid w:val="000F2186"/>
    <w:rsid w:val="000F2A12"/>
    <w:rsid w:val="000F2ECC"/>
    <w:rsid w:val="000F6666"/>
    <w:rsid w:val="0010070F"/>
    <w:rsid w:val="001011FC"/>
    <w:rsid w:val="00102618"/>
    <w:rsid w:val="001043E0"/>
    <w:rsid w:val="00104DE9"/>
    <w:rsid w:val="00105423"/>
    <w:rsid w:val="00111455"/>
    <w:rsid w:val="001119B6"/>
    <w:rsid w:val="00113DCD"/>
    <w:rsid w:val="00115124"/>
    <w:rsid w:val="00115848"/>
    <w:rsid w:val="00117F0F"/>
    <w:rsid w:val="001312C5"/>
    <w:rsid w:val="0013146C"/>
    <w:rsid w:val="0014098E"/>
    <w:rsid w:val="00141926"/>
    <w:rsid w:val="001530C6"/>
    <w:rsid w:val="00153B32"/>
    <w:rsid w:val="001613DD"/>
    <w:rsid w:val="001613E1"/>
    <w:rsid w:val="001658EF"/>
    <w:rsid w:val="00165A56"/>
    <w:rsid w:val="00172A27"/>
    <w:rsid w:val="001735B4"/>
    <w:rsid w:val="001748A3"/>
    <w:rsid w:val="00175F7A"/>
    <w:rsid w:val="00182B11"/>
    <w:rsid w:val="00183B4A"/>
    <w:rsid w:val="001877C5"/>
    <w:rsid w:val="001879CB"/>
    <w:rsid w:val="0019027B"/>
    <w:rsid w:val="00192979"/>
    <w:rsid w:val="00193C1D"/>
    <w:rsid w:val="00196869"/>
    <w:rsid w:val="00197AD8"/>
    <w:rsid w:val="001A093D"/>
    <w:rsid w:val="001A0CCF"/>
    <w:rsid w:val="001A2968"/>
    <w:rsid w:val="001A2B51"/>
    <w:rsid w:val="001A2E05"/>
    <w:rsid w:val="001A4491"/>
    <w:rsid w:val="001A4684"/>
    <w:rsid w:val="001A6D5E"/>
    <w:rsid w:val="001B7FEF"/>
    <w:rsid w:val="001C30C7"/>
    <w:rsid w:val="001C38D5"/>
    <w:rsid w:val="001C6030"/>
    <w:rsid w:val="001E1433"/>
    <w:rsid w:val="001E6637"/>
    <w:rsid w:val="001F05DA"/>
    <w:rsid w:val="001F2208"/>
    <w:rsid w:val="001F4134"/>
    <w:rsid w:val="001F45EE"/>
    <w:rsid w:val="001F4850"/>
    <w:rsid w:val="001F5634"/>
    <w:rsid w:val="001F698A"/>
    <w:rsid w:val="00204A5C"/>
    <w:rsid w:val="00207A0B"/>
    <w:rsid w:val="00211CE2"/>
    <w:rsid w:val="00211D74"/>
    <w:rsid w:val="00212A53"/>
    <w:rsid w:val="0021322F"/>
    <w:rsid w:val="00213B90"/>
    <w:rsid w:val="00215AF0"/>
    <w:rsid w:val="00215CF7"/>
    <w:rsid w:val="00217D7A"/>
    <w:rsid w:val="00217EA6"/>
    <w:rsid w:val="002229E2"/>
    <w:rsid w:val="0022434B"/>
    <w:rsid w:val="00233BEB"/>
    <w:rsid w:val="0023423F"/>
    <w:rsid w:val="00236570"/>
    <w:rsid w:val="00237107"/>
    <w:rsid w:val="00237422"/>
    <w:rsid w:val="00237B0E"/>
    <w:rsid w:val="00240884"/>
    <w:rsid w:val="00241846"/>
    <w:rsid w:val="002430C2"/>
    <w:rsid w:val="00250533"/>
    <w:rsid w:val="00251109"/>
    <w:rsid w:val="00251A49"/>
    <w:rsid w:val="00252B1E"/>
    <w:rsid w:val="0025460A"/>
    <w:rsid w:val="00255D0D"/>
    <w:rsid w:val="00260B7B"/>
    <w:rsid w:val="00260C77"/>
    <w:rsid w:val="00261352"/>
    <w:rsid w:val="00263F0B"/>
    <w:rsid w:val="00264CEC"/>
    <w:rsid w:val="00264EB1"/>
    <w:rsid w:val="00266BB9"/>
    <w:rsid w:val="00270F73"/>
    <w:rsid w:val="0027144A"/>
    <w:rsid w:val="002718DC"/>
    <w:rsid w:val="002741F2"/>
    <w:rsid w:val="00276C71"/>
    <w:rsid w:val="00281526"/>
    <w:rsid w:val="00282FB1"/>
    <w:rsid w:val="00285406"/>
    <w:rsid w:val="00286C1A"/>
    <w:rsid w:val="0029426F"/>
    <w:rsid w:val="0029726B"/>
    <w:rsid w:val="002A2226"/>
    <w:rsid w:val="002A445D"/>
    <w:rsid w:val="002A552C"/>
    <w:rsid w:val="002A5A6B"/>
    <w:rsid w:val="002A65ED"/>
    <w:rsid w:val="002C0C29"/>
    <w:rsid w:val="002C7B9B"/>
    <w:rsid w:val="002D2B90"/>
    <w:rsid w:val="002D6F32"/>
    <w:rsid w:val="002D713D"/>
    <w:rsid w:val="002E1DAC"/>
    <w:rsid w:val="002E3FCA"/>
    <w:rsid w:val="002E6794"/>
    <w:rsid w:val="002E6D05"/>
    <w:rsid w:val="002F1EA5"/>
    <w:rsid w:val="002F4E05"/>
    <w:rsid w:val="002F5FD0"/>
    <w:rsid w:val="002F72A0"/>
    <w:rsid w:val="003030EC"/>
    <w:rsid w:val="00303961"/>
    <w:rsid w:val="003063C4"/>
    <w:rsid w:val="00307CEA"/>
    <w:rsid w:val="00311324"/>
    <w:rsid w:val="0031139A"/>
    <w:rsid w:val="003122C4"/>
    <w:rsid w:val="00312321"/>
    <w:rsid w:val="00314103"/>
    <w:rsid w:val="00314C76"/>
    <w:rsid w:val="00317712"/>
    <w:rsid w:val="0032031D"/>
    <w:rsid w:val="00321647"/>
    <w:rsid w:val="00321989"/>
    <w:rsid w:val="003243EC"/>
    <w:rsid w:val="003247CD"/>
    <w:rsid w:val="00324B07"/>
    <w:rsid w:val="0033429D"/>
    <w:rsid w:val="003362AD"/>
    <w:rsid w:val="00337767"/>
    <w:rsid w:val="00337CAE"/>
    <w:rsid w:val="00342688"/>
    <w:rsid w:val="0034440E"/>
    <w:rsid w:val="00347899"/>
    <w:rsid w:val="003506FC"/>
    <w:rsid w:val="003518D6"/>
    <w:rsid w:val="00354B7A"/>
    <w:rsid w:val="00361B52"/>
    <w:rsid w:val="00363966"/>
    <w:rsid w:val="00367424"/>
    <w:rsid w:val="0037026C"/>
    <w:rsid w:val="00371DDF"/>
    <w:rsid w:val="003741B0"/>
    <w:rsid w:val="0038240C"/>
    <w:rsid w:val="0038359A"/>
    <w:rsid w:val="0038529A"/>
    <w:rsid w:val="00387996"/>
    <w:rsid w:val="00391F03"/>
    <w:rsid w:val="00396A68"/>
    <w:rsid w:val="003A1C37"/>
    <w:rsid w:val="003A2368"/>
    <w:rsid w:val="003A2ED5"/>
    <w:rsid w:val="003A57D9"/>
    <w:rsid w:val="003A5B10"/>
    <w:rsid w:val="003A6775"/>
    <w:rsid w:val="003B2241"/>
    <w:rsid w:val="003B3719"/>
    <w:rsid w:val="003B41C4"/>
    <w:rsid w:val="003C0D7D"/>
    <w:rsid w:val="003C3469"/>
    <w:rsid w:val="003C4858"/>
    <w:rsid w:val="003C5BB3"/>
    <w:rsid w:val="003C663D"/>
    <w:rsid w:val="003C703C"/>
    <w:rsid w:val="003D1170"/>
    <w:rsid w:val="003D1B8E"/>
    <w:rsid w:val="003D292C"/>
    <w:rsid w:val="003D2D72"/>
    <w:rsid w:val="003D36EE"/>
    <w:rsid w:val="003D515C"/>
    <w:rsid w:val="003D6E0A"/>
    <w:rsid w:val="003E66CF"/>
    <w:rsid w:val="003F1CDB"/>
    <w:rsid w:val="003F3518"/>
    <w:rsid w:val="003F504F"/>
    <w:rsid w:val="003F51E6"/>
    <w:rsid w:val="003F5A7B"/>
    <w:rsid w:val="003F5B69"/>
    <w:rsid w:val="00403934"/>
    <w:rsid w:val="004105EF"/>
    <w:rsid w:val="004125A8"/>
    <w:rsid w:val="00413A55"/>
    <w:rsid w:val="00414109"/>
    <w:rsid w:val="00415A1A"/>
    <w:rsid w:val="0042326A"/>
    <w:rsid w:val="00423F96"/>
    <w:rsid w:val="0042619D"/>
    <w:rsid w:val="00427C86"/>
    <w:rsid w:val="00431F4F"/>
    <w:rsid w:val="0043351E"/>
    <w:rsid w:val="00433676"/>
    <w:rsid w:val="0043639F"/>
    <w:rsid w:val="00436504"/>
    <w:rsid w:val="004405C7"/>
    <w:rsid w:val="00441D39"/>
    <w:rsid w:val="0044250A"/>
    <w:rsid w:val="00442AF8"/>
    <w:rsid w:val="0044514A"/>
    <w:rsid w:val="0044571B"/>
    <w:rsid w:val="00447E59"/>
    <w:rsid w:val="0045150D"/>
    <w:rsid w:val="004579D9"/>
    <w:rsid w:val="00457DC2"/>
    <w:rsid w:val="00472328"/>
    <w:rsid w:val="004733D3"/>
    <w:rsid w:val="004855E6"/>
    <w:rsid w:val="00487315"/>
    <w:rsid w:val="00494624"/>
    <w:rsid w:val="00495001"/>
    <w:rsid w:val="004A112E"/>
    <w:rsid w:val="004A242E"/>
    <w:rsid w:val="004A5FF2"/>
    <w:rsid w:val="004A76F2"/>
    <w:rsid w:val="004B133C"/>
    <w:rsid w:val="004B51E3"/>
    <w:rsid w:val="004B63C5"/>
    <w:rsid w:val="004B6ED7"/>
    <w:rsid w:val="004C16FA"/>
    <w:rsid w:val="004C26C7"/>
    <w:rsid w:val="004D1209"/>
    <w:rsid w:val="004D4247"/>
    <w:rsid w:val="004D7237"/>
    <w:rsid w:val="004D794D"/>
    <w:rsid w:val="004D7FCB"/>
    <w:rsid w:val="004E0066"/>
    <w:rsid w:val="004E0C05"/>
    <w:rsid w:val="004E3473"/>
    <w:rsid w:val="004F1425"/>
    <w:rsid w:val="004F1AC3"/>
    <w:rsid w:val="004F3309"/>
    <w:rsid w:val="00500138"/>
    <w:rsid w:val="005034E3"/>
    <w:rsid w:val="0050739A"/>
    <w:rsid w:val="005100DC"/>
    <w:rsid w:val="0051061F"/>
    <w:rsid w:val="00511660"/>
    <w:rsid w:val="00512A0D"/>
    <w:rsid w:val="00517CCE"/>
    <w:rsid w:val="0052194C"/>
    <w:rsid w:val="005229A0"/>
    <w:rsid w:val="00522D50"/>
    <w:rsid w:val="005275D1"/>
    <w:rsid w:val="00527D92"/>
    <w:rsid w:val="0053064D"/>
    <w:rsid w:val="00531BAF"/>
    <w:rsid w:val="00534EDF"/>
    <w:rsid w:val="00535A65"/>
    <w:rsid w:val="005374E9"/>
    <w:rsid w:val="00537735"/>
    <w:rsid w:val="00537781"/>
    <w:rsid w:val="005409DB"/>
    <w:rsid w:val="00542C62"/>
    <w:rsid w:val="00543F5F"/>
    <w:rsid w:val="00543F71"/>
    <w:rsid w:val="00545698"/>
    <w:rsid w:val="00546149"/>
    <w:rsid w:val="0054730C"/>
    <w:rsid w:val="005475CE"/>
    <w:rsid w:val="00555089"/>
    <w:rsid w:val="005565F1"/>
    <w:rsid w:val="00562259"/>
    <w:rsid w:val="00562514"/>
    <w:rsid w:val="005655BD"/>
    <w:rsid w:val="005661E1"/>
    <w:rsid w:val="0056754C"/>
    <w:rsid w:val="00571501"/>
    <w:rsid w:val="00573B46"/>
    <w:rsid w:val="00573C8F"/>
    <w:rsid w:val="00574712"/>
    <w:rsid w:val="00576C5E"/>
    <w:rsid w:val="00577C17"/>
    <w:rsid w:val="005804CC"/>
    <w:rsid w:val="00580957"/>
    <w:rsid w:val="005818B8"/>
    <w:rsid w:val="005824FB"/>
    <w:rsid w:val="00582666"/>
    <w:rsid w:val="00586955"/>
    <w:rsid w:val="005870EB"/>
    <w:rsid w:val="00592DCF"/>
    <w:rsid w:val="00593D82"/>
    <w:rsid w:val="005955BA"/>
    <w:rsid w:val="005A0B59"/>
    <w:rsid w:val="005A245A"/>
    <w:rsid w:val="005A2C7B"/>
    <w:rsid w:val="005B0F9A"/>
    <w:rsid w:val="005B15AD"/>
    <w:rsid w:val="005B1A42"/>
    <w:rsid w:val="005B4DB1"/>
    <w:rsid w:val="005C162E"/>
    <w:rsid w:val="005C417A"/>
    <w:rsid w:val="005C5BFF"/>
    <w:rsid w:val="005D22FC"/>
    <w:rsid w:val="005D3D41"/>
    <w:rsid w:val="005D59CC"/>
    <w:rsid w:val="005D736F"/>
    <w:rsid w:val="005E35F4"/>
    <w:rsid w:val="005E4F70"/>
    <w:rsid w:val="005E5357"/>
    <w:rsid w:val="005E5DB5"/>
    <w:rsid w:val="005E7072"/>
    <w:rsid w:val="005E7CE8"/>
    <w:rsid w:val="005F162E"/>
    <w:rsid w:val="005F16C3"/>
    <w:rsid w:val="005F328B"/>
    <w:rsid w:val="005F74F3"/>
    <w:rsid w:val="00601880"/>
    <w:rsid w:val="00602C7D"/>
    <w:rsid w:val="0060381D"/>
    <w:rsid w:val="006041C3"/>
    <w:rsid w:val="006052FC"/>
    <w:rsid w:val="00605A28"/>
    <w:rsid w:val="00607F31"/>
    <w:rsid w:val="00610BBF"/>
    <w:rsid w:val="006116FD"/>
    <w:rsid w:val="00613FB5"/>
    <w:rsid w:val="00614E98"/>
    <w:rsid w:val="0062295C"/>
    <w:rsid w:val="006235F2"/>
    <w:rsid w:val="00623AD2"/>
    <w:rsid w:val="00630E94"/>
    <w:rsid w:val="00632B51"/>
    <w:rsid w:val="00633021"/>
    <w:rsid w:val="00635FF4"/>
    <w:rsid w:val="00636962"/>
    <w:rsid w:val="0063752D"/>
    <w:rsid w:val="00637781"/>
    <w:rsid w:val="00644C71"/>
    <w:rsid w:val="006462FA"/>
    <w:rsid w:val="006504F5"/>
    <w:rsid w:val="0065094C"/>
    <w:rsid w:val="00660EBB"/>
    <w:rsid w:val="00663CC5"/>
    <w:rsid w:val="00665865"/>
    <w:rsid w:val="006663EB"/>
    <w:rsid w:val="00670660"/>
    <w:rsid w:val="0067568A"/>
    <w:rsid w:val="00684D69"/>
    <w:rsid w:val="00686AF3"/>
    <w:rsid w:val="006928F3"/>
    <w:rsid w:val="006952F5"/>
    <w:rsid w:val="006A2E04"/>
    <w:rsid w:val="006A2F51"/>
    <w:rsid w:val="006A350C"/>
    <w:rsid w:val="006A5596"/>
    <w:rsid w:val="006B268E"/>
    <w:rsid w:val="006B317B"/>
    <w:rsid w:val="006B4620"/>
    <w:rsid w:val="006B58FD"/>
    <w:rsid w:val="006C1B42"/>
    <w:rsid w:val="006C3DFB"/>
    <w:rsid w:val="006C56C9"/>
    <w:rsid w:val="006D05E4"/>
    <w:rsid w:val="006D144F"/>
    <w:rsid w:val="006D567B"/>
    <w:rsid w:val="006E0B76"/>
    <w:rsid w:val="006E1CF0"/>
    <w:rsid w:val="006E2EB3"/>
    <w:rsid w:val="006E3EAB"/>
    <w:rsid w:val="006E521B"/>
    <w:rsid w:val="006E5AC6"/>
    <w:rsid w:val="006E5CDB"/>
    <w:rsid w:val="006F0134"/>
    <w:rsid w:val="006F30B4"/>
    <w:rsid w:val="006F3939"/>
    <w:rsid w:val="006F46C3"/>
    <w:rsid w:val="006F4CA2"/>
    <w:rsid w:val="006F6820"/>
    <w:rsid w:val="006F6E12"/>
    <w:rsid w:val="00701A84"/>
    <w:rsid w:val="007032B0"/>
    <w:rsid w:val="00705859"/>
    <w:rsid w:val="007058F5"/>
    <w:rsid w:val="00706041"/>
    <w:rsid w:val="007123AF"/>
    <w:rsid w:val="00712A96"/>
    <w:rsid w:val="007130BD"/>
    <w:rsid w:val="00720BE9"/>
    <w:rsid w:val="00721056"/>
    <w:rsid w:val="00723AEF"/>
    <w:rsid w:val="00725C94"/>
    <w:rsid w:val="00726A6C"/>
    <w:rsid w:val="00726B23"/>
    <w:rsid w:val="00726DB7"/>
    <w:rsid w:val="00727E29"/>
    <w:rsid w:val="00733083"/>
    <w:rsid w:val="00735916"/>
    <w:rsid w:val="00740B0E"/>
    <w:rsid w:val="00742B21"/>
    <w:rsid w:val="00744517"/>
    <w:rsid w:val="00750137"/>
    <w:rsid w:val="0075115C"/>
    <w:rsid w:val="00755157"/>
    <w:rsid w:val="00762C99"/>
    <w:rsid w:val="00766147"/>
    <w:rsid w:val="00766DD4"/>
    <w:rsid w:val="00770518"/>
    <w:rsid w:val="00770C01"/>
    <w:rsid w:val="007724D2"/>
    <w:rsid w:val="00772E30"/>
    <w:rsid w:val="00775B10"/>
    <w:rsid w:val="007769FC"/>
    <w:rsid w:val="00780470"/>
    <w:rsid w:val="0078454A"/>
    <w:rsid w:val="00790A94"/>
    <w:rsid w:val="007911B2"/>
    <w:rsid w:val="00796039"/>
    <w:rsid w:val="00797ACE"/>
    <w:rsid w:val="007A08F7"/>
    <w:rsid w:val="007A1E5B"/>
    <w:rsid w:val="007A3473"/>
    <w:rsid w:val="007A36C9"/>
    <w:rsid w:val="007A5188"/>
    <w:rsid w:val="007A6512"/>
    <w:rsid w:val="007A67FD"/>
    <w:rsid w:val="007A6F63"/>
    <w:rsid w:val="007B300E"/>
    <w:rsid w:val="007B3D71"/>
    <w:rsid w:val="007B5213"/>
    <w:rsid w:val="007B7DDF"/>
    <w:rsid w:val="007C1500"/>
    <w:rsid w:val="007C1D1A"/>
    <w:rsid w:val="007C292F"/>
    <w:rsid w:val="007D07A2"/>
    <w:rsid w:val="007D16DC"/>
    <w:rsid w:val="007D23A8"/>
    <w:rsid w:val="007D29C2"/>
    <w:rsid w:val="007D4C26"/>
    <w:rsid w:val="007D5CBB"/>
    <w:rsid w:val="007D6572"/>
    <w:rsid w:val="007E0563"/>
    <w:rsid w:val="007E2899"/>
    <w:rsid w:val="007E6590"/>
    <w:rsid w:val="007E78FD"/>
    <w:rsid w:val="007F0A1D"/>
    <w:rsid w:val="007F33A5"/>
    <w:rsid w:val="007F3F12"/>
    <w:rsid w:val="007F6A96"/>
    <w:rsid w:val="008016DA"/>
    <w:rsid w:val="00802B3E"/>
    <w:rsid w:val="00803D1B"/>
    <w:rsid w:val="00804854"/>
    <w:rsid w:val="00805D01"/>
    <w:rsid w:val="00806691"/>
    <w:rsid w:val="00813C81"/>
    <w:rsid w:val="00813F42"/>
    <w:rsid w:val="00814399"/>
    <w:rsid w:val="00814ACE"/>
    <w:rsid w:val="00822B05"/>
    <w:rsid w:val="00822BEA"/>
    <w:rsid w:val="00823971"/>
    <w:rsid w:val="008261CA"/>
    <w:rsid w:val="00826534"/>
    <w:rsid w:val="00826BF7"/>
    <w:rsid w:val="00826C28"/>
    <w:rsid w:val="00833E5B"/>
    <w:rsid w:val="00834C2B"/>
    <w:rsid w:val="00842D0A"/>
    <w:rsid w:val="0084602F"/>
    <w:rsid w:val="00847755"/>
    <w:rsid w:val="00851D39"/>
    <w:rsid w:val="00851FB3"/>
    <w:rsid w:val="0085267C"/>
    <w:rsid w:val="008552FE"/>
    <w:rsid w:val="008567AE"/>
    <w:rsid w:val="008602E0"/>
    <w:rsid w:val="008625DD"/>
    <w:rsid w:val="00863016"/>
    <w:rsid w:val="008631FE"/>
    <w:rsid w:val="008634A5"/>
    <w:rsid w:val="00865A18"/>
    <w:rsid w:val="00877B50"/>
    <w:rsid w:val="00880C4E"/>
    <w:rsid w:val="00884003"/>
    <w:rsid w:val="00884568"/>
    <w:rsid w:val="00886D39"/>
    <w:rsid w:val="008A0C4A"/>
    <w:rsid w:val="008A3781"/>
    <w:rsid w:val="008A4C9A"/>
    <w:rsid w:val="008A4F8A"/>
    <w:rsid w:val="008A6265"/>
    <w:rsid w:val="008B4958"/>
    <w:rsid w:val="008B769F"/>
    <w:rsid w:val="008C0E1E"/>
    <w:rsid w:val="008C1A6B"/>
    <w:rsid w:val="008C3504"/>
    <w:rsid w:val="008C4D93"/>
    <w:rsid w:val="008D02D6"/>
    <w:rsid w:val="008D085E"/>
    <w:rsid w:val="008D0EA5"/>
    <w:rsid w:val="008D1879"/>
    <w:rsid w:val="008D2B4F"/>
    <w:rsid w:val="008D4900"/>
    <w:rsid w:val="008E66EF"/>
    <w:rsid w:val="008E688D"/>
    <w:rsid w:val="008F2DB6"/>
    <w:rsid w:val="008F6B90"/>
    <w:rsid w:val="008F78BF"/>
    <w:rsid w:val="0090152F"/>
    <w:rsid w:val="00901D7E"/>
    <w:rsid w:val="00905AE6"/>
    <w:rsid w:val="009102B1"/>
    <w:rsid w:val="00913849"/>
    <w:rsid w:val="00913DA9"/>
    <w:rsid w:val="00915BD0"/>
    <w:rsid w:val="009165B6"/>
    <w:rsid w:val="0091764F"/>
    <w:rsid w:val="00917CED"/>
    <w:rsid w:val="00922D1D"/>
    <w:rsid w:val="00922EB2"/>
    <w:rsid w:val="0092577B"/>
    <w:rsid w:val="00926831"/>
    <w:rsid w:val="00926B34"/>
    <w:rsid w:val="009332DB"/>
    <w:rsid w:val="00937163"/>
    <w:rsid w:val="00942FF5"/>
    <w:rsid w:val="00943B39"/>
    <w:rsid w:val="00943F58"/>
    <w:rsid w:val="0094443B"/>
    <w:rsid w:val="0094784E"/>
    <w:rsid w:val="0094793B"/>
    <w:rsid w:val="00956336"/>
    <w:rsid w:val="0096197F"/>
    <w:rsid w:val="0096341D"/>
    <w:rsid w:val="00964108"/>
    <w:rsid w:val="00964882"/>
    <w:rsid w:val="009678EF"/>
    <w:rsid w:val="00970BED"/>
    <w:rsid w:val="00971919"/>
    <w:rsid w:val="00972737"/>
    <w:rsid w:val="00972D10"/>
    <w:rsid w:val="00975526"/>
    <w:rsid w:val="00976894"/>
    <w:rsid w:val="00976F7C"/>
    <w:rsid w:val="0098095B"/>
    <w:rsid w:val="00980CE5"/>
    <w:rsid w:val="00981293"/>
    <w:rsid w:val="009816BB"/>
    <w:rsid w:val="00984168"/>
    <w:rsid w:val="0098473F"/>
    <w:rsid w:val="00986130"/>
    <w:rsid w:val="009875FE"/>
    <w:rsid w:val="00987946"/>
    <w:rsid w:val="00990C32"/>
    <w:rsid w:val="00990C81"/>
    <w:rsid w:val="009914DB"/>
    <w:rsid w:val="00993DD3"/>
    <w:rsid w:val="00996A73"/>
    <w:rsid w:val="0099765D"/>
    <w:rsid w:val="009A21F7"/>
    <w:rsid w:val="009A6828"/>
    <w:rsid w:val="009A761C"/>
    <w:rsid w:val="009B0025"/>
    <w:rsid w:val="009B115E"/>
    <w:rsid w:val="009B499F"/>
    <w:rsid w:val="009B54E6"/>
    <w:rsid w:val="009C221B"/>
    <w:rsid w:val="009C42F0"/>
    <w:rsid w:val="009C5D2B"/>
    <w:rsid w:val="009D0A6C"/>
    <w:rsid w:val="009D11BE"/>
    <w:rsid w:val="009D14AC"/>
    <w:rsid w:val="009D6EF2"/>
    <w:rsid w:val="009E280D"/>
    <w:rsid w:val="009E3F33"/>
    <w:rsid w:val="009E77CE"/>
    <w:rsid w:val="009F1AC6"/>
    <w:rsid w:val="009F3D52"/>
    <w:rsid w:val="009F46DE"/>
    <w:rsid w:val="009F5BF0"/>
    <w:rsid w:val="009F5F20"/>
    <w:rsid w:val="009F7053"/>
    <w:rsid w:val="00A00218"/>
    <w:rsid w:val="00A01041"/>
    <w:rsid w:val="00A013E6"/>
    <w:rsid w:val="00A02955"/>
    <w:rsid w:val="00A059CF"/>
    <w:rsid w:val="00A06756"/>
    <w:rsid w:val="00A161A9"/>
    <w:rsid w:val="00A17B53"/>
    <w:rsid w:val="00A20C87"/>
    <w:rsid w:val="00A214E6"/>
    <w:rsid w:val="00A236AA"/>
    <w:rsid w:val="00A239C4"/>
    <w:rsid w:val="00A24AE5"/>
    <w:rsid w:val="00A27AD2"/>
    <w:rsid w:val="00A31BBD"/>
    <w:rsid w:val="00A31FBE"/>
    <w:rsid w:val="00A35909"/>
    <w:rsid w:val="00A37C0E"/>
    <w:rsid w:val="00A434EB"/>
    <w:rsid w:val="00A43596"/>
    <w:rsid w:val="00A43FDD"/>
    <w:rsid w:val="00A443E0"/>
    <w:rsid w:val="00A45F8B"/>
    <w:rsid w:val="00A50EF9"/>
    <w:rsid w:val="00A51D94"/>
    <w:rsid w:val="00A64CFB"/>
    <w:rsid w:val="00A651B6"/>
    <w:rsid w:val="00A660F9"/>
    <w:rsid w:val="00A7108D"/>
    <w:rsid w:val="00A71428"/>
    <w:rsid w:val="00A71821"/>
    <w:rsid w:val="00A7425C"/>
    <w:rsid w:val="00A75AAB"/>
    <w:rsid w:val="00A77C2A"/>
    <w:rsid w:val="00A8366F"/>
    <w:rsid w:val="00A83ACD"/>
    <w:rsid w:val="00A86BC1"/>
    <w:rsid w:val="00A909F4"/>
    <w:rsid w:val="00A90FFC"/>
    <w:rsid w:val="00A93CEE"/>
    <w:rsid w:val="00A95DBF"/>
    <w:rsid w:val="00A97ECB"/>
    <w:rsid w:val="00AA77E6"/>
    <w:rsid w:val="00AB1812"/>
    <w:rsid w:val="00AB22FD"/>
    <w:rsid w:val="00AB249C"/>
    <w:rsid w:val="00AB3141"/>
    <w:rsid w:val="00AB3729"/>
    <w:rsid w:val="00AB5EF7"/>
    <w:rsid w:val="00AB609D"/>
    <w:rsid w:val="00AB66B8"/>
    <w:rsid w:val="00AC2268"/>
    <w:rsid w:val="00AC27AF"/>
    <w:rsid w:val="00AD75D8"/>
    <w:rsid w:val="00AD7CAC"/>
    <w:rsid w:val="00AD7DE4"/>
    <w:rsid w:val="00AE3D01"/>
    <w:rsid w:val="00AE4EC3"/>
    <w:rsid w:val="00AE4FC4"/>
    <w:rsid w:val="00AE5260"/>
    <w:rsid w:val="00AE5CF7"/>
    <w:rsid w:val="00AE5F5F"/>
    <w:rsid w:val="00AE67B6"/>
    <w:rsid w:val="00AF08A4"/>
    <w:rsid w:val="00AF30EF"/>
    <w:rsid w:val="00AF3442"/>
    <w:rsid w:val="00AF49A0"/>
    <w:rsid w:val="00AF5155"/>
    <w:rsid w:val="00AF5D13"/>
    <w:rsid w:val="00AF6684"/>
    <w:rsid w:val="00AF7CFA"/>
    <w:rsid w:val="00B021E1"/>
    <w:rsid w:val="00B0357E"/>
    <w:rsid w:val="00B05EB7"/>
    <w:rsid w:val="00B0641E"/>
    <w:rsid w:val="00B1435B"/>
    <w:rsid w:val="00B17226"/>
    <w:rsid w:val="00B1739F"/>
    <w:rsid w:val="00B20435"/>
    <w:rsid w:val="00B2193F"/>
    <w:rsid w:val="00B231DB"/>
    <w:rsid w:val="00B31CAD"/>
    <w:rsid w:val="00B333E0"/>
    <w:rsid w:val="00B34169"/>
    <w:rsid w:val="00B40DB4"/>
    <w:rsid w:val="00B43529"/>
    <w:rsid w:val="00B441A3"/>
    <w:rsid w:val="00B45828"/>
    <w:rsid w:val="00B4788F"/>
    <w:rsid w:val="00B51807"/>
    <w:rsid w:val="00B51D11"/>
    <w:rsid w:val="00B52304"/>
    <w:rsid w:val="00B537AA"/>
    <w:rsid w:val="00B54BEC"/>
    <w:rsid w:val="00B557BC"/>
    <w:rsid w:val="00B568D1"/>
    <w:rsid w:val="00B56F9E"/>
    <w:rsid w:val="00B57390"/>
    <w:rsid w:val="00B6040F"/>
    <w:rsid w:val="00B60D18"/>
    <w:rsid w:val="00B61DFF"/>
    <w:rsid w:val="00B620D6"/>
    <w:rsid w:val="00B70AB4"/>
    <w:rsid w:val="00B7681D"/>
    <w:rsid w:val="00B770F9"/>
    <w:rsid w:val="00B80053"/>
    <w:rsid w:val="00B803AD"/>
    <w:rsid w:val="00B82CF7"/>
    <w:rsid w:val="00B82E6C"/>
    <w:rsid w:val="00B83E5B"/>
    <w:rsid w:val="00B840FF"/>
    <w:rsid w:val="00B850F5"/>
    <w:rsid w:val="00B85D28"/>
    <w:rsid w:val="00B923D8"/>
    <w:rsid w:val="00B924CB"/>
    <w:rsid w:val="00B951E6"/>
    <w:rsid w:val="00BA0BF9"/>
    <w:rsid w:val="00BA1742"/>
    <w:rsid w:val="00BA19B2"/>
    <w:rsid w:val="00BA6A1E"/>
    <w:rsid w:val="00BA779B"/>
    <w:rsid w:val="00BB0205"/>
    <w:rsid w:val="00BB14E3"/>
    <w:rsid w:val="00BB19A6"/>
    <w:rsid w:val="00BB2113"/>
    <w:rsid w:val="00BB4474"/>
    <w:rsid w:val="00BB4F87"/>
    <w:rsid w:val="00BB6955"/>
    <w:rsid w:val="00BB7076"/>
    <w:rsid w:val="00BC257A"/>
    <w:rsid w:val="00BC31D7"/>
    <w:rsid w:val="00BC3BCD"/>
    <w:rsid w:val="00BC7BDB"/>
    <w:rsid w:val="00BD0888"/>
    <w:rsid w:val="00BD2382"/>
    <w:rsid w:val="00BD38A7"/>
    <w:rsid w:val="00BD480D"/>
    <w:rsid w:val="00BD4CB1"/>
    <w:rsid w:val="00BD5685"/>
    <w:rsid w:val="00BD58EC"/>
    <w:rsid w:val="00BD6C5E"/>
    <w:rsid w:val="00BD7122"/>
    <w:rsid w:val="00BD7A3A"/>
    <w:rsid w:val="00BE1F7A"/>
    <w:rsid w:val="00BF1F32"/>
    <w:rsid w:val="00BF208A"/>
    <w:rsid w:val="00BF5015"/>
    <w:rsid w:val="00BF772F"/>
    <w:rsid w:val="00BF7CA8"/>
    <w:rsid w:val="00C000E6"/>
    <w:rsid w:val="00C070F9"/>
    <w:rsid w:val="00C10392"/>
    <w:rsid w:val="00C10A53"/>
    <w:rsid w:val="00C11B1A"/>
    <w:rsid w:val="00C13846"/>
    <w:rsid w:val="00C1558A"/>
    <w:rsid w:val="00C16E65"/>
    <w:rsid w:val="00C2730A"/>
    <w:rsid w:val="00C409F2"/>
    <w:rsid w:val="00C40EFF"/>
    <w:rsid w:val="00C426BD"/>
    <w:rsid w:val="00C50F27"/>
    <w:rsid w:val="00C51AC0"/>
    <w:rsid w:val="00C561A1"/>
    <w:rsid w:val="00C57185"/>
    <w:rsid w:val="00C576DE"/>
    <w:rsid w:val="00C60374"/>
    <w:rsid w:val="00C605F6"/>
    <w:rsid w:val="00C61701"/>
    <w:rsid w:val="00C64614"/>
    <w:rsid w:val="00C65590"/>
    <w:rsid w:val="00C65F10"/>
    <w:rsid w:val="00C74CE6"/>
    <w:rsid w:val="00C750F1"/>
    <w:rsid w:val="00C75D0D"/>
    <w:rsid w:val="00C77592"/>
    <w:rsid w:val="00C775F0"/>
    <w:rsid w:val="00C77D07"/>
    <w:rsid w:val="00C8459E"/>
    <w:rsid w:val="00C919FF"/>
    <w:rsid w:val="00C9312C"/>
    <w:rsid w:val="00C94A4B"/>
    <w:rsid w:val="00C97B27"/>
    <w:rsid w:val="00CA54D2"/>
    <w:rsid w:val="00CB2000"/>
    <w:rsid w:val="00CB621C"/>
    <w:rsid w:val="00CC02F2"/>
    <w:rsid w:val="00CC13CF"/>
    <w:rsid w:val="00CC2DBD"/>
    <w:rsid w:val="00CC3A27"/>
    <w:rsid w:val="00CC69FA"/>
    <w:rsid w:val="00CC6B34"/>
    <w:rsid w:val="00CC7127"/>
    <w:rsid w:val="00CC795F"/>
    <w:rsid w:val="00CD09B4"/>
    <w:rsid w:val="00CD4C07"/>
    <w:rsid w:val="00CD6EE8"/>
    <w:rsid w:val="00CD7773"/>
    <w:rsid w:val="00CD7A43"/>
    <w:rsid w:val="00CE3D26"/>
    <w:rsid w:val="00CE5309"/>
    <w:rsid w:val="00CE691B"/>
    <w:rsid w:val="00CE78B9"/>
    <w:rsid w:val="00CF48A1"/>
    <w:rsid w:val="00CF5529"/>
    <w:rsid w:val="00CF5CD9"/>
    <w:rsid w:val="00CF67F1"/>
    <w:rsid w:val="00CF6D26"/>
    <w:rsid w:val="00D004DE"/>
    <w:rsid w:val="00D01E73"/>
    <w:rsid w:val="00D030F7"/>
    <w:rsid w:val="00D0314D"/>
    <w:rsid w:val="00D05F0E"/>
    <w:rsid w:val="00D10EE0"/>
    <w:rsid w:val="00D13DA8"/>
    <w:rsid w:val="00D14A14"/>
    <w:rsid w:val="00D17B36"/>
    <w:rsid w:val="00D2665C"/>
    <w:rsid w:val="00D267E9"/>
    <w:rsid w:val="00D309D8"/>
    <w:rsid w:val="00D31A22"/>
    <w:rsid w:val="00D32CD6"/>
    <w:rsid w:val="00D33E6D"/>
    <w:rsid w:val="00D355AF"/>
    <w:rsid w:val="00D35CB6"/>
    <w:rsid w:val="00D369CA"/>
    <w:rsid w:val="00D37F12"/>
    <w:rsid w:val="00D4185E"/>
    <w:rsid w:val="00D41F1D"/>
    <w:rsid w:val="00D424F4"/>
    <w:rsid w:val="00D50E3E"/>
    <w:rsid w:val="00D61E00"/>
    <w:rsid w:val="00D70B9C"/>
    <w:rsid w:val="00D71AF2"/>
    <w:rsid w:val="00D72BA7"/>
    <w:rsid w:val="00D73671"/>
    <w:rsid w:val="00D74914"/>
    <w:rsid w:val="00D76110"/>
    <w:rsid w:val="00D765FC"/>
    <w:rsid w:val="00D8264B"/>
    <w:rsid w:val="00D865E9"/>
    <w:rsid w:val="00D9028D"/>
    <w:rsid w:val="00D91F21"/>
    <w:rsid w:val="00D935CD"/>
    <w:rsid w:val="00D93AA8"/>
    <w:rsid w:val="00D94273"/>
    <w:rsid w:val="00D944A0"/>
    <w:rsid w:val="00D946E9"/>
    <w:rsid w:val="00DA5106"/>
    <w:rsid w:val="00DA7EB6"/>
    <w:rsid w:val="00DB01EA"/>
    <w:rsid w:val="00DB033A"/>
    <w:rsid w:val="00DB1008"/>
    <w:rsid w:val="00DB2502"/>
    <w:rsid w:val="00DB45CC"/>
    <w:rsid w:val="00DB7E41"/>
    <w:rsid w:val="00DC06AC"/>
    <w:rsid w:val="00DC1BF6"/>
    <w:rsid w:val="00DC22E7"/>
    <w:rsid w:val="00DC2FDC"/>
    <w:rsid w:val="00DC3A4D"/>
    <w:rsid w:val="00DC4FA6"/>
    <w:rsid w:val="00DC500F"/>
    <w:rsid w:val="00DC73A0"/>
    <w:rsid w:val="00DC76AE"/>
    <w:rsid w:val="00DD230C"/>
    <w:rsid w:val="00DD2358"/>
    <w:rsid w:val="00DE0C34"/>
    <w:rsid w:val="00DE2DF3"/>
    <w:rsid w:val="00DE39D8"/>
    <w:rsid w:val="00DE3B31"/>
    <w:rsid w:val="00DE7014"/>
    <w:rsid w:val="00DF1BDE"/>
    <w:rsid w:val="00DF52FA"/>
    <w:rsid w:val="00DF55DC"/>
    <w:rsid w:val="00DF6C28"/>
    <w:rsid w:val="00E00B48"/>
    <w:rsid w:val="00E030EE"/>
    <w:rsid w:val="00E07CC4"/>
    <w:rsid w:val="00E108C3"/>
    <w:rsid w:val="00E11F03"/>
    <w:rsid w:val="00E120B9"/>
    <w:rsid w:val="00E13758"/>
    <w:rsid w:val="00E148F3"/>
    <w:rsid w:val="00E151DA"/>
    <w:rsid w:val="00E15382"/>
    <w:rsid w:val="00E16289"/>
    <w:rsid w:val="00E20944"/>
    <w:rsid w:val="00E23666"/>
    <w:rsid w:val="00E238A2"/>
    <w:rsid w:val="00E246FA"/>
    <w:rsid w:val="00E3243B"/>
    <w:rsid w:val="00E335D8"/>
    <w:rsid w:val="00E33707"/>
    <w:rsid w:val="00E34005"/>
    <w:rsid w:val="00E413AB"/>
    <w:rsid w:val="00E42744"/>
    <w:rsid w:val="00E42AB8"/>
    <w:rsid w:val="00E43274"/>
    <w:rsid w:val="00E434CC"/>
    <w:rsid w:val="00E4665E"/>
    <w:rsid w:val="00E47E75"/>
    <w:rsid w:val="00E51AF3"/>
    <w:rsid w:val="00E53F38"/>
    <w:rsid w:val="00E561C6"/>
    <w:rsid w:val="00E64E71"/>
    <w:rsid w:val="00E715B1"/>
    <w:rsid w:val="00E73E35"/>
    <w:rsid w:val="00E75175"/>
    <w:rsid w:val="00E77124"/>
    <w:rsid w:val="00E807BA"/>
    <w:rsid w:val="00E80F7E"/>
    <w:rsid w:val="00E8164C"/>
    <w:rsid w:val="00E82B5F"/>
    <w:rsid w:val="00E83F3E"/>
    <w:rsid w:val="00E84812"/>
    <w:rsid w:val="00E84FB1"/>
    <w:rsid w:val="00E90D94"/>
    <w:rsid w:val="00E90E76"/>
    <w:rsid w:val="00E919D6"/>
    <w:rsid w:val="00E95194"/>
    <w:rsid w:val="00E96F65"/>
    <w:rsid w:val="00EA5BBB"/>
    <w:rsid w:val="00EB10A7"/>
    <w:rsid w:val="00EB2328"/>
    <w:rsid w:val="00EB48A2"/>
    <w:rsid w:val="00EB52C5"/>
    <w:rsid w:val="00EB6DE7"/>
    <w:rsid w:val="00EB71F5"/>
    <w:rsid w:val="00EC5443"/>
    <w:rsid w:val="00ED4442"/>
    <w:rsid w:val="00ED694A"/>
    <w:rsid w:val="00ED76D9"/>
    <w:rsid w:val="00EE3343"/>
    <w:rsid w:val="00EE6FD6"/>
    <w:rsid w:val="00EF3E61"/>
    <w:rsid w:val="00F01740"/>
    <w:rsid w:val="00F060A4"/>
    <w:rsid w:val="00F06124"/>
    <w:rsid w:val="00F06B85"/>
    <w:rsid w:val="00F07523"/>
    <w:rsid w:val="00F132D8"/>
    <w:rsid w:val="00F16B10"/>
    <w:rsid w:val="00F231AB"/>
    <w:rsid w:val="00F24BB1"/>
    <w:rsid w:val="00F304EE"/>
    <w:rsid w:val="00F31887"/>
    <w:rsid w:val="00F35671"/>
    <w:rsid w:val="00F366DA"/>
    <w:rsid w:val="00F400C4"/>
    <w:rsid w:val="00F40A43"/>
    <w:rsid w:val="00F40F15"/>
    <w:rsid w:val="00F41E90"/>
    <w:rsid w:val="00F4710F"/>
    <w:rsid w:val="00F505B2"/>
    <w:rsid w:val="00F53A81"/>
    <w:rsid w:val="00F57D8D"/>
    <w:rsid w:val="00F60E88"/>
    <w:rsid w:val="00F617B7"/>
    <w:rsid w:val="00F62DA5"/>
    <w:rsid w:val="00F66FF9"/>
    <w:rsid w:val="00F71D04"/>
    <w:rsid w:val="00F73B29"/>
    <w:rsid w:val="00F757F6"/>
    <w:rsid w:val="00F81BBD"/>
    <w:rsid w:val="00F823B7"/>
    <w:rsid w:val="00F82B69"/>
    <w:rsid w:val="00F86321"/>
    <w:rsid w:val="00F90437"/>
    <w:rsid w:val="00F907D3"/>
    <w:rsid w:val="00F91188"/>
    <w:rsid w:val="00F91F82"/>
    <w:rsid w:val="00F9546C"/>
    <w:rsid w:val="00F96CF9"/>
    <w:rsid w:val="00F97B72"/>
    <w:rsid w:val="00FA10A8"/>
    <w:rsid w:val="00FA1427"/>
    <w:rsid w:val="00FA1D37"/>
    <w:rsid w:val="00FA45BA"/>
    <w:rsid w:val="00FA4B03"/>
    <w:rsid w:val="00FA5296"/>
    <w:rsid w:val="00FB1F93"/>
    <w:rsid w:val="00FB48DF"/>
    <w:rsid w:val="00FB5972"/>
    <w:rsid w:val="00FB632F"/>
    <w:rsid w:val="00FC017E"/>
    <w:rsid w:val="00FC07D0"/>
    <w:rsid w:val="00FC3061"/>
    <w:rsid w:val="00FC3BAF"/>
    <w:rsid w:val="00FC5824"/>
    <w:rsid w:val="00FC5D22"/>
    <w:rsid w:val="00FD01BA"/>
    <w:rsid w:val="00FD0CA5"/>
    <w:rsid w:val="00FD4012"/>
    <w:rsid w:val="00FD5722"/>
    <w:rsid w:val="00FD5E93"/>
    <w:rsid w:val="00FE20F3"/>
    <w:rsid w:val="00FE26A6"/>
    <w:rsid w:val="00FE3CA8"/>
    <w:rsid w:val="00FE435F"/>
    <w:rsid w:val="00FE4D45"/>
    <w:rsid w:val="00FF26D9"/>
    <w:rsid w:val="00FF4672"/>
    <w:rsid w:val="00FF4F25"/>
    <w:rsid w:val="00FF5079"/>
    <w:rsid w:val="00FF5A2A"/>
    <w:rsid w:val="00FF6B57"/>
    <w:rsid w:val="01192C1F"/>
    <w:rsid w:val="012512D3"/>
    <w:rsid w:val="013D07FD"/>
    <w:rsid w:val="01530DB1"/>
    <w:rsid w:val="016F4DFC"/>
    <w:rsid w:val="01762FEF"/>
    <w:rsid w:val="017D4F5C"/>
    <w:rsid w:val="01814321"/>
    <w:rsid w:val="01915121"/>
    <w:rsid w:val="01A70784"/>
    <w:rsid w:val="01AD5116"/>
    <w:rsid w:val="01B1122C"/>
    <w:rsid w:val="01BA4BEC"/>
    <w:rsid w:val="01C1663C"/>
    <w:rsid w:val="01C20BC1"/>
    <w:rsid w:val="01DE515F"/>
    <w:rsid w:val="01F07052"/>
    <w:rsid w:val="01F20359"/>
    <w:rsid w:val="02005B8D"/>
    <w:rsid w:val="02267B24"/>
    <w:rsid w:val="022C686B"/>
    <w:rsid w:val="02330841"/>
    <w:rsid w:val="023D6E0C"/>
    <w:rsid w:val="02473C4F"/>
    <w:rsid w:val="024D69E6"/>
    <w:rsid w:val="025008C3"/>
    <w:rsid w:val="02542520"/>
    <w:rsid w:val="025852B9"/>
    <w:rsid w:val="025A1A18"/>
    <w:rsid w:val="0261487E"/>
    <w:rsid w:val="027C3676"/>
    <w:rsid w:val="028D1F0F"/>
    <w:rsid w:val="028D5673"/>
    <w:rsid w:val="0290466E"/>
    <w:rsid w:val="02A22458"/>
    <w:rsid w:val="02AD1871"/>
    <w:rsid w:val="02BD75DA"/>
    <w:rsid w:val="02C0622E"/>
    <w:rsid w:val="02D50DC8"/>
    <w:rsid w:val="02DC22B9"/>
    <w:rsid w:val="02F96864"/>
    <w:rsid w:val="02FE7B76"/>
    <w:rsid w:val="03004097"/>
    <w:rsid w:val="03052FFA"/>
    <w:rsid w:val="031A67DB"/>
    <w:rsid w:val="03217B69"/>
    <w:rsid w:val="032B14FF"/>
    <w:rsid w:val="0332225D"/>
    <w:rsid w:val="034F484F"/>
    <w:rsid w:val="035466C7"/>
    <w:rsid w:val="03671F4E"/>
    <w:rsid w:val="036A2D8C"/>
    <w:rsid w:val="037D51AC"/>
    <w:rsid w:val="038E05E4"/>
    <w:rsid w:val="039667A9"/>
    <w:rsid w:val="03A8028B"/>
    <w:rsid w:val="03A964DC"/>
    <w:rsid w:val="03B60BF9"/>
    <w:rsid w:val="03CD5C52"/>
    <w:rsid w:val="03E11918"/>
    <w:rsid w:val="03F60FF6"/>
    <w:rsid w:val="04051527"/>
    <w:rsid w:val="040907D8"/>
    <w:rsid w:val="040A09C6"/>
    <w:rsid w:val="04133956"/>
    <w:rsid w:val="041557C5"/>
    <w:rsid w:val="041A1188"/>
    <w:rsid w:val="04345272"/>
    <w:rsid w:val="044B7594"/>
    <w:rsid w:val="04635CCB"/>
    <w:rsid w:val="0491458D"/>
    <w:rsid w:val="04974587"/>
    <w:rsid w:val="04A74B2B"/>
    <w:rsid w:val="04B844FD"/>
    <w:rsid w:val="04C81400"/>
    <w:rsid w:val="04C945D1"/>
    <w:rsid w:val="04D851CD"/>
    <w:rsid w:val="04E42C37"/>
    <w:rsid w:val="04F01EE9"/>
    <w:rsid w:val="04F244FC"/>
    <w:rsid w:val="04F63CC6"/>
    <w:rsid w:val="0500475A"/>
    <w:rsid w:val="052120A3"/>
    <w:rsid w:val="0528114F"/>
    <w:rsid w:val="0528540D"/>
    <w:rsid w:val="05391C88"/>
    <w:rsid w:val="05392953"/>
    <w:rsid w:val="054403CA"/>
    <w:rsid w:val="054819E3"/>
    <w:rsid w:val="054E467A"/>
    <w:rsid w:val="05701A8C"/>
    <w:rsid w:val="0572052F"/>
    <w:rsid w:val="05BE78F1"/>
    <w:rsid w:val="05C20583"/>
    <w:rsid w:val="05C96278"/>
    <w:rsid w:val="05CD3FD8"/>
    <w:rsid w:val="05DA2BF8"/>
    <w:rsid w:val="05EE213A"/>
    <w:rsid w:val="05F11A75"/>
    <w:rsid w:val="05F771D9"/>
    <w:rsid w:val="060221D7"/>
    <w:rsid w:val="060C2D53"/>
    <w:rsid w:val="061101E7"/>
    <w:rsid w:val="06151C5E"/>
    <w:rsid w:val="0619079F"/>
    <w:rsid w:val="0621750B"/>
    <w:rsid w:val="062A31D9"/>
    <w:rsid w:val="06351A12"/>
    <w:rsid w:val="064222D0"/>
    <w:rsid w:val="06594913"/>
    <w:rsid w:val="06667CE7"/>
    <w:rsid w:val="06856661"/>
    <w:rsid w:val="069A035E"/>
    <w:rsid w:val="069C62F3"/>
    <w:rsid w:val="06B01930"/>
    <w:rsid w:val="06B229ED"/>
    <w:rsid w:val="06B475DD"/>
    <w:rsid w:val="06C0509D"/>
    <w:rsid w:val="06C26280"/>
    <w:rsid w:val="06D33870"/>
    <w:rsid w:val="06FA5912"/>
    <w:rsid w:val="07235BC1"/>
    <w:rsid w:val="073C7668"/>
    <w:rsid w:val="07496E5E"/>
    <w:rsid w:val="075A486D"/>
    <w:rsid w:val="076B1CFB"/>
    <w:rsid w:val="078B414B"/>
    <w:rsid w:val="078F745F"/>
    <w:rsid w:val="078F7797"/>
    <w:rsid w:val="07AA637F"/>
    <w:rsid w:val="07AD1B86"/>
    <w:rsid w:val="07C40663"/>
    <w:rsid w:val="07D478A0"/>
    <w:rsid w:val="07ED2710"/>
    <w:rsid w:val="0822685D"/>
    <w:rsid w:val="082C4661"/>
    <w:rsid w:val="082C53E2"/>
    <w:rsid w:val="082C5D12"/>
    <w:rsid w:val="0858402D"/>
    <w:rsid w:val="0865499C"/>
    <w:rsid w:val="08696BBC"/>
    <w:rsid w:val="086E0E08"/>
    <w:rsid w:val="08766B26"/>
    <w:rsid w:val="087F3A44"/>
    <w:rsid w:val="087F5A5E"/>
    <w:rsid w:val="089B216C"/>
    <w:rsid w:val="08A76D63"/>
    <w:rsid w:val="08B84ACC"/>
    <w:rsid w:val="08D4742C"/>
    <w:rsid w:val="08D675F3"/>
    <w:rsid w:val="08E51639"/>
    <w:rsid w:val="090C3CBC"/>
    <w:rsid w:val="090F179C"/>
    <w:rsid w:val="09133E52"/>
    <w:rsid w:val="092A0515"/>
    <w:rsid w:val="092F6B4F"/>
    <w:rsid w:val="093908E1"/>
    <w:rsid w:val="094F740A"/>
    <w:rsid w:val="0954671F"/>
    <w:rsid w:val="09585107"/>
    <w:rsid w:val="095962AF"/>
    <w:rsid w:val="095F75F3"/>
    <w:rsid w:val="0963773B"/>
    <w:rsid w:val="09646A02"/>
    <w:rsid w:val="096A04BC"/>
    <w:rsid w:val="097F383C"/>
    <w:rsid w:val="097F667B"/>
    <w:rsid w:val="09A339CE"/>
    <w:rsid w:val="09BA5C05"/>
    <w:rsid w:val="09BC2E07"/>
    <w:rsid w:val="09CB5F78"/>
    <w:rsid w:val="09D21BBD"/>
    <w:rsid w:val="09F36A03"/>
    <w:rsid w:val="09FB167F"/>
    <w:rsid w:val="09FF5B70"/>
    <w:rsid w:val="0A0425CB"/>
    <w:rsid w:val="0A104E7E"/>
    <w:rsid w:val="0A1D7EA8"/>
    <w:rsid w:val="0A1E09C8"/>
    <w:rsid w:val="0A2368BD"/>
    <w:rsid w:val="0A2D5046"/>
    <w:rsid w:val="0A2E0C9A"/>
    <w:rsid w:val="0A3208AE"/>
    <w:rsid w:val="0A326796"/>
    <w:rsid w:val="0A366DD5"/>
    <w:rsid w:val="0A4960FA"/>
    <w:rsid w:val="0A6122B5"/>
    <w:rsid w:val="0A6273E5"/>
    <w:rsid w:val="0A646030"/>
    <w:rsid w:val="0A7172CB"/>
    <w:rsid w:val="0A7B65BF"/>
    <w:rsid w:val="0A8074DF"/>
    <w:rsid w:val="0A8A06EA"/>
    <w:rsid w:val="0AC55BFD"/>
    <w:rsid w:val="0ADE1C11"/>
    <w:rsid w:val="0AE058BA"/>
    <w:rsid w:val="0AE55920"/>
    <w:rsid w:val="0B160E71"/>
    <w:rsid w:val="0B1B33AC"/>
    <w:rsid w:val="0B2810AF"/>
    <w:rsid w:val="0B2A54DC"/>
    <w:rsid w:val="0B3A11AD"/>
    <w:rsid w:val="0B5036E2"/>
    <w:rsid w:val="0B550CF8"/>
    <w:rsid w:val="0B872450"/>
    <w:rsid w:val="0B882E7B"/>
    <w:rsid w:val="0B8960E6"/>
    <w:rsid w:val="0BA00F76"/>
    <w:rsid w:val="0BBE064B"/>
    <w:rsid w:val="0BC36B2C"/>
    <w:rsid w:val="0BDE0CED"/>
    <w:rsid w:val="0BFC1173"/>
    <w:rsid w:val="0BFF2A12"/>
    <w:rsid w:val="0C0D27A6"/>
    <w:rsid w:val="0C124BD4"/>
    <w:rsid w:val="0C147EDD"/>
    <w:rsid w:val="0C1B3EE0"/>
    <w:rsid w:val="0C1F4E62"/>
    <w:rsid w:val="0C281F69"/>
    <w:rsid w:val="0C331D01"/>
    <w:rsid w:val="0C3A6811"/>
    <w:rsid w:val="0C4B5C57"/>
    <w:rsid w:val="0C5A3BCF"/>
    <w:rsid w:val="0C807E08"/>
    <w:rsid w:val="0CAE4AE6"/>
    <w:rsid w:val="0CC1217F"/>
    <w:rsid w:val="0CC25D58"/>
    <w:rsid w:val="0CD947BD"/>
    <w:rsid w:val="0CE9794A"/>
    <w:rsid w:val="0D03755D"/>
    <w:rsid w:val="0D103128"/>
    <w:rsid w:val="0D253FA6"/>
    <w:rsid w:val="0D3861DB"/>
    <w:rsid w:val="0D6E60A1"/>
    <w:rsid w:val="0D933D59"/>
    <w:rsid w:val="0D9F625A"/>
    <w:rsid w:val="0DA8355D"/>
    <w:rsid w:val="0DAD1945"/>
    <w:rsid w:val="0DB25F8E"/>
    <w:rsid w:val="0DBF5AD4"/>
    <w:rsid w:val="0DD50542"/>
    <w:rsid w:val="0DE63E89"/>
    <w:rsid w:val="0DED4A0A"/>
    <w:rsid w:val="0DED5218"/>
    <w:rsid w:val="0DF829D1"/>
    <w:rsid w:val="0DFA7935"/>
    <w:rsid w:val="0E1924B1"/>
    <w:rsid w:val="0E1B3BE1"/>
    <w:rsid w:val="0E1D6E6E"/>
    <w:rsid w:val="0E2D7C4F"/>
    <w:rsid w:val="0E3B2427"/>
    <w:rsid w:val="0E552D44"/>
    <w:rsid w:val="0E703245"/>
    <w:rsid w:val="0E705384"/>
    <w:rsid w:val="0E7925FC"/>
    <w:rsid w:val="0E7B2823"/>
    <w:rsid w:val="0E83347D"/>
    <w:rsid w:val="0E8C75A6"/>
    <w:rsid w:val="0E9B6DFB"/>
    <w:rsid w:val="0EB16D81"/>
    <w:rsid w:val="0ECC307F"/>
    <w:rsid w:val="0ECD1ACC"/>
    <w:rsid w:val="0EDD34DE"/>
    <w:rsid w:val="0EED1BA5"/>
    <w:rsid w:val="0EFD1F31"/>
    <w:rsid w:val="0F0B470E"/>
    <w:rsid w:val="0F180250"/>
    <w:rsid w:val="0F1F0848"/>
    <w:rsid w:val="0F2248DE"/>
    <w:rsid w:val="0F422736"/>
    <w:rsid w:val="0F49233A"/>
    <w:rsid w:val="0F4F11FB"/>
    <w:rsid w:val="0F557518"/>
    <w:rsid w:val="0F6C5013"/>
    <w:rsid w:val="0F850443"/>
    <w:rsid w:val="0F8631A6"/>
    <w:rsid w:val="0F8C7E87"/>
    <w:rsid w:val="0F917E25"/>
    <w:rsid w:val="0FA5389F"/>
    <w:rsid w:val="0FAB538A"/>
    <w:rsid w:val="0FC41113"/>
    <w:rsid w:val="0FC91D60"/>
    <w:rsid w:val="0FDD306A"/>
    <w:rsid w:val="0FE30B60"/>
    <w:rsid w:val="10173A8A"/>
    <w:rsid w:val="102E38C6"/>
    <w:rsid w:val="103D28E8"/>
    <w:rsid w:val="10404DBC"/>
    <w:rsid w:val="10427ABF"/>
    <w:rsid w:val="10437371"/>
    <w:rsid w:val="104C66C7"/>
    <w:rsid w:val="104F6A24"/>
    <w:rsid w:val="1051066C"/>
    <w:rsid w:val="10815363"/>
    <w:rsid w:val="10857989"/>
    <w:rsid w:val="108C6F6A"/>
    <w:rsid w:val="109343B1"/>
    <w:rsid w:val="10A4534B"/>
    <w:rsid w:val="10A83678"/>
    <w:rsid w:val="10B63824"/>
    <w:rsid w:val="10C32E7F"/>
    <w:rsid w:val="10C65306"/>
    <w:rsid w:val="10D516B4"/>
    <w:rsid w:val="10DA215C"/>
    <w:rsid w:val="11001706"/>
    <w:rsid w:val="110A4333"/>
    <w:rsid w:val="112A22DF"/>
    <w:rsid w:val="113E3FDC"/>
    <w:rsid w:val="115A0E16"/>
    <w:rsid w:val="11617F80"/>
    <w:rsid w:val="117E4386"/>
    <w:rsid w:val="11822185"/>
    <w:rsid w:val="11932737"/>
    <w:rsid w:val="1198193E"/>
    <w:rsid w:val="119D2C66"/>
    <w:rsid w:val="11A344F4"/>
    <w:rsid w:val="11A61F3E"/>
    <w:rsid w:val="11A958FA"/>
    <w:rsid w:val="11AB2CB4"/>
    <w:rsid w:val="11B147AE"/>
    <w:rsid w:val="11BF0A62"/>
    <w:rsid w:val="11C05B98"/>
    <w:rsid w:val="11D87F8D"/>
    <w:rsid w:val="11EB7121"/>
    <w:rsid w:val="11ED3066"/>
    <w:rsid w:val="11F12DFD"/>
    <w:rsid w:val="120A2584"/>
    <w:rsid w:val="120D07A0"/>
    <w:rsid w:val="1211742A"/>
    <w:rsid w:val="12176D07"/>
    <w:rsid w:val="121E62E8"/>
    <w:rsid w:val="121F1224"/>
    <w:rsid w:val="12303925"/>
    <w:rsid w:val="123E21E9"/>
    <w:rsid w:val="12411FD6"/>
    <w:rsid w:val="124D097B"/>
    <w:rsid w:val="127C300E"/>
    <w:rsid w:val="12850115"/>
    <w:rsid w:val="12BF4950"/>
    <w:rsid w:val="12C916D2"/>
    <w:rsid w:val="12CB3EE4"/>
    <w:rsid w:val="12E24589"/>
    <w:rsid w:val="12E76E1F"/>
    <w:rsid w:val="12F62DC0"/>
    <w:rsid w:val="12F8246D"/>
    <w:rsid w:val="131D034D"/>
    <w:rsid w:val="13280AA0"/>
    <w:rsid w:val="132C0590"/>
    <w:rsid w:val="13467A5D"/>
    <w:rsid w:val="1374267F"/>
    <w:rsid w:val="137837D5"/>
    <w:rsid w:val="138C7281"/>
    <w:rsid w:val="139145D3"/>
    <w:rsid w:val="13C7650B"/>
    <w:rsid w:val="13D03611"/>
    <w:rsid w:val="13FC3EA6"/>
    <w:rsid w:val="14241C75"/>
    <w:rsid w:val="14294AD0"/>
    <w:rsid w:val="142B4CEC"/>
    <w:rsid w:val="142D71FA"/>
    <w:rsid w:val="1442132A"/>
    <w:rsid w:val="14423DE3"/>
    <w:rsid w:val="144C07BE"/>
    <w:rsid w:val="147A0B6B"/>
    <w:rsid w:val="147C5547"/>
    <w:rsid w:val="14A84152"/>
    <w:rsid w:val="14A95C11"/>
    <w:rsid w:val="14F43330"/>
    <w:rsid w:val="150E365C"/>
    <w:rsid w:val="15106AFE"/>
    <w:rsid w:val="1528321D"/>
    <w:rsid w:val="152F25BA"/>
    <w:rsid w:val="153C0833"/>
    <w:rsid w:val="15400323"/>
    <w:rsid w:val="154F46F6"/>
    <w:rsid w:val="155E69FB"/>
    <w:rsid w:val="15600842"/>
    <w:rsid w:val="15695ACC"/>
    <w:rsid w:val="15820E0E"/>
    <w:rsid w:val="158741A4"/>
    <w:rsid w:val="15894CE1"/>
    <w:rsid w:val="159D39C7"/>
    <w:rsid w:val="159D7523"/>
    <w:rsid w:val="159E329B"/>
    <w:rsid w:val="15A5462A"/>
    <w:rsid w:val="15A81CEE"/>
    <w:rsid w:val="15AD3681"/>
    <w:rsid w:val="15B10424"/>
    <w:rsid w:val="15BB3E4D"/>
    <w:rsid w:val="15C54CCC"/>
    <w:rsid w:val="15C70A5D"/>
    <w:rsid w:val="15CA21A7"/>
    <w:rsid w:val="15DF3AD4"/>
    <w:rsid w:val="15EE6D85"/>
    <w:rsid w:val="15FE0301"/>
    <w:rsid w:val="16201D85"/>
    <w:rsid w:val="16273761"/>
    <w:rsid w:val="162F1435"/>
    <w:rsid w:val="163235A8"/>
    <w:rsid w:val="164F4719"/>
    <w:rsid w:val="168E2C00"/>
    <w:rsid w:val="169923E1"/>
    <w:rsid w:val="169C5A2D"/>
    <w:rsid w:val="16A03423"/>
    <w:rsid w:val="16A1213B"/>
    <w:rsid w:val="16BC1C2B"/>
    <w:rsid w:val="16CD0125"/>
    <w:rsid w:val="16D51C04"/>
    <w:rsid w:val="16F413C5"/>
    <w:rsid w:val="16F72C63"/>
    <w:rsid w:val="170610F8"/>
    <w:rsid w:val="170B2BB3"/>
    <w:rsid w:val="170D2487"/>
    <w:rsid w:val="171B2DF6"/>
    <w:rsid w:val="17282527"/>
    <w:rsid w:val="17375756"/>
    <w:rsid w:val="174574C8"/>
    <w:rsid w:val="175B58E8"/>
    <w:rsid w:val="17827D52"/>
    <w:rsid w:val="17887D5F"/>
    <w:rsid w:val="17982458"/>
    <w:rsid w:val="17A1730C"/>
    <w:rsid w:val="17BD20FF"/>
    <w:rsid w:val="17CC0594"/>
    <w:rsid w:val="17D80CE7"/>
    <w:rsid w:val="17DB2585"/>
    <w:rsid w:val="17E20185"/>
    <w:rsid w:val="17F75978"/>
    <w:rsid w:val="181A2A65"/>
    <w:rsid w:val="182074FE"/>
    <w:rsid w:val="18230D81"/>
    <w:rsid w:val="182A2232"/>
    <w:rsid w:val="182E271A"/>
    <w:rsid w:val="183028D1"/>
    <w:rsid w:val="183443CE"/>
    <w:rsid w:val="1845062E"/>
    <w:rsid w:val="184D08FD"/>
    <w:rsid w:val="18512847"/>
    <w:rsid w:val="18547147"/>
    <w:rsid w:val="18697B91"/>
    <w:rsid w:val="186C142F"/>
    <w:rsid w:val="1885587F"/>
    <w:rsid w:val="18860743"/>
    <w:rsid w:val="188A6953"/>
    <w:rsid w:val="189317B2"/>
    <w:rsid w:val="18954E2A"/>
    <w:rsid w:val="189D0617"/>
    <w:rsid w:val="18A256A4"/>
    <w:rsid w:val="18A26C8A"/>
    <w:rsid w:val="18BD6DA2"/>
    <w:rsid w:val="18C474BD"/>
    <w:rsid w:val="18D05A08"/>
    <w:rsid w:val="18D94D16"/>
    <w:rsid w:val="18DF60A5"/>
    <w:rsid w:val="19045B0B"/>
    <w:rsid w:val="190B0C48"/>
    <w:rsid w:val="19232435"/>
    <w:rsid w:val="19406B43"/>
    <w:rsid w:val="19413031"/>
    <w:rsid w:val="1941466A"/>
    <w:rsid w:val="194D5EDB"/>
    <w:rsid w:val="195C14A3"/>
    <w:rsid w:val="195D69B2"/>
    <w:rsid w:val="196F567B"/>
    <w:rsid w:val="197467ED"/>
    <w:rsid w:val="19810F0A"/>
    <w:rsid w:val="19921369"/>
    <w:rsid w:val="1996690E"/>
    <w:rsid w:val="199875C8"/>
    <w:rsid w:val="19A31E0E"/>
    <w:rsid w:val="19A60C8D"/>
    <w:rsid w:val="19DE262B"/>
    <w:rsid w:val="19E219A9"/>
    <w:rsid w:val="19F74FE1"/>
    <w:rsid w:val="1A0D4817"/>
    <w:rsid w:val="1A231FC1"/>
    <w:rsid w:val="1A265977"/>
    <w:rsid w:val="1A352420"/>
    <w:rsid w:val="1A38306F"/>
    <w:rsid w:val="1A3C6BA4"/>
    <w:rsid w:val="1A4A57A0"/>
    <w:rsid w:val="1A4B4761"/>
    <w:rsid w:val="1A4F2ED4"/>
    <w:rsid w:val="1A5D1977"/>
    <w:rsid w:val="1A5F749D"/>
    <w:rsid w:val="1A9F1F36"/>
    <w:rsid w:val="1AA611AA"/>
    <w:rsid w:val="1AA76C6C"/>
    <w:rsid w:val="1AB16F34"/>
    <w:rsid w:val="1AB95DF4"/>
    <w:rsid w:val="1ABC044C"/>
    <w:rsid w:val="1AC572D9"/>
    <w:rsid w:val="1AED4851"/>
    <w:rsid w:val="1AF56AA1"/>
    <w:rsid w:val="1B0907BB"/>
    <w:rsid w:val="1B0F349B"/>
    <w:rsid w:val="1B154000"/>
    <w:rsid w:val="1B1738D4"/>
    <w:rsid w:val="1B1B26AB"/>
    <w:rsid w:val="1B354E03"/>
    <w:rsid w:val="1B386DDF"/>
    <w:rsid w:val="1B495A57"/>
    <w:rsid w:val="1B6034CD"/>
    <w:rsid w:val="1B65425E"/>
    <w:rsid w:val="1B6E4850"/>
    <w:rsid w:val="1B6F1D9D"/>
    <w:rsid w:val="1B7156DA"/>
    <w:rsid w:val="1B7A3E63"/>
    <w:rsid w:val="1B8F5B60"/>
    <w:rsid w:val="1B903686"/>
    <w:rsid w:val="1BA20FF4"/>
    <w:rsid w:val="1BA3785E"/>
    <w:rsid w:val="1BAE1E2C"/>
    <w:rsid w:val="1BBB6955"/>
    <w:rsid w:val="1BD73445"/>
    <w:rsid w:val="1BE51C24"/>
    <w:rsid w:val="1BE539D2"/>
    <w:rsid w:val="1BE96F5D"/>
    <w:rsid w:val="1BF6798D"/>
    <w:rsid w:val="1BFA6E7C"/>
    <w:rsid w:val="1C3941F5"/>
    <w:rsid w:val="1C422BD3"/>
    <w:rsid w:val="1C4E2245"/>
    <w:rsid w:val="1C4F6B41"/>
    <w:rsid w:val="1C5E491A"/>
    <w:rsid w:val="1C674097"/>
    <w:rsid w:val="1C690B79"/>
    <w:rsid w:val="1C6C7C4F"/>
    <w:rsid w:val="1C6D6078"/>
    <w:rsid w:val="1C725125"/>
    <w:rsid w:val="1C7A236C"/>
    <w:rsid w:val="1C7C1765"/>
    <w:rsid w:val="1C8036FB"/>
    <w:rsid w:val="1C8370AD"/>
    <w:rsid w:val="1C84143D"/>
    <w:rsid w:val="1C8C0689"/>
    <w:rsid w:val="1CAF7EA0"/>
    <w:rsid w:val="1CC37A9E"/>
    <w:rsid w:val="1CCF6EED"/>
    <w:rsid w:val="1CD35F20"/>
    <w:rsid w:val="1CD37CCF"/>
    <w:rsid w:val="1CF71831"/>
    <w:rsid w:val="1D12312E"/>
    <w:rsid w:val="1D152095"/>
    <w:rsid w:val="1D232A04"/>
    <w:rsid w:val="1D266050"/>
    <w:rsid w:val="1D2718BF"/>
    <w:rsid w:val="1D4639A7"/>
    <w:rsid w:val="1D486620"/>
    <w:rsid w:val="1D506E5A"/>
    <w:rsid w:val="1D5303E2"/>
    <w:rsid w:val="1D603C55"/>
    <w:rsid w:val="1D660B43"/>
    <w:rsid w:val="1D682B0D"/>
    <w:rsid w:val="1D7E119A"/>
    <w:rsid w:val="1D85068A"/>
    <w:rsid w:val="1D954F84"/>
    <w:rsid w:val="1DA67207"/>
    <w:rsid w:val="1DBC5621"/>
    <w:rsid w:val="1DCC4BAB"/>
    <w:rsid w:val="1E0433AB"/>
    <w:rsid w:val="1E0E0B6D"/>
    <w:rsid w:val="1E1B7B7F"/>
    <w:rsid w:val="1E253DA2"/>
    <w:rsid w:val="1E256308"/>
    <w:rsid w:val="1E4F5D41"/>
    <w:rsid w:val="1E6A1FB9"/>
    <w:rsid w:val="1E6D0ADF"/>
    <w:rsid w:val="1E7B36DC"/>
    <w:rsid w:val="1E7E1EBC"/>
    <w:rsid w:val="1E8A0861"/>
    <w:rsid w:val="1E953296"/>
    <w:rsid w:val="1EA71413"/>
    <w:rsid w:val="1EA879FC"/>
    <w:rsid w:val="1EAA1653"/>
    <w:rsid w:val="1EBA2EF4"/>
    <w:rsid w:val="1EC04283"/>
    <w:rsid w:val="1ED61661"/>
    <w:rsid w:val="1EEA0A17"/>
    <w:rsid w:val="1EEF1F39"/>
    <w:rsid w:val="1EF461A7"/>
    <w:rsid w:val="1F0028D1"/>
    <w:rsid w:val="1F0A0BCE"/>
    <w:rsid w:val="1F213A59"/>
    <w:rsid w:val="1F225822"/>
    <w:rsid w:val="1F2D1B52"/>
    <w:rsid w:val="1F3C5FFF"/>
    <w:rsid w:val="1F616C95"/>
    <w:rsid w:val="1F6410B2"/>
    <w:rsid w:val="1F707A57"/>
    <w:rsid w:val="1F7C1719"/>
    <w:rsid w:val="1F87673F"/>
    <w:rsid w:val="1F895DC3"/>
    <w:rsid w:val="1F8A4FBC"/>
    <w:rsid w:val="1F8F7C7E"/>
    <w:rsid w:val="1F9B337F"/>
    <w:rsid w:val="1FAE4B20"/>
    <w:rsid w:val="1FAF67D1"/>
    <w:rsid w:val="1FC471C2"/>
    <w:rsid w:val="1FC60089"/>
    <w:rsid w:val="1FD95B11"/>
    <w:rsid w:val="1FF35F1E"/>
    <w:rsid w:val="1FF6169F"/>
    <w:rsid w:val="1FFE32B4"/>
    <w:rsid w:val="20024B63"/>
    <w:rsid w:val="20040591"/>
    <w:rsid w:val="201C7BDE"/>
    <w:rsid w:val="201D3689"/>
    <w:rsid w:val="202A177C"/>
    <w:rsid w:val="202C6073"/>
    <w:rsid w:val="203171E6"/>
    <w:rsid w:val="20344F28"/>
    <w:rsid w:val="20404A27"/>
    <w:rsid w:val="204A1D99"/>
    <w:rsid w:val="205279A7"/>
    <w:rsid w:val="205C4592"/>
    <w:rsid w:val="20670E5A"/>
    <w:rsid w:val="20672C08"/>
    <w:rsid w:val="20735A50"/>
    <w:rsid w:val="207B498E"/>
    <w:rsid w:val="20834051"/>
    <w:rsid w:val="20861274"/>
    <w:rsid w:val="208E4638"/>
    <w:rsid w:val="20A57AC5"/>
    <w:rsid w:val="20A774A8"/>
    <w:rsid w:val="20A87711"/>
    <w:rsid w:val="20B36CEF"/>
    <w:rsid w:val="20BE2A44"/>
    <w:rsid w:val="20BF33B3"/>
    <w:rsid w:val="20C44525"/>
    <w:rsid w:val="20DC62D4"/>
    <w:rsid w:val="20E26732"/>
    <w:rsid w:val="20E80C53"/>
    <w:rsid w:val="20F721F4"/>
    <w:rsid w:val="211669E6"/>
    <w:rsid w:val="21167238"/>
    <w:rsid w:val="211E38B3"/>
    <w:rsid w:val="2125105A"/>
    <w:rsid w:val="21274A8D"/>
    <w:rsid w:val="213511A9"/>
    <w:rsid w:val="21471199"/>
    <w:rsid w:val="214A6BC6"/>
    <w:rsid w:val="215411A1"/>
    <w:rsid w:val="215C4736"/>
    <w:rsid w:val="215E7B2B"/>
    <w:rsid w:val="21667363"/>
    <w:rsid w:val="21820804"/>
    <w:rsid w:val="21A25EC1"/>
    <w:rsid w:val="21AF5D06"/>
    <w:rsid w:val="21B77BBF"/>
    <w:rsid w:val="21C5655D"/>
    <w:rsid w:val="22002433"/>
    <w:rsid w:val="220152DE"/>
    <w:rsid w:val="221768AF"/>
    <w:rsid w:val="22220E78"/>
    <w:rsid w:val="225F37ED"/>
    <w:rsid w:val="2269349D"/>
    <w:rsid w:val="227A5C88"/>
    <w:rsid w:val="22837AA1"/>
    <w:rsid w:val="22867BDE"/>
    <w:rsid w:val="2288155B"/>
    <w:rsid w:val="22B405EE"/>
    <w:rsid w:val="22B701C5"/>
    <w:rsid w:val="22BF6035"/>
    <w:rsid w:val="22C51C42"/>
    <w:rsid w:val="22CC58EC"/>
    <w:rsid w:val="22D1151E"/>
    <w:rsid w:val="22E3571E"/>
    <w:rsid w:val="22E664C9"/>
    <w:rsid w:val="22F208FB"/>
    <w:rsid w:val="22F713EE"/>
    <w:rsid w:val="231449BC"/>
    <w:rsid w:val="23196305"/>
    <w:rsid w:val="231D6147"/>
    <w:rsid w:val="23427ABE"/>
    <w:rsid w:val="2345488C"/>
    <w:rsid w:val="235002CB"/>
    <w:rsid w:val="235F406A"/>
    <w:rsid w:val="23653290"/>
    <w:rsid w:val="237044C9"/>
    <w:rsid w:val="23720241"/>
    <w:rsid w:val="23753F06"/>
    <w:rsid w:val="237C4C1C"/>
    <w:rsid w:val="237E3B89"/>
    <w:rsid w:val="238166D6"/>
    <w:rsid w:val="23887A3D"/>
    <w:rsid w:val="23A85105"/>
    <w:rsid w:val="23BA2289"/>
    <w:rsid w:val="23C12F77"/>
    <w:rsid w:val="23CD14AD"/>
    <w:rsid w:val="23D41D17"/>
    <w:rsid w:val="23EB60EF"/>
    <w:rsid w:val="23F0560A"/>
    <w:rsid w:val="23F92711"/>
    <w:rsid w:val="23FE1AD5"/>
    <w:rsid w:val="240F3CE2"/>
    <w:rsid w:val="241B4D80"/>
    <w:rsid w:val="241E3F25"/>
    <w:rsid w:val="24253506"/>
    <w:rsid w:val="242D5F16"/>
    <w:rsid w:val="24430826"/>
    <w:rsid w:val="24507E57"/>
    <w:rsid w:val="24687C68"/>
    <w:rsid w:val="247840E5"/>
    <w:rsid w:val="24C40B56"/>
    <w:rsid w:val="24DC3E1B"/>
    <w:rsid w:val="24F246E7"/>
    <w:rsid w:val="24F45AC6"/>
    <w:rsid w:val="24FA0B22"/>
    <w:rsid w:val="250525E7"/>
    <w:rsid w:val="2537243A"/>
    <w:rsid w:val="254554E2"/>
    <w:rsid w:val="254969BC"/>
    <w:rsid w:val="255D282B"/>
    <w:rsid w:val="25607FF8"/>
    <w:rsid w:val="2569218E"/>
    <w:rsid w:val="2573447A"/>
    <w:rsid w:val="25754019"/>
    <w:rsid w:val="258778A8"/>
    <w:rsid w:val="25956469"/>
    <w:rsid w:val="25996AB6"/>
    <w:rsid w:val="25A16BBC"/>
    <w:rsid w:val="25C12D94"/>
    <w:rsid w:val="25C97EC1"/>
    <w:rsid w:val="25CB2A91"/>
    <w:rsid w:val="25D16F46"/>
    <w:rsid w:val="25DC7BF4"/>
    <w:rsid w:val="25E923D8"/>
    <w:rsid w:val="25F149DD"/>
    <w:rsid w:val="2604714B"/>
    <w:rsid w:val="260929B3"/>
    <w:rsid w:val="263253CA"/>
    <w:rsid w:val="263638FB"/>
    <w:rsid w:val="265438E7"/>
    <w:rsid w:val="26681293"/>
    <w:rsid w:val="267254F3"/>
    <w:rsid w:val="26831569"/>
    <w:rsid w:val="268818DC"/>
    <w:rsid w:val="26A34BB6"/>
    <w:rsid w:val="26A54557"/>
    <w:rsid w:val="26AE5256"/>
    <w:rsid w:val="26BC301B"/>
    <w:rsid w:val="26C30DB4"/>
    <w:rsid w:val="26F40940"/>
    <w:rsid w:val="27173F6D"/>
    <w:rsid w:val="2719182B"/>
    <w:rsid w:val="271B4867"/>
    <w:rsid w:val="273C51E1"/>
    <w:rsid w:val="273F2DBE"/>
    <w:rsid w:val="274041B2"/>
    <w:rsid w:val="27466B69"/>
    <w:rsid w:val="274E7C63"/>
    <w:rsid w:val="27655311"/>
    <w:rsid w:val="276C31F9"/>
    <w:rsid w:val="27724643"/>
    <w:rsid w:val="279006DD"/>
    <w:rsid w:val="27A86C6A"/>
    <w:rsid w:val="27AA428C"/>
    <w:rsid w:val="27AB1F74"/>
    <w:rsid w:val="27BF77CD"/>
    <w:rsid w:val="27DD6C77"/>
    <w:rsid w:val="27EE3C0E"/>
    <w:rsid w:val="27FD20A3"/>
    <w:rsid w:val="282B4F1B"/>
    <w:rsid w:val="28376C91"/>
    <w:rsid w:val="28377363"/>
    <w:rsid w:val="2844761E"/>
    <w:rsid w:val="28457CD3"/>
    <w:rsid w:val="28492FE4"/>
    <w:rsid w:val="285D33F6"/>
    <w:rsid w:val="28620159"/>
    <w:rsid w:val="286C4045"/>
    <w:rsid w:val="286C40AA"/>
    <w:rsid w:val="286E7ADE"/>
    <w:rsid w:val="28861CFA"/>
    <w:rsid w:val="28965A1B"/>
    <w:rsid w:val="28A64AE8"/>
    <w:rsid w:val="28AF0ED2"/>
    <w:rsid w:val="28B430AA"/>
    <w:rsid w:val="28B9246E"/>
    <w:rsid w:val="28BF4EBD"/>
    <w:rsid w:val="28BF6F68"/>
    <w:rsid w:val="28C242D3"/>
    <w:rsid w:val="28C34F59"/>
    <w:rsid w:val="28D177B8"/>
    <w:rsid w:val="28D56B7C"/>
    <w:rsid w:val="28E05C4D"/>
    <w:rsid w:val="28FE01E0"/>
    <w:rsid w:val="29047469"/>
    <w:rsid w:val="293D6BFB"/>
    <w:rsid w:val="29425BDE"/>
    <w:rsid w:val="29527213"/>
    <w:rsid w:val="29595574"/>
    <w:rsid w:val="297E658B"/>
    <w:rsid w:val="298760C9"/>
    <w:rsid w:val="29A529F3"/>
    <w:rsid w:val="29A62BC5"/>
    <w:rsid w:val="29AF73CD"/>
    <w:rsid w:val="29B04CFC"/>
    <w:rsid w:val="29B444B6"/>
    <w:rsid w:val="29EC0622"/>
    <w:rsid w:val="29FB6844"/>
    <w:rsid w:val="2A136F6C"/>
    <w:rsid w:val="2A157B78"/>
    <w:rsid w:val="2A16751A"/>
    <w:rsid w:val="2A2630D9"/>
    <w:rsid w:val="2A4A0D9B"/>
    <w:rsid w:val="2A4E308A"/>
    <w:rsid w:val="2A500BB0"/>
    <w:rsid w:val="2A510485"/>
    <w:rsid w:val="2A577C49"/>
    <w:rsid w:val="2A7025D5"/>
    <w:rsid w:val="2A71367B"/>
    <w:rsid w:val="2A862824"/>
    <w:rsid w:val="2A876DAF"/>
    <w:rsid w:val="2A8837FA"/>
    <w:rsid w:val="2AA64C74"/>
    <w:rsid w:val="2AB249DB"/>
    <w:rsid w:val="2AB266B4"/>
    <w:rsid w:val="2AB77313"/>
    <w:rsid w:val="2ADB491E"/>
    <w:rsid w:val="2B031C30"/>
    <w:rsid w:val="2B125E66"/>
    <w:rsid w:val="2B144D9E"/>
    <w:rsid w:val="2B1C3740"/>
    <w:rsid w:val="2B256D67"/>
    <w:rsid w:val="2B397896"/>
    <w:rsid w:val="2B4843B6"/>
    <w:rsid w:val="2B602DB3"/>
    <w:rsid w:val="2B7B7859"/>
    <w:rsid w:val="2B82123D"/>
    <w:rsid w:val="2B8E58CD"/>
    <w:rsid w:val="2B9B74AA"/>
    <w:rsid w:val="2BCE6231"/>
    <w:rsid w:val="2BE12008"/>
    <w:rsid w:val="2BE13432"/>
    <w:rsid w:val="2BEB56E6"/>
    <w:rsid w:val="2BEE242F"/>
    <w:rsid w:val="2BF660D3"/>
    <w:rsid w:val="2C0003B4"/>
    <w:rsid w:val="2C065776"/>
    <w:rsid w:val="2C071743"/>
    <w:rsid w:val="2C11436F"/>
    <w:rsid w:val="2C177F67"/>
    <w:rsid w:val="2C414C55"/>
    <w:rsid w:val="2C41535E"/>
    <w:rsid w:val="2C5C2242"/>
    <w:rsid w:val="2C714E0E"/>
    <w:rsid w:val="2C8009D9"/>
    <w:rsid w:val="2C820DC9"/>
    <w:rsid w:val="2C84082B"/>
    <w:rsid w:val="2C942DD4"/>
    <w:rsid w:val="2C9948D4"/>
    <w:rsid w:val="2CB15478"/>
    <w:rsid w:val="2CC13A15"/>
    <w:rsid w:val="2CC8256D"/>
    <w:rsid w:val="2CCE3B87"/>
    <w:rsid w:val="2CD45AC9"/>
    <w:rsid w:val="2CD63695"/>
    <w:rsid w:val="2CD71115"/>
    <w:rsid w:val="2CDA5E53"/>
    <w:rsid w:val="2CDF1F5F"/>
    <w:rsid w:val="2D0E0203"/>
    <w:rsid w:val="2D1F486A"/>
    <w:rsid w:val="2D205BB7"/>
    <w:rsid w:val="2D306A77"/>
    <w:rsid w:val="2D393B7E"/>
    <w:rsid w:val="2D520C78"/>
    <w:rsid w:val="2D656721"/>
    <w:rsid w:val="2D756712"/>
    <w:rsid w:val="2D872B3B"/>
    <w:rsid w:val="2D9D5B09"/>
    <w:rsid w:val="2DA34C81"/>
    <w:rsid w:val="2DAB1438"/>
    <w:rsid w:val="2DC21BF6"/>
    <w:rsid w:val="2DC270A0"/>
    <w:rsid w:val="2DC42606"/>
    <w:rsid w:val="2DD524DD"/>
    <w:rsid w:val="2DDC7BF7"/>
    <w:rsid w:val="2DDD2DD1"/>
    <w:rsid w:val="2DE352FA"/>
    <w:rsid w:val="2DF45CF7"/>
    <w:rsid w:val="2DF70B98"/>
    <w:rsid w:val="2DFB0E33"/>
    <w:rsid w:val="2E097658"/>
    <w:rsid w:val="2E153F60"/>
    <w:rsid w:val="2E2B598A"/>
    <w:rsid w:val="2E35132A"/>
    <w:rsid w:val="2E36718E"/>
    <w:rsid w:val="2E461C41"/>
    <w:rsid w:val="2E5F7614"/>
    <w:rsid w:val="2E70537D"/>
    <w:rsid w:val="2E942770"/>
    <w:rsid w:val="2EA74B17"/>
    <w:rsid w:val="2EB74972"/>
    <w:rsid w:val="2EC35DF5"/>
    <w:rsid w:val="2EC8340B"/>
    <w:rsid w:val="2ED33B5E"/>
    <w:rsid w:val="2EDE09F5"/>
    <w:rsid w:val="2EE26C4C"/>
    <w:rsid w:val="2EEB0EA8"/>
    <w:rsid w:val="2EEB23FF"/>
    <w:rsid w:val="2EF02962"/>
    <w:rsid w:val="2EFC4E63"/>
    <w:rsid w:val="2EFE6E2D"/>
    <w:rsid w:val="2F0C44B6"/>
    <w:rsid w:val="2F3430C8"/>
    <w:rsid w:val="2F373E5F"/>
    <w:rsid w:val="2F3C7955"/>
    <w:rsid w:val="2F3F433F"/>
    <w:rsid w:val="2F4B1946"/>
    <w:rsid w:val="2F601896"/>
    <w:rsid w:val="2F642A08"/>
    <w:rsid w:val="2F676568"/>
    <w:rsid w:val="2F8917BC"/>
    <w:rsid w:val="2F9B5627"/>
    <w:rsid w:val="2FA33530"/>
    <w:rsid w:val="2FAF6DDF"/>
    <w:rsid w:val="2FBF4562"/>
    <w:rsid w:val="2FCF4325"/>
    <w:rsid w:val="2FD302BA"/>
    <w:rsid w:val="2FEB0622"/>
    <w:rsid w:val="2FF62D3D"/>
    <w:rsid w:val="30172D3B"/>
    <w:rsid w:val="30186B1C"/>
    <w:rsid w:val="301B3A0F"/>
    <w:rsid w:val="30224D9D"/>
    <w:rsid w:val="303421D9"/>
    <w:rsid w:val="305A4537"/>
    <w:rsid w:val="305D23CE"/>
    <w:rsid w:val="307244F0"/>
    <w:rsid w:val="307934F8"/>
    <w:rsid w:val="307C4ECB"/>
    <w:rsid w:val="30A27C8C"/>
    <w:rsid w:val="30C37FE7"/>
    <w:rsid w:val="30CC4D09"/>
    <w:rsid w:val="30D065A7"/>
    <w:rsid w:val="30E302C0"/>
    <w:rsid w:val="30E76373"/>
    <w:rsid w:val="30F3019A"/>
    <w:rsid w:val="30FC4781"/>
    <w:rsid w:val="31083F93"/>
    <w:rsid w:val="310D3357"/>
    <w:rsid w:val="31181CFC"/>
    <w:rsid w:val="31257141"/>
    <w:rsid w:val="312910B4"/>
    <w:rsid w:val="31325288"/>
    <w:rsid w:val="31472444"/>
    <w:rsid w:val="31556AAC"/>
    <w:rsid w:val="31715963"/>
    <w:rsid w:val="31A75B75"/>
    <w:rsid w:val="31AA329C"/>
    <w:rsid w:val="31AD13C5"/>
    <w:rsid w:val="31BD4F10"/>
    <w:rsid w:val="31C40391"/>
    <w:rsid w:val="31C71345"/>
    <w:rsid w:val="31CA749A"/>
    <w:rsid w:val="31D3074A"/>
    <w:rsid w:val="31F442E6"/>
    <w:rsid w:val="32170CC6"/>
    <w:rsid w:val="32193F7E"/>
    <w:rsid w:val="32211164"/>
    <w:rsid w:val="32256788"/>
    <w:rsid w:val="32260F05"/>
    <w:rsid w:val="322E7A29"/>
    <w:rsid w:val="3234700A"/>
    <w:rsid w:val="32372C0B"/>
    <w:rsid w:val="323D4C19"/>
    <w:rsid w:val="323F1C36"/>
    <w:rsid w:val="324C7EAF"/>
    <w:rsid w:val="325F4087"/>
    <w:rsid w:val="326104C0"/>
    <w:rsid w:val="3286241C"/>
    <w:rsid w:val="328C5BC7"/>
    <w:rsid w:val="32A94808"/>
    <w:rsid w:val="32B05742"/>
    <w:rsid w:val="32BD0DAD"/>
    <w:rsid w:val="32D22AAA"/>
    <w:rsid w:val="32D82802"/>
    <w:rsid w:val="32EB3B6C"/>
    <w:rsid w:val="32EB76C8"/>
    <w:rsid w:val="32FA3ECC"/>
    <w:rsid w:val="331E193C"/>
    <w:rsid w:val="334128C4"/>
    <w:rsid w:val="334508C7"/>
    <w:rsid w:val="33470B19"/>
    <w:rsid w:val="33490893"/>
    <w:rsid w:val="334B0167"/>
    <w:rsid w:val="33631D0C"/>
    <w:rsid w:val="337E22EA"/>
    <w:rsid w:val="33981CE8"/>
    <w:rsid w:val="33A41CCA"/>
    <w:rsid w:val="33A907CC"/>
    <w:rsid w:val="33A930DF"/>
    <w:rsid w:val="33AA42AA"/>
    <w:rsid w:val="33BF2903"/>
    <w:rsid w:val="33D91EF8"/>
    <w:rsid w:val="33E660BA"/>
    <w:rsid w:val="33ED121E"/>
    <w:rsid w:val="33FC00B9"/>
    <w:rsid w:val="342459DC"/>
    <w:rsid w:val="3426199B"/>
    <w:rsid w:val="34384B8F"/>
    <w:rsid w:val="344C1C72"/>
    <w:rsid w:val="345915DC"/>
    <w:rsid w:val="34591F09"/>
    <w:rsid w:val="345937DD"/>
    <w:rsid w:val="345C0152"/>
    <w:rsid w:val="346314E0"/>
    <w:rsid w:val="34664620"/>
    <w:rsid w:val="348246C3"/>
    <w:rsid w:val="349E60A0"/>
    <w:rsid w:val="34C93A39"/>
    <w:rsid w:val="34E17695"/>
    <w:rsid w:val="34EE2F68"/>
    <w:rsid w:val="35036009"/>
    <w:rsid w:val="35103416"/>
    <w:rsid w:val="35216984"/>
    <w:rsid w:val="35245113"/>
    <w:rsid w:val="3555351F"/>
    <w:rsid w:val="35583E96"/>
    <w:rsid w:val="355E13F9"/>
    <w:rsid w:val="35614F64"/>
    <w:rsid w:val="3562251D"/>
    <w:rsid w:val="356937D7"/>
    <w:rsid w:val="356A2E17"/>
    <w:rsid w:val="3575596F"/>
    <w:rsid w:val="357F5213"/>
    <w:rsid w:val="35936E4D"/>
    <w:rsid w:val="35CD46D8"/>
    <w:rsid w:val="35D42696"/>
    <w:rsid w:val="35DA3A24"/>
    <w:rsid w:val="35EE6CF3"/>
    <w:rsid w:val="35EF0A4C"/>
    <w:rsid w:val="36004D3F"/>
    <w:rsid w:val="3627005D"/>
    <w:rsid w:val="363D350E"/>
    <w:rsid w:val="36514647"/>
    <w:rsid w:val="36657792"/>
    <w:rsid w:val="366711AF"/>
    <w:rsid w:val="366E215D"/>
    <w:rsid w:val="367E0BA6"/>
    <w:rsid w:val="36892A6E"/>
    <w:rsid w:val="368B0CEA"/>
    <w:rsid w:val="368F242D"/>
    <w:rsid w:val="369B3A43"/>
    <w:rsid w:val="369F51E0"/>
    <w:rsid w:val="36AA33F6"/>
    <w:rsid w:val="36BF604D"/>
    <w:rsid w:val="36C049A1"/>
    <w:rsid w:val="36C42AF4"/>
    <w:rsid w:val="36D97016"/>
    <w:rsid w:val="36DB679D"/>
    <w:rsid w:val="36E508D2"/>
    <w:rsid w:val="36E70CFB"/>
    <w:rsid w:val="3720190B"/>
    <w:rsid w:val="37227431"/>
    <w:rsid w:val="373158C6"/>
    <w:rsid w:val="37355BF1"/>
    <w:rsid w:val="37367B77"/>
    <w:rsid w:val="374E6F28"/>
    <w:rsid w:val="37515F68"/>
    <w:rsid w:val="37677539"/>
    <w:rsid w:val="37721EC0"/>
    <w:rsid w:val="37734CD2"/>
    <w:rsid w:val="37735EDE"/>
    <w:rsid w:val="378B51E4"/>
    <w:rsid w:val="379D3117"/>
    <w:rsid w:val="37A320B3"/>
    <w:rsid w:val="37BA1D5F"/>
    <w:rsid w:val="37DB65A1"/>
    <w:rsid w:val="37DC5883"/>
    <w:rsid w:val="37E4576F"/>
    <w:rsid w:val="37F53D6C"/>
    <w:rsid w:val="3802503A"/>
    <w:rsid w:val="381B7481"/>
    <w:rsid w:val="383C3737"/>
    <w:rsid w:val="38433B03"/>
    <w:rsid w:val="384701C6"/>
    <w:rsid w:val="386A72E1"/>
    <w:rsid w:val="38767A34"/>
    <w:rsid w:val="387C1FAD"/>
    <w:rsid w:val="388008B3"/>
    <w:rsid w:val="388A1700"/>
    <w:rsid w:val="388F2DAC"/>
    <w:rsid w:val="389F3FF1"/>
    <w:rsid w:val="389F63DE"/>
    <w:rsid w:val="38A81005"/>
    <w:rsid w:val="38B4055C"/>
    <w:rsid w:val="38E4489E"/>
    <w:rsid w:val="38E76B84"/>
    <w:rsid w:val="390E2362"/>
    <w:rsid w:val="3911720A"/>
    <w:rsid w:val="391748AE"/>
    <w:rsid w:val="396809AD"/>
    <w:rsid w:val="39736669"/>
    <w:rsid w:val="39793957"/>
    <w:rsid w:val="39A0707B"/>
    <w:rsid w:val="39BA7DF4"/>
    <w:rsid w:val="39C80763"/>
    <w:rsid w:val="39E24430"/>
    <w:rsid w:val="39EF6342"/>
    <w:rsid w:val="3A370E8E"/>
    <w:rsid w:val="3A415533"/>
    <w:rsid w:val="3A6458D0"/>
    <w:rsid w:val="3A791A5E"/>
    <w:rsid w:val="3A7C46D7"/>
    <w:rsid w:val="3A8C499A"/>
    <w:rsid w:val="3A904556"/>
    <w:rsid w:val="3AA72F9A"/>
    <w:rsid w:val="3AC84793"/>
    <w:rsid w:val="3ADB5E26"/>
    <w:rsid w:val="3AE07D2F"/>
    <w:rsid w:val="3B023C5E"/>
    <w:rsid w:val="3B0C5F0B"/>
    <w:rsid w:val="3B2F3937"/>
    <w:rsid w:val="3B36794F"/>
    <w:rsid w:val="3B3D3C2D"/>
    <w:rsid w:val="3B422275"/>
    <w:rsid w:val="3B477875"/>
    <w:rsid w:val="3B4C7D4C"/>
    <w:rsid w:val="3B5D3DA9"/>
    <w:rsid w:val="3B5D5A8C"/>
    <w:rsid w:val="3B6E0E96"/>
    <w:rsid w:val="3B76339F"/>
    <w:rsid w:val="3B7A155D"/>
    <w:rsid w:val="3B841948"/>
    <w:rsid w:val="3B871F58"/>
    <w:rsid w:val="3B9509BE"/>
    <w:rsid w:val="3B9C22C7"/>
    <w:rsid w:val="3BB3143D"/>
    <w:rsid w:val="3BBF5B96"/>
    <w:rsid w:val="3BE86E9B"/>
    <w:rsid w:val="3C0C7EC4"/>
    <w:rsid w:val="3C225536"/>
    <w:rsid w:val="3C2974B3"/>
    <w:rsid w:val="3C3B5269"/>
    <w:rsid w:val="3C502B42"/>
    <w:rsid w:val="3C627A79"/>
    <w:rsid w:val="3C74072E"/>
    <w:rsid w:val="3C7C6C5D"/>
    <w:rsid w:val="3C805A5B"/>
    <w:rsid w:val="3C876AD7"/>
    <w:rsid w:val="3C8946C1"/>
    <w:rsid w:val="3C8C1F1C"/>
    <w:rsid w:val="3CAC611A"/>
    <w:rsid w:val="3CB80E26"/>
    <w:rsid w:val="3CB9368F"/>
    <w:rsid w:val="3CBA010B"/>
    <w:rsid w:val="3CBC333D"/>
    <w:rsid w:val="3CC31052"/>
    <w:rsid w:val="3CCA65A0"/>
    <w:rsid w:val="3CD1792F"/>
    <w:rsid w:val="3CE3787C"/>
    <w:rsid w:val="3CE422E9"/>
    <w:rsid w:val="3CEB3533"/>
    <w:rsid w:val="3D0F3DAA"/>
    <w:rsid w:val="3D22018A"/>
    <w:rsid w:val="3D2517D4"/>
    <w:rsid w:val="3D4E5423"/>
    <w:rsid w:val="3D647E91"/>
    <w:rsid w:val="3D74475E"/>
    <w:rsid w:val="3D7E516B"/>
    <w:rsid w:val="3D826D07"/>
    <w:rsid w:val="3D8608AF"/>
    <w:rsid w:val="3D8A63A1"/>
    <w:rsid w:val="3D9A25B9"/>
    <w:rsid w:val="3DBF59D9"/>
    <w:rsid w:val="3DC72AE0"/>
    <w:rsid w:val="3DCF6DF4"/>
    <w:rsid w:val="3E0B3E63"/>
    <w:rsid w:val="3E1026D9"/>
    <w:rsid w:val="3E19509D"/>
    <w:rsid w:val="3E1D6BA4"/>
    <w:rsid w:val="3E241E1D"/>
    <w:rsid w:val="3E261FF6"/>
    <w:rsid w:val="3E2C5EC2"/>
    <w:rsid w:val="3E385F8C"/>
    <w:rsid w:val="3E542340"/>
    <w:rsid w:val="3E5B2140"/>
    <w:rsid w:val="3E5E705F"/>
    <w:rsid w:val="3E6E0B6F"/>
    <w:rsid w:val="3E7313DF"/>
    <w:rsid w:val="3E8310FD"/>
    <w:rsid w:val="3E83435E"/>
    <w:rsid w:val="3E834C59"/>
    <w:rsid w:val="3E925647"/>
    <w:rsid w:val="3E946E66"/>
    <w:rsid w:val="3EB412B6"/>
    <w:rsid w:val="3EE871B2"/>
    <w:rsid w:val="3EED2ADA"/>
    <w:rsid w:val="3F1735F3"/>
    <w:rsid w:val="3F495969"/>
    <w:rsid w:val="3F74163A"/>
    <w:rsid w:val="3F746C97"/>
    <w:rsid w:val="3FA27FFB"/>
    <w:rsid w:val="3FA86034"/>
    <w:rsid w:val="3FB05F21"/>
    <w:rsid w:val="3FC4377B"/>
    <w:rsid w:val="3FE67B95"/>
    <w:rsid w:val="3FF03CDE"/>
    <w:rsid w:val="3FF8458B"/>
    <w:rsid w:val="40016E33"/>
    <w:rsid w:val="40115FCA"/>
    <w:rsid w:val="401F4E55"/>
    <w:rsid w:val="40271985"/>
    <w:rsid w:val="40354679"/>
    <w:rsid w:val="403843C8"/>
    <w:rsid w:val="405C5941"/>
    <w:rsid w:val="40606230"/>
    <w:rsid w:val="40870703"/>
    <w:rsid w:val="40877969"/>
    <w:rsid w:val="408C00EC"/>
    <w:rsid w:val="4099133A"/>
    <w:rsid w:val="40B416B7"/>
    <w:rsid w:val="40CF416C"/>
    <w:rsid w:val="41067B3A"/>
    <w:rsid w:val="410F6C78"/>
    <w:rsid w:val="413C3F30"/>
    <w:rsid w:val="41434B73"/>
    <w:rsid w:val="41436921"/>
    <w:rsid w:val="41610951"/>
    <w:rsid w:val="41656898"/>
    <w:rsid w:val="41941738"/>
    <w:rsid w:val="41993A4B"/>
    <w:rsid w:val="41B556D5"/>
    <w:rsid w:val="41BC2603"/>
    <w:rsid w:val="41D34149"/>
    <w:rsid w:val="41DD28D2"/>
    <w:rsid w:val="420A5691"/>
    <w:rsid w:val="421604C9"/>
    <w:rsid w:val="421D3616"/>
    <w:rsid w:val="4239126D"/>
    <w:rsid w:val="4252486B"/>
    <w:rsid w:val="426D4DB6"/>
    <w:rsid w:val="427152F0"/>
    <w:rsid w:val="427F607F"/>
    <w:rsid w:val="427F7E2D"/>
    <w:rsid w:val="42811F6D"/>
    <w:rsid w:val="42AC34CB"/>
    <w:rsid w:val="42BA70B7"/>
    <w:rsid w:val="42C121F4"/>
    <w:rsid w:val="42D71A17"/>
    <w:rsid w:val="42F06635"/>
    <w:rsid w:val="42F771B0"/>
    <w:rsid w:val="42FA2C71"/>
    <w:rsid w:val="42FF3FE9"/>
    <w:rsid w:val="43074399"/>
    <w:rsid w:val="430D5439"/>
    <w:rsid w:val="43101275"/>
    <w:rsid w:val="431D2AA9"/>
    <w:rsid w:val="431F3EA1"/>
    <w:rsid w:val="43294F09"/>
    <w:rsid w:val="432B1EE0"/>
    <w:rsid w:val="433B5FD0"/>
    <w:rsid w:val="433C113A"/>
    <w:rsid w:val="4342119B"/>
    <w:rsid w:val="43516846"/>
    <w:rsid w:val="436112E1"/>
    <w:rsid w:val="43617313"/>
    <w:rsid w:val="436239D7"/>
    <w:rsid w:val="436B7798"/>
    <w:rsid w:val="43851473"/>
    <w:rsid w:val="439D4082"/>
    <w:rsid w:val="439F396A"/>
    <w:rsid w:val="43AD7012"/>
    <w:rsid w:val="43AE2E12"/>
    <w:rsid w:val="43BE0F78"/>
    <w:rsid w:val="43BE6D12"/>
    <w:rsid w:val="43E837B0"/>
    <w:rsid w:val="43EA44D5"/>
    <w:rsid w:val="43ED3A6D"/>
    <w:rsid w:val="43F72B79"/>
    <w:rsid w:val="44044A8E"/>
    <w:rsid w:val="443F1622"/>
    <w:rsid w:val="44437399"/>
    <w:rsid w:val="444427DA"/>
    <w:rsid w:val="44550E45"/>
    <w:rsid w:val="446230B5"/>
    <w:rsid w:val="447B0A98"/>
    <w:rsid w:val="44817E8C"/>
    <w:rsid w:val="44997BC2"/>
    <w:rsid w:val="44C10289"/>
    <w:rsid w:val="44C42B6A"/>
    <w:rsid w:val="44CC6DFD"/>
    <w:rsid w:val="44D93800"/>
    <w:rsid w:val="44DA759D"/>
    <w:rsid w:val="44FF34A7"/>
    <w:rsid w:val="44FF6168"/>
    <w:rsid w:val="45102FBE"/>
    <w:rsid w:val="45154265"/>
    <w:rsid w:val="451A6CC2"/>
    <w:rsid w:val="452627E2"/>
    <w:rsid w:val="452C6DD4"/>
    <w:rsid w:val="4534550C"/>
    <w:rsid w:val="45415AE5"/>
    <w:rsid w:val="454237DA"/>
    <w:rsid w:val="454370A6"/>
    <w:rsid w:val="45703499"/>
    <w:rsid w:val="458614D2"/>
    <w:rsid w:val="458D51A8"/>
    <w:rsid w:val="45943BEF"/>
    <w:rsid w:val="45A11786"/>
    <w:rsid w:val="45A33BA1"/>
    <w:rsid w:val="45B837CD"/>
    <w:rsid w:val="45B95404"/>
    <w:rsid w:val="45C9535A"/>
    <w:rsid w:val="46072613"/>
    <w:rsid w:val="4609638B"/>
    <w:rsid w:val="4618037D"/>
    <w:rsid w:val="46187F81"/>
    <w:rsid w:val="461D1DE2"/>
    <w:rsid w:val="46205BDA"/>
    <w:rsid w:val="464158F2"/>
    <w:rsid w:val="46511AE0"/>
    <w:rsid w:val="467D407B"/>
    <w:rsid w:val="46A80F5A"/>
    <w:rsid w:val="46CE4EDF"/>
    <w:rsid w:val="46D06EA9"/>
    <w:rsid w:val="47222B6A"/>
    <w:rsid w:val="472E4911"/>
    <w:rsid w:val="47354F5E"/>
    <w:rsid w:val="47527A52"/>
    <w:rsid w:val="475661A7"/>
    <w:rsid w:val="47631E5E"/>
    <w:rsid w:val="47697F93"/>
    <w:rsid w:val="477F442B"/>
    <w:rsid w:val="478163F5"/>
    <w:rsid w:val="4792436F"/>
    <w:rsid w:val="479A3013"/>
    <w:rsid w:val="47B162E2"/>
    <w:rsid w:val="47C36A0E"/>
    <w:rsid w:val="47E81FD1"/>
    <w:rsid w:val="47F02414"/>
    <w:rsid w:val="47F145F1"/>
    <w:rsid w:val="480D18E1"/>
    <w:rsid w:val="480F7446"/>
    <w:rsid w:val="481A012D"/>
    <w:rsid w:val="481E3C44"/>
    <w:rsid w:val="4822327A"/>
    <w:rsid w:val="482B256E"/>
    <w:rsid w:val="482F7DEB"/>
    <w:rsid w:val="48373A96"/>
    <w:rsid w:val="483B65A4"/>
    <w:rsid w:val="484B25C6"/>
    <w:rsid w:val="4853606B"/>
    <w:rsid w:val="48536A45"/>
    <w:rsid w:val="487D2FF7"/>
    <w:rsid w:val="48874F20"/>
    <w:rsid w:val="48913DB0"/>
    <w:rsid w:val="48A64365"/>
    <w:rsid w:val="48A83599"/>
    <w:rsid w:val="48A85AE3"/>
    <w:rsid w:val="48B35570"/>
    <w:rsid w:val="48BB76E5"/>
    <w:rsid w:val="48DA2746"/>
    <w:rsid w:val="48DA400F"/>
    <w:rsid w:val="48E409EA"/>
    <w:rsid w:val="48E761F0"/>
    <w:rsid w:val="48EC3D42"/>
    <w:rsid w:val="48F50E49"/>
    <w:rsid w:val="49006AAC"/>
    <w:rsid w:val="49070924"/>
    <w:rsid w:val="490E3640"/>
    <w:rsid w:val="49156DF5"/>
    <w:rsid w:val="491963AF"/>
    <w:rsid w:val="492139EC"/>
    <w:rsid w:val="49214EDD"/>
    <w:rsid w:val="49255ED4"/>
    <w:rsid w:val="49614699"/>
    <w:rsid w:val="49667651"/>
    <w:rsid w:val="49902920"/>
    <w:rsid w:val="499C72CB"/>
    <w:rsid w:val="49B95F08"/>
    <w:rsid w:val="49D33174"/>
    <w:rsid w:val="49FD51DF"/>
    <w:rsid w:val="4A192915"/>
    <w:rsid w:val="4A23388F"/>
    <w:rsid w:val="4A272033"/>
    <w:rsid w:val="4A3E237C"/>
    <w:rsid w:val="4A4A2ACF"/>
    <w:rsid w:val="4A5B4CDC"/>
    <w:rsid w:val="4A653DAC"/>
    <w:rsid w:val="4A6C0C97"/>
    <w:rsid w:val="4A796CFC"/>
    <w:rsid w:val="4A807EB5"/>
    <w:rsid w:val="4A8939E6"/>
    <w:rsid w:val="4A8F608E"/>
    <w:rsid w:val="4A9106FD"/>
    <w:rsid w:val="4A930919"/>
    <w:rsid w:val="4A987CC2"/>
    <w:rsid w:val="4AA246B9"/>
    <w:rsid w:val="4AAE7501"/>
    <w:rsid w:val="4AB902FA"/>
    <w:rsid w:val="4ABC78E7"/>
    <w:rsid w:val="4AC9744C"/>
    <w:rsid w:val="4AE11E04"/>
    <w:rsid w:val="4AEA0627"/>
    <w:rsid w:val="4AEF03F8"/>
    <w:rsid w:val="4B0B04B0"/>
    <w:rsid w:val="4B1D4687"/>
    <w:rsid w:val="4B291BE0"/>
    <w:rsid w:val="4B3237AB"/>
    <w:rsid w:val="4B477BFA"/>
    <w:rsid w:val="4B6A552E"/>
    <w:rsid w:val="4B736292"/>
    <w:rsid w:val="4BAB57EF"/>
    <w:rsid w:val="4BB12E04"/>
    <w:rsid w:val="4BB40B47"/>
    <w:rsid w:val="4BB87F06"/>
    <w:rsid w:val="4BBA0AB6"/>
    <w:rsid w:val="4BBE277F"/>
    <w:rsid w:val="4BE01E83"/>
    <w:rsid w:val="4BE11211"/>
    <w:rsid w:val="4BE34F89"/>
    <w:rsid w:val="4BE71A14"/>
    <w:rsid w:val="4BEB5322"/>
    <w:rsid w:val="4C1415E6"/>
    <w:rsid w:val="4C15776E"/>
    <w:rsid w:val="4C2A7DDD"/>
    <w:rsid w:val="4C4C04C7"/>
    <w:rsid w:val="4C500455"/>
    <w:rsid w:val="4C6236DA"/>
    <w:rsid w:val="4C6240E2"/>
    <w:rsid w:val="4C6265CC"/>
    <w:rsid w:val="4C6D42A9"/>
    <w:rsid w:val="4C7F2121"/>
    <w:rsid w:val="4C8B2CA9"/>
    <w:rsid w:val="4C8D1398"/>
    <w:rsid w:val="4CC052CA"/>
    <w:rsid w:val="4CC4452E"/>
    <w:rsid w:val="4CCF7822"/>
    <w:rsid w:val="4CEB65E2"/>
    <w:rsid w:val="4CFE5DF2"/>
    <w:rsid w:val="4D0E072B"/>
    <w:rsid w:val="4D113D78"/>
    <w:rsid w:val="4D11441B"/>
    <w:rsid w:val="4D1F6B46"/>
    <w:rsid w:val="4D292E6F"/>
    <w:rsid w:val="4D2C52EE"/>
    <w:rsid w:val="4D2D4C46"/>
    <w:rsid w:val="4D321EA6"/>
    <w:rsid w:val="4D6E74E2"/>
    <w:rsid w:val="4D704555"/>
    <w:rsid w:val="4D7C38E7"/>
    <w:rsid w:val="4D830A74"/>
    <w:rsid w:val="4DAA1F89"/>
    <w:rsid w:val="4DAD3AA0"/>
    <w:rsid w:val="4DB50BA7"/>
    <w:rsid w:val="4DB63E04"/>
    <w:rsid w:val="4DC7241C"/>
    <w:rsid w:val="4DD252B5"/>
    <w:rsid w:val="4DE61ACB"/>
    <w:rsid w:val="4DED0341"/>
    <w:rsid w:val="4DF20A61"/>
    <w:rsid w:val="4DF64286"/>
    <w:rsid w:val="4E1C52A3"/>
    <w:rsid w:val="4E1E15C2"/>
    <w:rsid w:val="4E3329AC"/>
    <w:rsid w:val="4E451F5E"/>
    <w:rsid w:val="4E473EF5"/>
    <w:rsid w:val="4E524648"/>
    <w:rsid w:val="4E611EB3"/>
    <w:rsid w:val="4E794A31"/>
    <w:rsid w:val="4E7B6FB5"/>
    <w:rsid w:val="4E816CDB"/>
    <w:rsid w:val="4E873E8A"/>
    <w:rsid w:val="4E9B0C8A"/>
    <w:rsid w:val="4EC2357B"/>
    <w:rsid w:val="4EC72940"/>
    <w:rsid w:val="4ED93673"/>
    <w:rsid w:val="4EE3335A"/>
    <w:rsid w:val="4F0024D2"/>
    <w:rsid w:val="4F1D2EA8"/>
    <w:rsid w:val="4F1D58C5"/>
    <w:rsid w:val="4F393E88"/>
    <w:rsid w:val="4F4D199A"/>
    <w:rsid w:val="4F5663A6"/>
    <w:rsid w:val="4F6208BA"/>
    <w:rsid w:val="4F631B88"/>
    <w:rsid w:val="4FA30401"/>
    <w:rsid w:val="4FBD3D43"/>
    <w:rsid w:val="4FCC21D8"/>
    <w:rsid w:val="4FD07F1A"/>
    <w:rsid w:val="4FDB37B8"/>
    <w:rsid w:val="500936B7"/>
    <w:rsid w:val="501A1195"/>
    <w:rsid w:val="50232A48"/>
    <w:rsid w:val="50351889"/>
    <w:rsid w:val="504F4EEC"/>
    <w:rsid w:val="50593A6B"/>
    <w:rsid w:val="506D3A8D"/>
    <w:rsid w:val="507B24F0"/>
    <w:rsid w:val="507B7E86"/>
    <w:rsid w:val="508D7BB9"/>
    <w:rsid w:val="5096216A"/>
    <w:rsid w:val="50A078EC"/>
    <w:rsid w:val="50A54F03"/>
    <w:rsid w:val="50B11AF9"/>
    <w:rsid w:val="50B77C63"/>
    <w:rsid w:val="50CA6717"/>
    <w:rsid w:val="50D362CC"/>
    <w:rsid w:val="50D44833"/>
    <w:rsid w:val="50ED30F6"/>
    <w:rsid w:val="50FF004A"/>
    <w:rsid w:val="51080A77"/>
    <w:rsid w:val="51091023"/>
    <w:rsid w:val="51154F67"/>
    <w:rsid w:val="51281690"/>
    <w:rsid w:val="512C5624"/>
    <w:rsid w:val="51452242"/>
    <w:rsid w:val="514C1822"/>
    <w:rsid w:val="51644DBE"/>
    <w:rsid w:val="516738C9"/>
    <w:rsid w:val="51687786"/>
    <w:rsid w:val="518C60C3"/>
    <w:rsid w:val="51BA678C"/>
    <w:rsid w:val="51DB4BD9"/>
    <w:rsid w:val="51E7154B"/>
    <w:rsid w:val="51F349C3"/>
    <w:rsid w:val="51F84F71"/>
    <w:rsid w:val="52131F44"/>
    <w:rsid w:val="5224558E"/>
    <w:rsid w:val="522B3DCA"/>
    <w:rsid w:val="523A5B1F"/>
    <w:rsid w:val="523C37A2"/>
    <w:rsid w:val="52416EAD"/>
    <w:rsid w:val="52595FA5"/>
    <w:rsid w:val="526306BA"/>
    <w:rsid w:val="52725438"/>
    <w:rsid w:val="52750905"/>
    <w:rsid w:val="527F65B1"/>
    <w:rsid w:val="528154FB"/>
    <w:rsid w:val="528F408F"/>
    <w:rsid w:val="52927082"/>
    <w:rsid w:val="52A15B9E"/>
    <w:rsid w:val="52A37C23"/>
    <w:rsid w:val="52B13FE9"/>
    <w:rsid w:val="52C5363A"/>
    <w:rsid w:val="52D5731D"/>
    <w:rsid w:val="52DF3B64"/>
    <w:rsid w:val="52ED206B"/>
    <w:rsid w:val="52F3194C"/>
    <w:rsid w:val="52F61A46"/>
    <w:rsid w:val="53030566"/>
    <w:rsid w:val="530A54F1"/>
    <w:rsid w:val="53206AC2"/>
    <w:rsid w:val="532D2833"/>
    <w:rsid w:val="53407165"/>
    <w:rsid w:val="53430A03"/>
    <w:rsid w:val="5344250C"/>
    <w:rsid w:val="5349426B"/>
    <w:rsid w:val="53685212"/>
    <w:rsid w:val="53767887"/>
    <w:rsid w:val="53780C68"/>
    <w:rsid w:val="53801BF1"/>
    <w:rsid w:val="53966943"/>
    <w:rsid w:val="53A042A6"/>
    <w:rsid w:val="53AE5F12"/>
    <w:rsid w:val="53B9086C"/>
    <w:rsid w:val="53D1252F"/>
    <w:rsid w:val="53E53A77"/>
    <w:rsid w:val="53EA6FB2"/>
    <w:rsid w:val="53FB308C"/>
    <w:rsid w:val="53FC0391"/>
    <w:rsid w:val="540928B3"/>
    <w:rsid w:val="542E16B3"/>
    <w:rsid w:val="542E3461"/>
    <w:rsid w:val="54453F91"/>
    <w:rsid w:val="544B2D5D"/>
    <w:rsid w:val="546159FF"/>
    <w:rsid w:val="54813591"/>
    <w:rsid w:val="548D63DA"/>
    <w:rsid w:val="54B716A8"/>
    <w:rsid w:val="54C142D5"/>
    <w:rsid w:val="54C65448"/>
    <w:rsid w:val="54CE24A4"/>
    <w:rsid w:val="54D73AF9"/>
    <w:rsid w:val="54E47D98"/>
    <w:rsid w:val="54F63F7F"/>
    <w:rsid w:val="55055F70"/>
    <w:rsid w:val="550B1571"/>
    <w:rsid w:val="55124B31"/>
    <w:rsid w:val="55193280"/>
    <w:rsid w:val="551D5388"/>
    <w:rsid w:val="552503C0"/>
    <w:rsid w:val="55326F81"/>
    <w:rsid w:val="553422B9"/>
    <w:rsid w:val="556F788D"/>
    <w:rsid w:val="55767DBF"/>
    <w:rsid w:val="55A559A5"/>
    <w:rsid w:val="55D43B94"/>
    <w:rsid w:val="55DF0EB7"/>
    <w:rsid w:val="55EB48C5"/>
    <w:rsid w:val="55FD59A2"/>
    <w:rsid w:val="56005579"/>
    <w:rsid w:val="560A6445"/>
    <w:rsid w:val="560B3A5A"/>
    <w:rsid w:val="560C1580"/>
    <w:rsid w:val="56187F25"/>
    <w:rsid w:val="56270168"/>
    <w:rsid w:val="563A60ED"/>
    <w:rsid w:val="563F54B2"/>
    <w:rsid w:val="5643093D"/>
    <w:rsid w:val="56466CD0"/>
    <w:rsid w:val="56496BD2"/>
    <w:rsid w:val="565D46A7"/>
    <w:rsid w:val="5662700D"/>
    <w:rsid w:val="56787E9E"/>
    <w:rsid w:val="56B2373E"/>
    <w:rsid w:val="56B45A1B"/>
    <w:rsid w:val="56D106EB"/>
    <w:rsid w:val="56D91888"/>
    <w:rsid w:val="56D93B58"/>
    <w:rsid w:val="56F91B04"/>
    <w:rsid w:val="571D761A"/>
    <w:rsid w:val="57237BDA"/>
    <w:rsid w:val="5735078A"/>
    <w:rsid w:val="57363121"/>
    <w:rsid w:val="573A61E0"/>
    <w:rsid w:val="573E1C0D"/>
    <w:rsid w:val="574F0FBE"/>
    <w:rsid w:val="575050F6"/>
    <w:rsid w:val="57572CCF"/>
    <w:rsid w:val="57576ED8"/>
    <w:rsid w:val="575F1D66"/>
    <w:rsid w:val="575F52EA"/>
    <w:rsid w:val="57607BF0"/>
    <w:rsid w:val="57897141"/>
    <w:rsid w:val="57A1050A"/>
    <w:rsid w:val="57A4224B"/>
    <w:rsid w:val="57A87BDC"/>
    <w:rsid w:val="57CA0613"/>
    <w:rsid w:val="57D936E4"/>
    <w:rsid w:val="57E14202"/>
    <w:rsid w:val="57EC3B1D"/>
    <w:rsid w:val="57EE3633"/>
    <w:rsid w:val="580346CF"/>
    <w:rsid w:val="580F3684"/>
    <w:rsid w:val="581D5CC6"/>
    <w:rsid w:val="58555460"/>
    <w:rsid w:val="58566074"/>
    <w:rsid w:val="585978EC"/>
    <w:rsid w:val="585D60C3"/>
    <w:rsid w:val="5866364E"/>
    <w:rsid w:val="5875165E"/>
    <w:rsid w:val="58811EAF"/>
    <w:rsid w:val="5892417F"/>
    <w:rsid w:val="589D2963"/>
    <w:rsid w:val="589F22DD"/>
    <w:rsid w:val="58A04CF5"/>
    <w:rsid w:val="58B97AAA"/>
    <w:rsid w:val="58CA717F"/>
    <w:rsid w:val="58CF63B2"/>
    <w:rsid w:val="58E93DFA"/>
    <w:rsid w:val="590B25FD"/>
    <w:rsid w:val="591043AD"/>
    <w:rsid w:val="59137A46"/>
    <w:rsid w:val="59260BAB"/>
    <w:rsid w:val="592E594C"/>
    <w:rsid w:val="5939461F"/>
    <w:rsid w:val="59490C7B"/>
    <w:rsid w:val="594A2AEB"/>
    <w:rsid w:val="594A6647"/>
    <w:rsid w:val="59592D2E"/>
    <w:rsid w:val="595C637A"/>
    <w:rsid w:val="596671F9"/>
    <w:rsid w:val="599B301B"/>
    <w:rsid w:val="59CD54B2"/>
    <w:rsid w:val="59DA45F8"/>
    <w:rsid w:val="59DE4C0E"/>
    <w:rsid w:val="59E308DD"/>
    <w:rsid w:val="59E829E9"/>
    <w:rsid w:val="59F06330"/>
    <w:rsid w:val="59F30809"/>
    <w:rsid w:val="59FB4A46"/>
    <w:rsid w:val="5A0051EE"/>
    <w:rsid w:val="5A025174"/>
    <w:rsid w:val="5A254CCE"/>
    <w:rsid w:val="5A296BA4"/>
    <w:rsid w:val="5A314163"/>
    <w:rsid w:val="5A405EA0"/>
    <w:rsid w:val="5A5A08C1"/>
    <w:rsid w:val="5A5E5BB6"/>
    <w:rsid w:val="5A5F6122"/>
    <w:rsid w:val="5A755946"/>
    <w:rsid w:val="5A7A11AE"/>
    <w:rsid w:val="5A800B76"/>
    <w:rsid w:val="5A821E11"/>
    <w:rsid w:val="5AB31DB4"/>
    <w:rsid w:val="5ABB420F"/>
    <w:rsid w:val="5AC42429"/>
    <w:rsid w:val="5AF01470"/>
    <w:rsid w:val="5AF5778B"/>
    <w:rsid w:val="5B0E7B48"/>
    <w:rsid w:val="5B1715BD"/>
    <w:rsid w:val="5B2B06FA"/>
    <w:rsid w:val="5B325976"/>
    <w:rsid w:val="5B503CBD"/>
    <w:rsid w:val="5B592798"/>
    <w:rsid w:val="5B6559BA"/>
    <w:rsid w:val="5B6634E0"/>
    <w:rsid w:val="5B755C47"/>
    <w:rsid w:val="5B841268"/>
    <w:rsid w:val="5B8F2A37"/>
    <w:rsid w:val="5B975D90"/>
    <w:rsid w:val="5BA11EA0"/>
    <w:rsid w:val="5BA95575"/>
    <w:rsid w:val="5BAD7361"/>
    <w:rsid w:val="5BB67F1C"/>
    <w:rsid w:val="5BB826D2"/>
    <w:rsid w:val="5BC2293D"/>
    <w:rsid w:val="5BCB0E62"/>
    <w:rsid w:val="5BD72DA6"/>
    <w:rsid w:val="5BEE226D"/>
    <w:rsid w:val="5BF50A4C"/>
    <w:rsid w:val="5BF73D22"/>
    <w:rsid w:val="5BFC339B"/>
    <w:rsid w:val="5BFC5A2A"/>
    <w:rsid w:val="5BFF134B"/>
    <w:rsid w:val="5C074A7D"/>
    <w:rsid w:val="5C125416"/>
    <w:rsid w:val="5C1C245B"/>
    <w:rsid w:val="5C2309DE"/>
    <w:rsid w:val="5C237145"/>
    <w:rsid w:val="5C3A276B"/>
    <w:rsid w:val="5C4557EC"/>
    <w:rsid w:val="5C476580"/>
    <w:rsid w:val="5C49467B"/>
    <w:rsid w:val="5C5C2E2E"/>
    <w:rsid w:val="5C5D0D87"/>
    <w:rsid w:val="5C693499"/>
    <w:rsid w:val="5C847CD3"/>
    <w:rsid w:val="5C9A3C2C"/>
    <w:rsid w:val="5C9B540C"/>
    <w:rsid w:val="5CB748A1"/>
    <w:rsid w:val="5CBD7121"/>
    <w:rsid w:val="5CCC562C"/>
    <w:rsid w:val="5CEE378D"/>
    <w:rsid w:val="5CF0498C"/>
    <w:rsid w:val="5CFC7DE4"/>
    <w:rsid w:val="5D0E70DE"/>
    <w:rsid w:val="5D0F0879"/>
    <w:rsid w:val="5D19611C"/>
    <w:rsid w:val="5D1F7FC4"/>
    <w:rsid w:val="5D2F6A1E"/>
    <w:rsid w:val="5D4930BA"/>
    <w:rsid w:val="5D6121B1"/>
    <w:rsid w:val="5D6D4FFA"/>
    <w:rsid w:val="5D7D740A"/>
    <w:rsid w:val="5D7E0A04"/>
    <w:rsid w:val="5D9C05E1"/>
    <w:rsid w:val="5DC32E6C"/>
    <w:rsid w:val="5DC6470A"/>
    <w:rsid w:val="5DD21301"/>
    <w:rsid w:val="5DD8159C"/>
    <w:rsid w:val="5DD838AB"/>
    <w:rsid w:val="5DDC5B7E"/>
    <w:rsid w:val="5DF43025"/>
    <w:rsid w:val="5E037B6A"/>
    <w:rsid w:val="5E0A1E55"/>
    <w:rsid w:val="5E115985"/>
    <w:rsid w:val="5E260CD0"/>
    <w:rsid w:val="5E2A49AD"/>
    <w:rsid w:val="5E327044"/>
    <w:rsid w:val="5E5C5796"/>
    <w:rsid w:val="5E655CD1"/>
    <w:rsid w:val="5E7058AA"/>
    <w:rsid w:val="5E7303EE"/>
    <w:rsid w:val="5E770F4C"/>
    <w:rsid w:val="5E7756EE"/>
    <w:rsid w:val="5E824AD5"/>
    <w:rsid w:val="5EA159FA"/>
    <w:rsid w:val="5EA93E10"/>
    <w:rsid w:val="5EC24D79"/>
    <w:rsid w:val="5EC93EDE"/>
    <w:rsid w:val="5ECC1879"/>
    <w:rsid w:val="5EDD52DA"/>
    <w:rsid w:val="5EE017FC"/>
    <w:rsid w:val="5F1871E8"/>
    <w:rsid w:val="5F1E2956"/>
    <w:rsid w:val="5F3F6522"/>
    <w:rsid w:val="5F667F53"/>
    <w:rsid w:val="5F7833AB"/>
    <w:rsid w:val="5F9027F9"/>
    <w:rsid w:val="5F926458"/>
    <w:rsid w:val="5FA97E40"/>
    <w:rsid w:val="5FAF18FA"/>
    <w:rsid w:val="5FF55761"/>
    <w:rsid w:val="60117FA7"/>
    <w:rsid w:val="6014175D"/>
    <w:rsid w:val="60194E8C"/>
    <w:rsid w:val="60200102"/>
    <w:rsid w:val="60274ACB"/>
    <w:rsid w:val="602A2968"/>
    <w:rsid w:val="602D281F"/>
    <w:rsid w:val="603B194C"/>
    <w:rsid w:val="603F3EAD"/>
    <w:rsid w:val="604F4E8B"/>
    <w:rsid w:val="6061537A"/>
    <w:rsid w:val="60712937"/>
    <w:rsid w:val="60770446"/>
    <w:rsid w:val="60822B6A"/>
    <w:rsid w:val="60B22133"/>
    <w:rsid w:val="60C24E3B"/>
    <w:rsid w:val="60F45DD3"/>
    <w:rsid w:val="6106192B"/>
    <w:rsid w:val="611E5AAD"/>
    <w:rsid w:val="6142054C"/>
    <w:rsid w:val="614E291A"/>
    <w:rsid w:val="617D2484"/>
    <w:rsid w:val="61865E43"/>
    <w:rsid w:val="618B3CA1"/>
    <w:rsid w:val="61A905CB"/>
    <w:rsid w:val="61B82F2B"/>
    <w:rsid w:val="61B8344E"/>
    <w:rsid w:val="61BB4C51"/>
    <w:rsid w:val="61C15914"/>
    <w:rsid w:val="61CB6793"/>
    <w:rsid w:val="61D354BD"/>
    <w:rsid w:val="61D76EE6"/>
    <w:rsid w:val="61E31385"/>
    <w:rsid w:val="61FE26C5"/>
    <w:rsid w:val="620409C6"/>
    <w:rsid w:val="622250D5"/>
    <w:rsid w:val="622C7FA1"/>
    <w:rsid w:val="62300D2F"/>
    <w:rsid w:val="623A1223"/>
    <w:rsid w:val="624B3430"/>
    <w:rsid w:val="62570027"/>
    <w:rsid w:val="6267026A"/>
    <w:rsid w:val="626E6459"/>
    <w:rsid w:val="62721471"/>
    <w:rsid w:val="62785DCA"/>
    <w:rsid w:val="62816E52"/>
    <w:rsid w:val="62960B4F"/>
    <w:rsid w:val="62976675"/>
    <w:rsid w:val="62A163C6"/>
    <w:rsid w:val="62AA793B"/>
    <w:rsid w:val="62C5706B"/>
    <w:rsid w:val="62CA07F9"/>
    <w:rsid w:val="62ED6085"/>
    <w:rsid w:val="62EE4D00"/>
    <w:rsid w:val="62F67840"/>
    <w:rsid w:val="63033FC0"/>
    <w:rsid w:val="6304448D"/>
    <w:rsid w:val="630C0605"/>
    <w:rsid w:val="63185211"/>
    <w:rsid w:val="63275C4B"/>
    <w:rsid w:val="63314460"/>
    <w:rsid w:val="635D78BF"/>
    <w:rsid w:val="63693B86"/>
    <w:rsid w:val="63740320"/>
    <w:rsid w:val="639F79E7"/>
    <w:rsid w:val="63A126E4"/>
    <w:rsid w:val="63A801A4"/>
    <w:rsid w:val="63BC389B"/>
    <w:rsid w:val="63BF2444"/>
    <w:rsid w:val="63BF5E84"/>
    <w:rsid w:val="63CF7854"/>
    <w:rsid w:val="640D3093"/>
    <w:rsid w:val="642C03DA"/>
    <w:rsid w:val="64326656"/>
    <w:rsid w:val="64340620"/>
    <w:rsid w:val="64710ADD"/>
    <w:rsid w:val="64871615"/>
    <w:rsid w:val="64872E45"/>
    <w:rsid w:val="64912A6B"/>
    <w:rsid w:val="64915A72"/>
    <w:rsid w:val="64AD4AC2"/>
    <w:rsid w:val="64B33C3A"/>
    <w:rsid w:val="64B9077D"/>
    <w:rsid w:val="64C179D9"/>
    <w:rsid w:val="64C2652D"/>
    <w:rsid w:val="64EA33D4"/>
    <w:rsid w:val="64EA7AAD"/>
    <w:rsid w:val="64F733FB"/>
    <w:rsid w:val="64FC0B98"/>
    <w:rsid w:val="65200BA4"/>
    <w:rsid w:val="65340A90"/>
    <w:rsid w:val="65410C2D"/>
    <w:rsid w:val="655F2F03"/>
    <w:rsid w:val="655F347A"/>
    <w:rsid w:val="65613696"/>
    <w:rsid w:val="65717652"/>
    <w:rsid w:val="65A43146"/>
    <w:rsid w:val="65A82BA6"/>
    <w:rsid w:val="65AB66C0"/>
    <w:rsid w:val="65B75967"/>
    <w:rsid w:val="65D73E4A"/>
    <w:rsid w:val="65DB7F6A"/>
    <w:rsid w:val="65F84A06"/>
    <w:rsid w:val="66065FEC"/>
    <w:rsid w:val="661E50E3"/>
    <w:rsid w:val="662A7F2C"/>
    <w:rsid w:val="66450271"/>
    <w:rsid w:val="664C03D2"/>
    <w:rsid w:val="664D19D7"/>
    <w:rsid w:val="665371AC"/>
    <w:rsid w:val="668533B4"/>
    <w:rsid w:val="66A650D9"/>
    <w:rsid w:val="66B02109"/>
    <w:rsid w:val="66B6400B"/>
    <w:rsid w:val="66B83C92"/>
    <w:rsid w:val="66DD184B"/>
    <w:rsid w:val="66FC72D5"/>
    <w:rsid w:val="67137EC7"/>
    <w:rsid w:val="672C55DE"/>
    <w:rsid w:val="672F6264"/>
    <w:rsid w:val="67452332"/>
    <w:rsid w:val="675563A5"/>
    <w:rsid w:val="675B125E"/>
    <w:rsid w:val="675B62DB"/>
    <w:rsid w:val="676D6433"/>
    <w:rsid w:val="676E3251"/>
    <w:rsid w:val="67852F40"/>
    <w:rsid w:val="678D42AE"/>
    <w:rsid w:val="678D77A8"/>
    <w:rsid w:val="679B6D62"/>
    <w:rsid w:val="679F491B"/>
    <w:rsid w:val="67F27C60"/>
    <w:rsid w:val="680975BA"/>
    <w:rsid w:val="68161C14"/>
    <w:rsid w:val="681B3267"/>
    <w:rsid w:val="682269E1"/>
    <w:rsid w:val="684B23DC"/>
    <w:rsid w:val="68563C83"/>
    <w:rsid w:val="6857734E"/>
    <w:rsid w:val="686C4A9A"/>
    <w:rsid w:val="6871316B"/>
    <w:rsid w:val="68752FB5"/>
    <w:rsid w:val="687B1F6A"/>
    <w:rsid w:val="688109F0"/>
    <w:rsid w:val="688B4586"/>
    <w:rsid w:val="688E447B"/>
    <w:rsid w:val="68916D9B"/>
    <w:rsid w:val="68A36355"/>
    <w:rsid w:val="68A5002A"/>
    <w:rsid w:val="68AB67E8"/>
    <w:rsid w:val="68C63810"/>
    <w:rsid w:val="68E36170"/>
    <w:rsid w:val="68E762F6"/>
    <w:rsid w:val="68EF00A4"/>
    <w:rsid w:val="69012A9A"/>
    <w:rsid w:val="69323147"/>
    <w:rsid w:val="693F13FA"/>
    <w:rsid w:val="694A24CE"/>
    <w:rsid w:val="69550FEA"/>
    <w:rsid w:val="6959151C"/>
    <w:rsid w:val="69596A79"/>
    <w:rsid w:val="69760313"/>
    <w:rsid w:val="69894F6A"/>
    <w:rsid w:val="698A2A90"/>
    <w:rsid w:val="698A727A"/>
    <w:rsid w:val="698D143E"/>
    <w:rsid w:val="699A7177"/>
    <w:rsid w:val="69AF7AC7"/>
    <w:rsid w:val="69BC2E93"/>
    <w:rsid w:val="69D10F70"/>
    <w:rsid w:val="69D1246D"/>
    <w:rsid w:val="69DA3A17"/>
    <w:rsid w:val="69DE20E4"/>
    <w:rsid w:val="69E14DA6"/>
    <w:rsid w:val="69FA1B93"/>
    <w:rsid w:val="6A1809ED"/>
    <w:rsid w:val="6A1A6328"/>
    <w:rsid w:val="6A286091"/>
    <w:rsid w:val="6A2D5F1B"/>
    <w:rsid w:val="6A316F8C"/>
    <w:rsid w:val="6A4012EB"/>
    <w:rsid w:val="6A416E00"/>
    <w:rsid w:val="6A4D03E9"/>
    <w:rsid w:val="6A5D5D3D"/>
    <w:rsid w:val="6A6035CD"/>
    <w:rsid w:val="6A6F41D2"/>
    <w:rsid w:val="6AA36C20"/>
    <w:rsid w:val="6AAD4C88"/>
    <w:rsid w:val="6AC41FD2"/>
    <w:rsid w:val="6AC63F9C"/>
    <w:rsid w:val="6AD477FC"/>
    <w:rsid w:val="6ADF6E0B"/>
    <w:rsid w:val="6AE42AD6"/>
    <w:rsid w:val="6AFA71A1"/>
    <w:rsid w:val="6AFA7229"/>
    <w:rsid w:val="6B087F25"/>
    <w:rsid w:val="6B1D1CC2"/>
    <w:rsid w:val="6B302B67"/>
    <w:rsid w:val="6B3C600C"/>
    <w:rsid w:val="6B4078AA"/>
    <w:rsid w:val="6B4A715F"/>
    <w:rsid w:val="6B601CFA"/>
    <w:rsid w:val="6B655B6D"/>
    <w:rsid w:val="6B676C68"/>
    <w:rsid w:val="6B6A2B79"/>
    <w:rsid w:val="6B7A60D6"/>
    <w:rsid w:val="6B866EC4"/>
    <w:rsid w:val="6B872E42"/>
    <w:rsid w:val="6B8C2B5D"/>
    <w:rsid w:val="6B94207B"/>
    <w:rsid w:val="6BA830C7"/>
    <w:rsid w:val="6BA918F3"/>
    <w:rsid w:val="6BBC5303"/>
    <w:rsid w:val="6BCD168C"/>
    <w:rsid w:val="6BCE3C8A"/>
    <w:rsid w:val="6BEB1F0C"/>
    <w:rsid w:val="6BFE4B2E"/>
    <w:rsid w:val="6C0C3C30"/>
    <w:rsid w:val="6C0D5FF8"/>
    <w:rsid w:val="6C1B0562"/>
    <w:rsid w:val="6C2315B9"/>
    <w:rsid w:val="6C2B5E09"/>
    <w:rsid w:val="6C47110C"/>
    <w:rsid w:val="6C4E3430"/>
    <w:rsid w:val="6C540A6C"/>
    <w:rsid w:val="6C591811"/>
    <w:rsid w:val="6C5F6456"/>
    <w:rsid w:val="6C6B2319"/>
    <w:rsid w:val="6C80200F"/>
    <w:rsid w:val="6C865790"/>
    <w:rsid w:val="6CB26586"/>
    <w:rsid w:val="6CDC7AA6"/>
    <w:rsid w:val="6CEE3336"/>
    <w:rsid w:val="6CEF08AD"/>
    <w:rsid w:val="6D011CF4"/>
    <w:rsid w:val="6D0843F7"/>
    <w:rsid w:val="6D0B213A"/>
    <w:rsid w:val="6D1C60F5"/>
    <w:rsid w:val="6D2A0812"/>
    <w:rsid w:val="6D3440DF"/>
    <w:rsid w:val="6D3978A6"/>
    <w:rsid w:val="6D3B2A1F"/>
    <w:rsid w:val="6D43114B"/>
    <w:rsid w:val="6D7B2769"/>
    <w:rsid w:val="6D7F4976"/>
    <w:rsid w:val="6D9B170F"/>
    <w:rsid w:val="6DA85B44"/>
    <w:rsid w:val="6DB36A59"/>
    <w:rsid w:val="6DB71114"/>
    <w:rsid w:val="6DC212E1"/>
    <w:rsid w:val="6DC5053A"/>
    <w:rsid w:val="6DC9567B"/>
    <w:rsid w:val="6DCB3DEC"/>
    <w:rsid w:val="6DCE5622"/>
    <w:rsid w:val="6DE17BFB"/>
    <w:rsid w:val="6DF16B87"/>
    <w:rsid w:val="6DF27AA3"/>
    <w:rsid w:val="6DFA0C50"/>
    <w:rsid w:val="6DFE0332"/>
    <w:rsid w:val="6E0049EA"/>
    <w:rsid w:val="6E060714"/>
    <w:rsid w:val="6E232BCA"/>
    <w:rsid w:val="6E3D6323"/>
    <w:rsid w:val="6E581B72"/>
    <w:rsid w:val="6E5D495E"/>
    <w:rsid w:val="6E617992"/>
    <w:rsid w:val="6E9659D0"/>
    <w:rsid w:val="6E9879FD"/>
    <w:rsid w:val="6EAC32DC"/>
    <w:rsid w:val="6EAF267D"/>
    <w:rsid w:val="6EB10ABB"/>
    <w:rsid w:val="6EC10D02"/>
    <w:rsid w:val="6EC46A44"/>
    <w:rsid w:val="6ED34213"/>
    <w:rsid w:val="6EE07C01"/>
    <w:rsid w:val="6F011A46"/>
    <w:rsid w:val="6F031D3E"/>
    <w:rsid w:val="6F0D3E0A"/>
    <w:rsid w:val="6F162552"/>
    <w:rsid w:val="6F184487"/>
    <w:rsid w:val="6F2301F8"/>
    <w:rsid w:val="6F265009"/>
    <w:rsid w:val="6F2A4AF9"/>
    <w:rsid w:val="6F331FE6"/>
    <w:rsid w:val="6F526AD8"/>
    <w:rsid w:val="6F771834"/>
    <w:rsid w:val="6F8A5598"/>
    <w:rsid w:val="6F991C7F"/>
    <w:rsid w:val="6FDF602F"/>
    <w:rsid w:val="6FF13869"/>
    <w:rsid w:val="6FF976D2"/>
    <w:rsid w:val="6FFB4389"/>
    <w:rsid w:val="6FFB46E7"/>
    <w:rsid w:val="700D4FE4"/>
    <w:rsid w:val="703459C4"/>
    <w:rsid w:val="70383246"/>
    <w:rsid w:val="70455E0A"/>
    <w:rsid w:val="70481727"/>
    <w:rsid w:val="70486572"/>
    <w:rsid w:val="70561270"/>
    <w:rsid w:val="70820965"/>
    <w:rsid w:val="7083230A"/>
    <w:rsid w:val="708650A2"/>
    <w:rsid w:val="70885AF3"/>
    <w:rsid w:val="70BB0D44"/>
    <w:rsid w:val="70C535E0"/>
    <w:rsid w:val="70C920F0"/>
    <w:rsid w:val="70D94B85"/>
    <w:rsid w:val="70E14A26"/>
    <w:rsid w:val="70E24D1A"/>
    <w:rsid w:val="70E4196A"/>
    <w:rsid w:val="70F80C27"/>
    <w:rsid w:val="7100515F"/>
    <w:rsid w:val="714459EF"/>
    <w:rsid w:val="715341A6"/>
    <w:rsid w:val="715E6CDC"/>
    <w:rsid w:val="71754B71"/>
    <w:rsid w:val="71790C09"/>
    <w:rsid w:val="718129CA"/>
    <w:rsid w:val="71857C3D"/>
    <w:rsid w:val="718A4824"/>
    <w:rsid w:val="719E31F9"/>
    <w:rsid w:val="71A23F4E"/>
    <w:rsid w:val="71A753A6"/>
    <w:rsid w:val="71BD3878"/>
    <w:rsid w:val="71C40419"/>
    <w:rsid w:val="71C84B3A"/>
    <w:rsid w:val="71E47133"/>
    <w:rsid w:val="71E82A49"/>
    <w:rsid w:val="71F15DA2"/>
    <w:rsid w:val="71F81FF6"/>
    <w:rsid w:val="72013AF5"/>
    <w:rsid w:val="72123134"/>
    <w:rsid w:val="72247F25"/>
    <w:rsid w:val="72281098"/>
    <w:rsid w:val="723D0FE7"/>
    <w:rsid w:val="723F193F"/>
    <w:rsid w:val="725D24FB"/>
    <w:rsid w:val="725E4ABA"/>
    <w:rsid w:val="727D5888"/>
    <w:rsid w:val="727D7636"/>
    <w:rsid w:val="729B32A3"/>
    <w:rsid w:val="72B55021"/>
    <w:rsid w:val="72D17CEA"/>
    <w:rsid w:val="72DC1889"/>
    <w:rsid w:val="72E0289A"/>
    <w:rsid w:val="72F571CC"/>
    <w:rsid w:val="731353EB"/>
    <w:rsid w:val="73166B1E"/>
    <w:rsid w:val="731F249B"/>
    <w:rsid w:val="73441F01"/>
    <w:rsid w:val="73686F2F"/>
    <w:rsid w:val="738E466E"/>
    <w:rsid w:val="739B2C36"/>
    <w:rsid w:val="73A979E7"/>
    <w:rsid w:val="73AF1A71"/>
    <w:rsid w:val="73B52DFF"/>
    <w:rsid w:val="73D610AA"/>
    <w:rsid w:val="73F9347A"/>
    <w:rsid w:val="73FC77D8"/>
    <w:rsid w:val="74116E18"/>
    <w:rsid w:val="74136828"/>
    <w:rsid w:val="742A70D5"/>
    <w:rsid w:val="742D6E39"/>
    <w:rsid w:val="7440091B"/>
    <w:rsid w:val="744722A3"/>
    <w:rsid w:val="744D4DE6"/>
    <w:rsid w:val="745F6DB9"/>
    <w:rsid w:val="74624D35"/>
    <w:rsid w:val="746565D3"/>
    <w:rsid w:val="74675EA7"/>
    <w:rsid w:val="747616A0"/>
    <w:rsid w:val="748C1DB2"/>
    <w:rsid w:val="74956EB9"/>
    <w:rsid w:val="74971A73"/>
    <w:rsid w:val="749825A8"/>
    <w:rsid w:val="749F7D37"/>
    <w:rsid w:val="74AD6208"/>
    <w:rsid w:val="74B661AB"/>
    <w:rsid w:val="74BA2AAD"/>
    <w:rsid w:val="74C36C69"/>
    <w:rsid w:val="74C432FA"/>
    <w:rsid w:val="74D07EF1"/>
    <w:rsid w:val="74D66128"/>
    <w:rsid w:val="74F04B62"/>
    <w:rsid w:val="74FA6D1C"/>
    <w:rsid w:val="7507768A"/>
    <w:rsid w:val="750B09D4"/>
    <w:rsid w:val="75152356"/>
    <w:rsid w:val="75285848"/>
    <w:rsid w:val="75324707"/>
    <w:rsid w:val="75371D1E"/>
    <w:rsid w:val="75640B02"/>
    <w:rsid w:val="756E770A"/>
    <w:rsid w:val="757A47C6"/>
    <w:rsid w:val="758B3E18"/>
    <w:rsid w:val="758B717F"/>
    <w:rsid w:val="75AD787E"/>
    <w:rsid w:val="75B15BA4"/>
    <w:rsid w:val="75B50E95"/>
    <w:rsid w:val="75BA6C76"/>
    <w:rsid w:val="75F271B4"/>
    <w:rsid w:val="75FB53BC"/>
    <w:rsid w:val="760127AC"/>
    <w:rsid w:val="7621652A"/>
    <w:rsid w:val="762F5EDE"/>
    <w:rsid w:val="763B3A90"/>
    <w:rsid w:val="765B7C8E"/>
    <w:rsid w:val="766F2B28"/>
    <w:rsid w:val="766F54E7"/>
    <w:rsid w:val="76864D96"/>
    <w:rsid w:val="76910073"/>
    <w:rsid w:val="76A827A7"/>
    <w:rsid w:val="76BF67EF"/>
    <w:rsid w:val="76C44412"/>
    <w:rsid w:val="76C82CF4"/>
    <w:rsid w:val="76E94B77"/>
    <w:rsid w:val="76EA2E1A"/>
    <w:rsid w:val="76EB2CF8"/>
    <w:rsid w:val="76F44B77"/>
    <w:rsid w:val="76FF7A94"/>
    <w:rsid w:val="770B3462"/>
    <w:rsid w:val="77204A34"/>
    <w:rsid w:val="772B5411"/>
    <w:rsid w:val="77435747"/>
    <w:rsid w:val="77510445"/>
    <w:rsid w:val="77672662"/>
    <w:rsid w:val="777F121C"/>
    <w:rsid w:val="77801AA1"/>
    <w:rsid w:val="778637D8"/>
    <w:rsid w:val="778769AF"/>
    <w:rsid w:val="778C10EB"/>
    <w:rsid w:val="77973EBA"/>
    <w:rsid w:val="779A6594"/>
    <w:rsid w:val="77A17922"/>
    <w:rsid w:val="77A95874"/>
    <w:rsid w:val="77BC1FF1"/>
    <w:rsid w:val="77D344BC"/>
    <w:rsid w:val="77D71596"/>
    <w:rsid w:val="77DB660A"/>
    <w:rsid w:val="77E122C6"/>
    <w:rsid w:val="77E12415"/>
    <w:rsid w:val="77EB3293"/>
    <w:rsid w:val="77FF4245"/>
    <w:rsid w:val="78250553"/>
    <w:rsid w:val="78304EBB"/>
    <w:rsid w:val="78392953"/>
    <w:rsid w:val="785A571B"/>
    <w:rsid w:val="786A065C"/>
    <w:rsid w:val="78743289"/>
    <w:rsid w:val="78755D2A"/>
    <w:rsid w:val="78970BDF"/>
    <w:rsid w:val="78970D25"/>
    <w:rsid w:val="78972AD3"/>
    <w:rsid w:val="78AF42C1"/>
    <w:rsid w:val="78B2373F"/>
    <w:rsid w:val="78EC70F6"/>
    <w:rsid w:val="78F9354A"/>
    <w:rsid w:val="79181E66"/>
    <w:rsid w:val="791B3A93"/>
    <w:rsid w:val="791E533B"/>
    <w:rsid w:val="792702FB"/>
    <w:rsid w:val="79295E21"/>
    <w:rsid w:val="79330E4A"/>
    <w:rsid w:val="793347D2"/>
    <w:rsid w:val="79350CE9"/>
    <w:rsid w:val="7936336A"/>
    <w:rsid w:val="7952599E"/>
    <w:rsid w:val="79591A22"/>
    <w:rsid w:val="795A22EC"/>
    <w:rsid w:val="795B2F45"/>
    <w:rsid w:val="79823784"/>
    <w:rsid w:val="798D0A96"/>
    <w:rsid w:val="79987234"/>
    <w:rsid w:val="79A0413D"/>
    <w:rsid w:val="79AC464A"/>
    <w:rsid w:val="79AF4A60"/>
    <w:rsid w:val="79B871A5"/>
    <w:rsid w:val="79BD78D0"/>
    <w:rsid w:val="79DE5D1F"/>
    <w:rsid w:val="79E463E1"/>
    <w:rsid w:val="7A001F6A"/>
    <w:rsid w:val="7A03639E"/>
    <w:rsid w:val="7A1C1880"/>
    <w:rsid w:val="7A1F6A6E"/>
    <w:rsid w:val="7A31157A"/>
    <w:rsid w:val="7A7632E8"/>
    <w:rsid w:val="7A831561"/>
    <w:rsid w:val="7A8D0632"/>
    <w:rsid w:val="7A902A2C"/>
    <w:rsid w:val="7A9279F6"/>
    <w:rsid w:val="7AA8721A"/>
    <w:rsid w:val="7AAC0793"/>
    <w:rsid w:val="7AB57A3E"/>
    <w:rsid w:val="7AC21FB4"/>
    <w:rsid w:val="7AC433B9"/>
    <w:rsid w:val="7AD12BD3"/>
    <w:rsid w:val="7ADE49EA"/>
    <w:rsid w:val="7AF4245F"/>
    <w:rsid w:val="7B0E45CF"/>
    <w:rsid w:val="7B167568"/>
    <w:rsid w:val="7B1D19B6"/>
    <w:rsid w:val="7B2119CF"/>
    <w:rsid w:val="7B25086A"/>
    <w:rsid w:val="7B5F1FCE"/>
    <w:rsid w:val="7B621718"/>
    <w:rsid w:val="7B6A2721"/>
    <w:rsid w:val="7B840A4C"/>
    <w:rsid w:val="7B8732D3"/>
    <w:rsid w:val="7B9F6AE3"/>
    <w:rsid w:val="7BDE505F"/>
    <w:rsid w:val="7BEA3AF9"/>
    <w:rsid w:val="7BEA758F"/>
    <w:rsid w:val="7BEA7EEA"/>
    <w:rsid w:val="7BEE5100"/>
    <w:rsid w:val="7C0909D6"/>
    <w:rsid w:val="7C455A92"/>
    <w:rsid w:val="7C507691"/>
    <w:rsid w:val="7C6605C3"/>
    <w:rsid w:val="7C7E0232"/>
    <w:rsid w:val="7C890545"/>
    <w:rsid w:val="7C961A20"/>
    <w:rsid w:val="7CCD2F68"/>
    <w:rsid w:val="7CE14513"/>
    <w:rsid w:val="7D00333D"/>
    <w:rsid w:val="7D1818C9"/>
    <w:rsid w:val="7D1E1A15"/>
    <w:rsid w:val="7D2F59D0"/>
    <w:rsid w:val="7D313D35"/>
    <w:rsid w:val="7D3D0C7E"/>
    <w:rsid w:val="7D4078B2"/>
    <w:rsid w:val="7D6A3EE0"/>
    <w:rsid w:val="7D6F2271"/>
    <w:rsid w:val="7D767C17"/>
    <w:rsid w:val="7D835F53"/>
    <w:rsid w:val="7D965A4F"/>
    <w:rsid w:val="7DC458E2"/>
    <w:rsid w:val="7DCE5B9D"/>
    <w:rsid w:val="7DE4363F"/>
    <w:rsid w:val="7DF30B37"/>
    <w:rsid w:val="7DFA0AB0"/>
    <w:rsid w:val="7E0155BF"/>
    <w:rsid w:val="7E046E5D"/>
    <w:rsid w:val="7E1A3A19"/>
    <w:rsid w:val="7E21156F"/>
    <w:rsid w:val="7E327526"/>
    <w:rsid w:val="7E380BAB"/>
    <w:rsid w:val="7E386B07"/>
    <w:rsid w:val="7E403498"/>
    <w:rsid w:val="7E553215"/>
    <w:rsid w:val="7E6915F0"/>
    <w:rsid w:val="7E6920E9"/>
    <w:rsid w:val="7EA06B86"/>
    <w:rsid w:val="7EBA34E2"/>
    <w:rsid w:val="7EC62889"/>
    <w:rsid w:val="7EF820C9"/>
    <w:rsid w:val="7F010634"/>
    <w:rsid w:val="7F013991"/>
    <w:rsid w:val="7F0E7CD2"/>
    <w:rsid w:val="7F160BF6"/>
    <w:rsid w:val="7F2B50FC"/>
    <w:rsid w:val="7F517B3D"/>
    <w:rsid w:val="7F71178A"/>
    <w:rsid w:val="7F8A5140"/>
    <w:rsid w:val="7F9520EB"/>
    <w:rsid w:val="7F996DE4"/>
    <w:rsid w:val="7FA54397"/>
    <w:rsid w:val="7FAC3308"/>
    <w:rsid w:val="7FAE2DF3"/>
    <w:rsid w:val="7FB338A1"/>
    <w:rsid w:val="7FB52BD8"/>
    <w:rsid w:val="7FBB3C5A"/>
    <w:rsid w:val="7FC448DF"/>
    <w:rsid w:val="7FD7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qFormat="1" w:unhideWhenUsed="0" w:uiPriority="0" w:name="index 2"/>
    <w:lsdException w:qFormat="1" w:unhideWhenUsed="0" w:uiPriority="0" w:name="index 3"/>
    <w:lsdException w:qFormat="1" w:uiPriority="0" w:semiHidden="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name="envelope address"/>
    <w:lsdException w:qFormat="1" w:unhideWhenUsed="0" w:uiPriority="0" w:name="envelope return"/>
    <w:lsdException w:uiPriority="0" w:name="footnote reference"/>
    <w:lsdException w:qFormat="1" w:unhideWhenUsed="0" w:uiPriority="0" w:semiHidden="0" w:name="annotation reference"/>
    <w:lsdException w:qFormat="1" w:unhideWhenUsed="0" w:uiPriority="0" w:name="line number"/>
    <w:lsdException w:qFormat="1" w:unhideWhenUsed="0" w:uiPriority="0"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semiHidden="0" w:name="toa heading"/>
    <w:lsdException w:qFormat="1" w:unhideWhenUsed="0" w:uiPriority="0" w:name="List"/>
    <w:lsdException w:qFormat="1" w:unhideWhenUsed="0" w:uiPriority="0" w:name="List Bullet"/>
    <w:lsdException w:qFormat="1" w:unhideWhenUsed="0" w:uiPriority="0" w:semiHidden="0" w:name="List Number"/>
    <w:lsdException w:qFormat="1" w:unhideWhenUsed="0" w:uiPriority="0" w:semiHidden="0" w:name="List 2"/>
    <w:lsdException w:qFormat="1" w:unhideWhenUsed="0" w:uiPriority="0" w:name="List 3"/>
    <w:lsdException w:qFormat="1" w:unhideWhenUsed="0" w:uiPriority="0" w:semiHidden="0" w:name="List 4"/>
    <w:lsdException w:qFormat="1" w:unhideWhenUsed="0" w:uiPriority="0" w:semiHidden="0" w:name="List 5"/>
    <w:lsdException w:qFormat="1" w:unhideWhenUsed="0" w:uiPriority="0" w:name="List Bullet 2"/>
    <w:lsdException w:qFormat="1" w:unhideWhenUsed="0" w:uiPriority="0" w:name="List Bullet 3"/>
    <w:lsdException w:qFormat="1" w:unhideWhenUsed="0" w:uiPriority="0" w:name="List Bullet 4"/>
    <w:lsdException w:qFormat="1" w:unhideWhenUsed="0" w:uiPriority="0" w:name="List Bullet 5"/>
    <w:lsdException w:qFormat="1" w:unhideWhenUsed="0" w:uiPriority="0" w:name="List Number 2"/>
    <w:lsdException w:qFormat="1" w:unhideWhenUsed="0" w:uiPriority="0" w:name="List Number 3"/>
    <w:lsdException w:qFormat="1" w:unhideWhenUsed="0" w:uiPriority="0" w:name="List Number 4"/>
    <w:lsdException w:qFormat="1" w:unhideWhenUsed="0" w:uiPriority="0" w:name="List Number 5"/>
    <w:lsdException w:qFormat="1" w:unhideWhenUsed="0" w:uiPriority="0" w:semiHidden="0" w:name="Title"/>
    <w:lsdException w:qFormat="1" w:unhideWhenUsed="0" w:uiPriority="0" w:name="Closing"/>
    <w:lsdException w:qFormat="1" w:unhideWhenUsed="0" w:uiPriority="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name="List Continue"/>
    <w:lsdException w:qFormat="1" w:unhideWhenUsed="0" w:uiPriority="0" w:name="List Continue 2"/>
    <w:lsdException w:qFormat="1" w:unhideWhenUsed="0" w:uiPriority="0" w:name="List Continue 3"/>
    <w:lsdException w:qFormat="1" w:unhideWhenUsed="0" w:uiPriority="0" w:name="List Continue 4"/>
    <w:lsdException w:qFormat="1" w:unhideWhenUsed="0" w:uiPriority="0" w:name="List Continue 5"/>
    <w:lsdException w:qFormat="1" w:unhideWhenUsed="0"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name="E-mail Signature"/>
    <w:lsdException w:qFormat="1" w:unhideWhenUsed="0" w:uiPriority="0" w:semiHidden="0" w:name="Normal (Web)"/>
    <w:lsdException w:qFormat="1" w:uiPriority="0" w:name="HTML Acronym"/>
    <w:lsdException w:qFormat="1" w:unhideWhenUsed="0"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qFormat="1" w:unhideWhenUsed="0" w:uiPriority="0" w:name="Table Simple 1"/>
    <w:lsdException w:qFormat="1" w:unhideWhenUsed="0" w:uiPriority="0" w:name="Table Simple 2"/>
    <w:lsdException w:qFormat="1" w:unhideWhenUsed="0" w:uiPriority="0" w:name="Table Simple 3"/>
    <w:lsdException w:qFormat="1" w:unhideWhenUsed="0" w:uiPriority="0" w:name="Table Classic 1"/>
    <w:lsdException w:qFormat="1" w:unhideWhenUsed="0" w:uiPriority="0" w:name="Table Classic 2"/>
    <w:lsdException w:qFormat="1" w:unhideWhenUsed="0" w:uiPriority="0" w:name="Table Classic 3"/>
    <w:lsdException w:qFormat="1" w:unhideWhenUsed="0" w:uiPriority="0" w:name="Table Classic 4"/>
    <w:lsdException w:qFormat="1" w:unhideWhenUsed="0" w:uiPriority="0" w:name="Table Colorful 1"/>
    <w:lsdException w:qFormat="1" w:unhideWhenUsed="0" w:uiPriority="0" w:name="Table Colorful 2"/>
    <w:lsdException w:qFormat="1" w:unhideWhenUsed="0" w:uiPriority="0" w:name="Table Colorful 3"/>
    <w:lsdException w:qFormat="1" w:unhideWhenUsed="0" w:uiPriority="0" w:name="Table Columns 1"/>
    <w:lsdException w:qFormat="1" w:unhideWhenUsed="0" w:uiPriority="0" w:name="Table Columns 2"/>
    <w:lsdException w:qFormat="1" w:unhideWhenUsed="0" w:uiPriority="0" w:name="Table Columns 3"/>
    <w:lsdException w:qFormat="1" w:unhideWhenUsed="0" w:uiPriority="0" w:name="Table Columns 4"/>
    <w:lsdException w:qFormat="1" w:unhideWhenUsed="0" w:uiPriority="0" w:name="Table Columns 5"/>
    <w:lsdException w:qFormat="1" w:unhideWhenUsed="0" w:uiPriority="0" w:name="Table Grid 1"/>
    <w:lsdException w:qFormat="1" w:unhideWhenUsed="0" w:uiPriority="0" w:name="Table Grid 2"/>
    <w:lsdException w:qFormat="1" w:unhideWhenUsed="0" w:uiPriority="0" w:name="Table Grid 3"/>
    <w:lsdException w:qFormat="1" w:unhideWhenUsed="0" w:uiPriority="0" w:name="Table Grid 4"/>
    <w:lsdException w:qFormat="1" w:unhideWhenUsed="0" w:uiPriority="0" w:name="Table Grid 5"/>
    <w:lsdException w:qFormat="1" w:unhideWhenUsed="0" w:uiPriority="0" w:name="Table Grid 6"/>
    <w:lsdException w:qFormat="1" w:unhideWhenUsed="0" w:uiPriority="0" w:name="Table Grid 7"/>
    <w:lsdException w:qFormat="1" w:unhideWhenUsed="0" w:uiPriority="0" w:name="Table Grid 8"/>
    <w:lsdException w:qFormat="1" w:unhideWhenUsed="0" w:uiPriority="0" w:name="Table List 1"/>
    <w:lsdException w:qFormat="1" w:unhideWhenUsed="0" w:uiPriority="0" w:name="Table List 2"/>
    <w:lsdException w:qFormat="1" w:unhideWhenUsed="0" w:uiPriority="0" w:name="Table List 3"/>
    <w:lsdException w:qFormat="1" w:unhideWhenUsed="0" w:uiPriority="0" w:name="Table List 4"/>
    <w:lsdException w:qFormat="1" w:unhideWhenUsed="0" w:uiPriority="0" w:name="Table List 5"/>
    <w:lsdException w:qFormat="1" w:unhideWhenUsed="0" w:uiPriority="0" w:name="Table List 6"/>
    <w:lsdException w:qFormat="1" w:unhideWhenUsed="0" w:uiPriority="0" w:name="Table List 7"/>
    <w:lsdException w:qFormat="1" w:unhideWhenUsed="0" w:uiPriority="0" w:name="Table List 8"/>
    <w:lsdException w:qFormat="1" w:unhideWhenUsed="0" w:uiPriority="0" w:name="Table 3D effects 1"/>
    <w:lsdException w:qFormat="1" w:unhideWhenUsed="0" w:uiPriority="0" w:name="Table 3D effects 2"/>
    <w:lsdException w:qFormat="1" w:unhideWhenUsed="0" w:uiPriority="0" w:name="Table 3D effects 3"/>
    <w:lsdException w:qFormat="1" w:unhideWhenUsed="0" w:uiPriority="0" w:name="Table Contemporary"/>
    <w:lsdException w:qFormat="1" w:unhideWhenUsed="0" w:uiPriority="0" w:name="Table Elegant"/>
    <w:lsdException w:qFormat="1" w:unhideWhenUsed="0" w:uiPriority="0" w:name="Table Professional"/>
    <w:lsdException w:qFormat="1" w:unhideWhenUsed="0" w:uiPriority="0" w:name="Table Subtle 1"/>
    <w:lsdException w:qFormat="1" w:unhideWhenUsed="0" w:uiPriority="0" w:name="Table Subtle 2"/>
    <w:lsdException w:qFormat="1" w:unhideWhenUsed="0" w:uiPriority="0" w:name="Table Web 1"/>
    <w:lsdException w:qFormat="1" w:unhideWhenUsed="0" w:uiPriority="0" w:name="Table Web 2"/>
    <w:lsdException w:qFormat="1" w:unhideWhenUsed="0" w:uiPriority="0" w:name="Table Web 3"/>
    <w:lsdException w:qFormat="1" w:unhideWhenUsed="0" w:uiPriority="0" w:semiHidden="0" w:name="Balloon Text"/>
    <w:lsdException w:qFormat="1" w:unhideWhenUsed="0" w:uiPriority="0" w:semiHidden="0" w:name="Table Grid"/>
    <w:lsdException w:qFormat="1" w:unhideWhenUsed="0"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190"/>
    <w:qFormat/>
    <w:uiPriority w:val="0"/>
    <w:pPr>
      <w:keepNext/>
      <w:keepLines/>
      <w:spacing w:before="340" w:after="330" w:line="576" w:lineRule="auto"/>
      <w:outlineLvl w:val="0"/>
    </w:pPr>
    <w:rPr>
      <w:rFonts w:ascii="Times New Roman" w:hAnsi="Times New Roman"/>
      <w:b/>
      <w:kern w:val="44"/>
      <w:sz w:val="44"/>
      <w:szCs w:val="20"/>
    </w:rPr>
  </w:style>
  <w:style w:type="paragraph" w:styleId="2">
    <w:name w:val="heading 2"/>
    <w:basedOn w:val="1"/>
    <w:next w:val="1"/>
    <w:link w:val="191"/>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link w:val="192"/>
    <w:qFormat/>
    <w:uiPriority w:val="0"/>
    <w:pPr>
      <w:keepNext/>
      <w:keepLines/>
      <w:spacing w:before="260" w:after="260" w:line="412" w:lineRule="auto"/>
      <w:ind w:firstLine="49" w:firstLineChars="49"/>
      <w:outlineLvl w:val="2"/>
    </w:pPr>
    <w:rPr>
      <w:rFonts w:ascii="黑体" w:eastAsia="黑体"/>
      <w:sz w:val="28"/>
      <w:szCs w:val="20"/>
    </w:rPr>
  </w:style>
  <w:style w:type="paragraph" w:styleId="6">
    <w:name w:val="heading 4"/>
    <w:basedOn w:val="1"/>
    <w:next w:val="1"/>
    <w:link w:val="180"/>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82"/>
    <w:qFormat/>
    <w:uiPriority w:val="0"/>
    <w:pPr>
      <w:keepNext/>
      <w:keepLines/>
      <w:spacing w:before="280" w:after="290" w:line="372" w:lineRule="auto"/>
      <w:outlineLvl w:val="4"/>
    </w:pPr>
    <w:rPr>
      <w:b/>
      <w:bCs/>
      <w:sz w:val="28"/>
      <w:szCs w:val="28"/>
    </w:rPr>
  </w:style>
  <w:style w:type="paragraph" w:styleId="8">
    <w:name w:val="heading 6"/>
    <w:basedOn w:val="1"/>
    <w:next w:val="1"/>
    <w:link w:val="183"/>
    <w:qFormat/>
    <w:uiPriority w:val="0"/>
    <w:pPr>
      <w:keepNext/>
      <w:keepLines/>
      <w:spacing w:before="240" w:after="64" w:line="317" w:lineRule="auto"/>
      <w:outlineLvl w:val="5"/>
    </w:pPr>
    <w:rPr>
      <w:rFonts w:ascii="Cambria" w:hAnsi="Cambria"/>
      <w:b/>
      <w:bCs/>
      <w:sz w:val="24"/>
      <w:szCs w:val="24"/>
    </w:rPr>
  </w:style>
  <w:style w:type="paragraph" w:styleId="9">
    <w:name w:val="heading 7"/>
    <w:basedOn w:val="1"/>
    <w:next w:val="1"/>
    <w:link w:val="184"/>
    <w:qFormat/>
    <w:uiPriority w:val="0"/>
    <w:pPr>
      <w:keepNext/>
      <w:keepLines/>
      <w:spacing w:before="240" w:after="64" w:line="317" w:lineRule="auto"/>
      <w:outlineLvl w:val="6"/>
    </w:pPr>
    <w:rPr>
      <w:b/>
      <w:bCs/>
      <w:sz w:val="24"/>
      <w:szCs w:val="24"/>
    </w:rPr>
  </w:style>
  <w:style w:type="paragraph" w:styleId="10">
    <w:name w:val="heading 8"/>
    <w:basedOn w:val="1"/>
    <w:next w:val="1"/>
    <w:link w:val="185"/>
    <w:qFormat/>
    <w:uiPriority w:val="0"/>
    <w:pPr>
      <w:keepNext/>
      <w:keepLines/>
      <w:spacing w:before="240" w:after="64" w:line="317" w:lineRule="auto"/>
      <w:outlineLvl w:val="7"/>
    </w:pPr>
    <w:rPr>
      <w:rFonts w:ascii="Cambria" w:hAnsi="Cambria"/>
      <w:sz w:val="24"/>
      <w:szCs w:val="24"/>
    </w:rPr>
  </w:style>
  <w:style w:type="paragraph" w:styleId="11">
    <w:name w:val="heading 9"/>
    <w:basedOn w:val="1"/>
    <w:next w:val="1"/>
    <w:link w:val="186"/>
    <w:qFormat/>
    <w:uiPriority w:val="0"/>
    <w:pPr>
      <w:keepNext/>
      <w:keepLines/>
      <w:spacing w:before="240" w:after="64" w:line="317" w:lineRule="auto"/>
      <w:outlineLvl w:val="8"/>
    </w:pPr>
    <w:rPr>
      <w:rFonts w:ascii="Cambria" w:hAnsi="Cambria"/>
      <w:szCs w:val="21"/>
    </w:rPr>
  </w:style>
  <w:style w:type="character" w:default="1" w:styleId="133">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89"/>
    <w:semiHidden/>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textAlignment w:val="baseline"/>
    </w:pPr>
    <w:rPr>
      <w:rFonts w:ascii="Courier New" w:hAnsi="Courier New" w:eastAsia="宋体" w:cs="Courier New"/>
      <w:sz w:val="24"/>
      <w:szCs w:val="24"/>
      <w:lang w:val="en-US" w:eastAsia="zh-CN" w:bidi="ar-SA"/>
    </w:rPr>
  </w:style>
  <w:style w:type="paragraph" w:styleId="12">
    <w:name w:val="List 3"/>
    <w:basedOn w:val="1"/>
    <w:semiHidden/>
    <w:qFormat/>
    <w:uiPriority w:val="0"/>
    <w:pPr>
      <w:ind w:left="100" w:leftChars="400" w:hanging="200" w:hangingChars="200"/>
    </w:pPr>
    <w:rPr>
      <w:rFonts w:ascii="Times New Roman" w:hAnsi="Times New Roman"/>
      <w:szCs w:val="24"/>
    </w:rPr>
  </w:style>
  <w:style w:type="paragraph" w:styleId="13">
    <w:name w:val="toc 7"/>
    <w:basedOn w:val="1"/>
    <w:next w:val="1"/>
    <w:qFormat/>
    <w:uiPriority w:val="0"/>
    <w:pPr>
      <w:ind w:left="1200" w:leftChars="1200"/>
    </w:pPr>
  </w:style>
  <w:style w:type="paragraph" w:styleId="14">
    <w:name w:val="List Number 2"/>
    <w:basedOn w:val="1"/>
    <w:semiHidden/>
    <w:qFormat/>
    <w:uiPriority w:val="0"/>
    <w:pPr>
      <w:tabs>
        <w:tab w:val="left" w:pos="780"/>
      </w:tabs>
      <w:ind w:left="780" w:leftChars="200" w:hanging="360" w:hangingChars="200"/>
    </w:pPr>
    <w:rPr>
      <w:rFonts w:ascii="Times New Roman" w:hAnsi="Times New Roman"/>
      <w:szCs w:val="21"/>
    </w:rPr>
  </w:style>
  <w:style w:type="paragraph" w:styleId="15">
    <w:name w:val="table of authorities"/>
    <w:basedOn w:val="1"/>
    <w:next w:val="1"/>
    <w:semiHidden/>
    <w:qFormat/>
    <w:uiPriority w:val="0"/>
    <w:pPr>
      <w:adjustRightInd w:val="0"/>
      <w:ind w:left="420" w:leftChars="200"/>
      <w:jc w:val="left"/>
      <w:textAlignment w:val="baseline"/>
    </w:pPr>
    <w:rPr>
      <w:rFonts w:ascii="宋体" w:hAnsi="宋体"/>
      <w:kern w:val="0"/>
      <w:sz w:val="24"/>
      <w:szCs w:val="24"/>
    </w:rPr>
  </w:style>
  <w:style w:type="paragraph" w:styleId="16">
    <w:name w:val="Note Heading"/>
    <w:basedOn w:val="1"/>
    <w:next w:val="1"/>
    <w:link w:val="193"/>
    <w:qFormat/>
    <w:uiPriority w:val="0"/>
    <w:pPr>
      <w:jc w:val="center"/>
    </w:pPr>
    <w:rPr>
      <w:rFonts w:ascii="Times New Roman" w:hAnsi="Times New Roman"/>
      <w:szCs w:val="21"/>
    </w:rPr>
  </w:style>
  <w:style w:type="paragraph" w:styleId="17">
    <w:name w:val="List Bullet 4"/>
    <w:basedOn w:val="1"/>
    <w:semiHidden/>
    <w:qFormat/>
    <w:uiPriority w:val="0"/>
    <w:pPr>
      <w:tabs>
        <w:tab w:val="left" w:pos="1620"/>
      </w:tabs>
      <w:ind w:left="1620" w:leftChars="600" w:hanging="360" w:hangingChars="200"/>
    </w:pPr>
    <w:rPr>
      <w:rFonts w:ascii="Times New Roman" w:hAnsi="Times New Roman"/>
      <w:szCs w:val="21"/>
    </w:rPr>
  </w:style>
  <w:style w:type="paragraph" w:styleId="18">
    <w:name w:val="index 8"/>
    <w:basedOn w:val="1"/>
    <w:next w:val="1"/>
    <w:semiHidden/>
    <w:qFormat/>
    <w:uiPriority w:val="0"/>
    <w:pPr>
      <w:adjustRightInd w:val="0"/>
      <w:ind w:left="1400" w:leftChars="1400"/>
      <w:jc w:val="left"/>
      <w:textAlignment w:val="baseline"/>
    </w:pPr>
    <w:rPr>
      <w:rFonts w:ascii="宋体" w:hAnsi="宋体"/>
      <w:kern w:val="0"/>
      <w:sz w:val="24"/>
      <w:szCs w:val="24"/>
    </w:rPr>
  </w:style>
  <w:style w:type="paragraph" w:styleId="19">
    <w:name w:val="E-mail Signature"/>
    <w:basedOn w:val="1"/>
    <w:link w:val="194"/>
    <w:semiHidden/>
    <w:qFormat/>
    <w:uiPriority w:val="0"/>
    <w:rPr>
      <w:rFonts w:ascii="Times New Roman" w:hAnsi="Times New Roman"/>
      <w:szCs w:val="21"/>
    </w:rPr>
  </w:style>
  <w:style w:type="paragraph" w:styleId="20">
    <w:name w:val="List Number"/>
    <w:basedOn w:val="1"/>
    <w:qFormat/>
    <w:uiPriority w:val="0"/>
    <w:pPr>
      <w:tabs>
        <w:tab w:val="left" w:pos="360"/>
      </w:tabs>
      <w:ind w:left="360" w:hanging="360" w:hangingChars="200"/>
    </w:pPr>
    <w:rPr>
      <w:rFonts w:ascii="Times New Roman" w:hAnsi="Times New Roman"/>
      <w:szCs w:val="21"/>
    </w:rPr>
  </w:style>
  <w:style w:type="paragraph" w:styleId="21">
    <w:name w:val="Normal Indent"/>
    <w:basedOn w:val="1"/>
    <w:qFormat/>
    <w:uiPriority w:val="0"/>
    <w:pPr>
      <w:ind w:firstLine="420"/>
    </w:pPr>
  </w:style>
  <w:style w:type="paragraph" w:styleId="22">
    <w:name w:val="caption"/>
    <w:basedOn w:val="1"/>
    <w:next w:val="1"/>
    <w:qFormat/>
    <w:uiPriority w:val="0"/>
    <w:rPr>
      <w:rFonts w:ascii="Cambria" w:hAnsi="Cambria" w:eastAsia="黑体"/>
      <w:sz w:val="20"/>
      <w:szCs w:val="20"/>
    </w:rPr>
  </w:style>
  <w:style w:type="paragraph" w:styleId="23">
    <w:name w:val="index 5"/>
    <w:basedOn w:val="1"/>
    <w:next w:val="1"/>
    <w:semiHidden/>
    <w:qFormat/>
    <w:uiPriority w:val="0"/>
    <w:pPr>
      <w:adjustRightInd w:val="0"/>
      <w:ind w:left="800" w:leftChars="800"/>
      <w:jc w:val="left"/>
      <w:textAlignment w:val="baseline"/>
    </w:pPr>
    <w:rPr>
      <w:rFonts w:ascii="宋体" w:hAnsi="宋体"/>
      <w:kern w:val="0"/>
      <w:sz w:val="24"/>
      <w:szCs w:val="24"/>
    </w:rPr>
  </w:style>
  <w:style w:type="paragraph" w:styleId="24">
    <w:name w:val="List Bullet"/>
    <w:basedOn w:val="1"/>
    <w:semiHidden/>
    <w:qFormat/>
    <w:uiPriority w:val="0"/>
    <w:pPr>
      <w:tabs>
        <w:tab w:val="left" w:pos="360"/>
      </w:tabs>
      <w:ind w:left="360" w:hanging="360" w:hangingChars="200"/>
    </w:pPr>
    <w:rPr>
      <w:rFonts w:ascii="Times New Roman" w:hAnsi="Times New Roman"/>
      <w:szCs w:val="21"/>
    </w:rPr>
  </w:style>
  <w:style w:type="paragraph" w:styleId="25">
    <w:name w:val="envelope address"/>
    <w:basedOn w:val="1"/>
    <w:semiHidden/>
    <w:qFormat/>
    <w:uiPriority w:val="0"/>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6">
    <w:name w:val="Document Map"/>
    <w:basedOn w:val="1"/>
    <w:link w:val="195"/>
    <w:qFormat/>
    <w:uiPriority w:val="0"/>
    <w:rPr>
      <w:rFonts w:ascii="宋体" w:cs="宋体"/>
      <w:sz w:val="18"/>
      <w:szCs w:val="18"/>
    </w:rPr>
  </w:style>
  <w:style w:type="paragraph" w:styleId="27">
    <w:name w:val="toa heading"/>
    <w:basedOn w:val="1"/>
    <w:next w:val="1"/>
    <w:qFormat/>
    <w:uiPriority w:val="0"/>
    <w:pPr>
      <w:spacing w:before="120"/>
    </w:pPr>
    <w:rPr>
      <w:rFonts w:ascii="Arial" w:hAnsi="Arial"/>
      <w:sz w:val="24"/>
      <w:szCs w:val="20"/>
    </w:rPr>
  </w:style>
  <w:style w:type="paragraph" w:styleId="28">
    <w:name w:val="annotation text"/>
    <w:basedOn w:val="1"/>
    <w:link w:val="159"/>
    <w:qFormat/>
    <w:uiPriority w:val="0"/>
    <w:pPr>
      <w:jc w:val="left"/>
    </w:pPr>
    <w:rPr>
      <w:rFonts w:ascii="Times New Roman" w:hAnsi="Times New Roman"/>
      <w:szCs w:val="20"/>
    </w:rPr>
  </w:style>
  <w:style w:type="paragraph" w:styleId="29">
    <w:name w:val="index 6"/>
    <w:basedOn w:val="1"/>
    <w:next w:val="1"/>
    <w:semiHidden/>
    <w:qFormat/>
    <w:uiPriority w:val="0"/>
    <w:pPr>
      <w:adjustRightInd w:val="0"/>
      <w:ind w:left="1000" w:leftChars="1000"/>
      <w:jc w:val="left"/>
      <w:textAlignment w:val="baseline"/>
    </w:pPr>
    <w:rPr>
      <w:rFonts w:ascii="宋体" w:hAnsi="宋体"/>
      <w:kern w:val="0"/>
      <w:sz w:val="24"/>
      <w:szCs w:val="24"/>
    </w:rPr>
  </w:style>
  <w:style w:type="paragraph" w:styleId="30">
    <w:name w:val="Salutation"/>
    <w:basedOn w:val="1"/>
    <w:next w:val="1"/>
    <w:link w:val="196"/>
    <w:qFormat/>
    <w:uiPriority w:val="0"/>
    <w:rPr>
      <w:rFonts w:ascii="Times New Roman" w:hAnsi="Times New Roman"/>
      <w:szCs w:val="21"/>
    </w:rPr>
  </w:style>
  <w:style w:type="paragraph" w:styleId="31">
    <w:name w:val="Body Text 3"/>
    <w:basedOn w:val="1"/>
    <w:link w:val="160"/>
    <w:qFormat/>
    <w:uiPriority w:val="0"/>
    <w:rPr>
      <w:rFonts w:ascii="宋体"/>
      <w:sz w:val="24"/>
      <w:szCs w:val="20"/>
    </w:rPr>
  </w:style>
  <w:style w:type="paragraph" w:styleId="32">
    <w:name w:val="Closing"/>
    <w:basedOn w:val="1"/>
    <w:link w:val="197"/>
    <w:semiHidden/>
    <w:qFormat/>
    <w:uiPriority w:val="0"/>
    <w:pPr>
      <w:ind w:left="100" w:leftChars="2100"/>
    </w:pPr>
    <w:rPr>
      <w:rFonts w:ascii="Times New Roman" w:hAnsi="Times New Roman"/>
      <w:szCs w:val="21"/>
    </w:rPr>
  </w:style>
  <w:style w:type="paragraph" w:styleId="33">
    <w:name w:val="List Bullet 3"/>
    <w:basedOn w:val="1"/>
    <w:semiHidden/>
    <w:qFormat/>
    <w:uiPriority w:val="0"/>
    <w:pPr>
      <w:tabs>
        <w:tab w:val="left" w:pos="1200"/>
      </w:tabs>
      <w:ind w:left="1200" w:leftChars="400" w:hanging="360" w:hangingChars="200"/>
    </w:pPr>
    <w:rPr>
      <w:rFonts w:ascii="Times New Roman" w:hAnsi="Times New Roman"/>
      <w:szCs w:val="21"/>
    </w:rPr>
  </w:style>
  <w:style w:type="paragraph" w:styleId="34">
    <w:name w:val="Body Text"/>
    <w:basedOn w:val="1"/>
    <w:next w:val="35"/>
    <w:link w:val="188"/>
    <w:unhideWhenUsed/>
    <w:qFormat/>
    <w:uiPriority w:val="0"/>
    <w:pPr>
      <w:spacing w:after="120"/>
    </w:pPr>
  </w:style>
  <w:style w:type="paragraph" w:styleId="35">
    <w:name w:val="toc 2"/>
    <w:basedOn w:val="1"/>
    <w:next w:val="1"/>
    <w:qFormat/>
    <w:uiPriority w:val="0"/>
    <w:pPr>
      <w:ind w:left="200" w:leftChars="200"/>
    </w:pPr>
  </w:style>
  <w:style w:type="paragraph" w:styleId="36">
    <w:name w:val="Body Text Indent"/>
    <w:basedOn w:val="1"/>
    <w:next w:val="1"/>
    <w:link w:val="187"/>
    <w:qFormat/>
    <w:uiPriority w:val="0"/>
    <w:pPr>
      <w:spacing w:after="120"/>
      <w:ind w:left="420" w:leftChars="200"/>
    </w:pPr>
  </w:style>
  <w:style w:type="paragraph" w:styleId="37">
    <w:name w:val="List Number 3"/>
    <w:basedOn w:val="1"/>
    <w:semiHidden/>
    <w:qFormat/>
    <w:uiPriority w:val="0"/>
    <w:pPr>
      <w:tabs>
        <w:tab w:val="left" w:pos="1200"/>
      </w:tabs>
      <w:ind w:left="1200" w:leftChars="400" w:hanging="360" w:hangingChars="200"/>
    </w:pPr>
    <w:rPr>
      <w:rFonts w:ascii="Times New Roman" w:hAnsi="Times New Roman"/>
      <w:szCs w:val="21"/>
    </w:rPr>
  </w:style>
  <w:style w:type="paragraph" w:styleId="38">
    <w:name w:val="List 2"/>
    <w:basedOn w:val="1"/>
    <w:qFormat/>
    <w:uiPriority w:val="0"/>
    <w:pPr>
      <w:ind w:left="100" w:leftChars="200" w:hanging="200" w:hangingChars="200"/>
    </w:pPr>
  </w:style>
  <w:style w:type="paragraph" w:styleId="39">
    <w:name w:val="List Continue"/>
    <w:basedOn w:val="1"/>
    <w:semiHidden/>
    <w:qFormat/>
    <w:uiPriority w:val="0"/>
    <w:pPr>
      <w:spacing w:after="120"/>
      <w:ind w:left="420" w:leftChars="200"/>
    </w:pPr>
    <w:rPr>
      <w:rFonts w:ascii="Times New Roman" w:hAnsi="Times New Roman"/>
      <w:szCs w:val="21"/>
    </w:rPr>
  </w:style>
  <w:style w:type="paragraph" w:styleId="40">
    <w:name w:val="Block Text"/>
    <w:basedOn w:val="1"/>
    <w:semiHidden/>
    <w:qFormat/>
    <w:uiPriority w:val="0"/>
    <w:pPr>
      <w:spacing w:after="120"/>
      <w:ind w:left="1440" w:leftChars="700" w:right="1440" w:rightChars="700"/>
    </w:pPr>
    <w:rPr>
      <w:rFonts w:ascii="Times New Roman" w:hAnsi="Times New Roman"/>
      <w:szCs w:val="21"/>
    </w:rPr>
  </w:style>
  <w:style w:type="paragraph" w:styleId="41">
    <w:name w:val="List Bullet 2"/>
    <w:basedOn w:val="1"/>
    <w:semiHidden/>
    <w:qFormat/>
    <w:uiPriority w:val="0"/>
    <w:pPr>
      <w:tabs>
        <w:tab w:val="left" w:pos="780"/>
      </w:tabs>
      <w:ind w:left="780" w:leftChars="200" w:hanging="360" w:hangingChars="200"/>
    </w:pPr>
    <w:rPr>
      <w:rFonts w:ascii="Times New Roman" w:hAnsi="Times New Roman"/>
      <w:szCs w:val="21"/>
    </w:rPr>
  </w:style>
  <w:style w:type="paragraph" w:styleId="42">
    <w:name w:val="HTML Address"/>
    <w:basedOn w:val="1"/>
    <w:link w:val="198"/>
    <w:semiHidden/>
    <w:qFormat/>
    <w:uiPriority w:val="0"/>
    <w:rPr>
      <w:rFonts w:ascii="Times New Roman" w:hAnsi="Times New Roman"/>
      <w:i/>
      <w:iCs/>
      <w:szCs w:val="21"/>
    </w:rPr>
  </w:style>
  <w:style w:type="paragraph" w:styleId="43">
    <w:name w:val="index 4"/>
    <w:basedOn w:val="1"/>
    <w:next w:val="1"/>
    <w:unhideWhenUsed/>
    <w:qFormat/>
    <w:uiPriority w:val="0"/>
    <w:rPr>
      <w:rFonts w:ascii="Times New Roman" w:hAnsi="Times New Roman"/>
      <w:szCs w:val="20"/>
    </w:rPr>
  </w:style>
  <w:style w:type="paragraph" w:styleId="44">
    <w:name w:val="toc 5"/>
    <w:basedOn w:val="1"/>
    <w:next w:val="1"/>
    <w:qFormat/>
    <w:uiPriority w:val="0"/>
    <w:pPr>
      <w:ind w:left="800" w:leftChars="800"/>
    </w:pPr>
  </w:style>
  <w:style w:type="paragraph" w:styleId="45">
    <w:name w:val="toc 3"/>
    <w:basedOn w:val="1"/>
    <w:next w:val="1"/>
    <w:qFormat/>
    <w:uiPriority w:val="0"/>
    <w:pPr>
      <w:ind w:left="400" w:leftChars="400"/>
    </w:pPr>
  </w:style>
  <w:style w:type="paragraph" w:styleId="46">
    <w:name w:val="Plain Text"/>
    <w:basedOn w:val="1"/>
    <w:link w:val="199"/>
    <w:qFormat/>
    <w:uiPriority w:val="0"/>
    <w:rPr>
      <w:rFonts w:ascii="宋体"/>
    </w:rPr>
  </w:style>
  <w:style w:type="paragraph" w:styleId="47">
    <w:name w:val="List Bullet 5"/>
    <w:basedOn w:val="1"/>
    <w:semiHidden/>
    <w:qFormat/>
    <w:uiPriority w:val="0"/>
    <w:pPr>
      <w:tabs>
        <w:tab w:val="left" w:pos="2040"/>
      </w:tabs>
      <w:ind w:left="2040" w:leftChars="800" w:hanging="360" w:hangingChars="200"/>
    </w:pPr>
    <w:rPr>
      <w:rFonts w:ascii="Times New Roman" w:hAnsi="Times New Roman"/>
      <w:szCs w:val="21"/>
    </w:rPr>
  </w:style>
  <w:style w:type="paragraph" w:styleId="48">
    <w:name w:val="List Number 4"/>
    <w:basedOn w:val="1"/>
    <w:semiHidden/>
    <w:qFormat/>
    <w:uiPriority w:val="0"/>
    <w:pPr>
      <w:tabs>
        <w:tab w:val="left" w:pos="1620"/>
      </w:tabs>
      <w:ind w:left="1620" w:leftChars="600" w:hanging="360" w:hangingChars="200"/>
    </w:pPr>
    <w:rPr>
      <w:rFonts w:ascii="Times New Roman" w:hAnsi="Times New Roman"/>
      <w:szCs w:val="21"/>
    </w:rPr>
  </w:style>
  <w:style w:type="paragraph" w:styleId="49">
    <w:name w:val="toc 8"/>
    <w:basedOn w:val="1"/>
    <w:next w:val="1"/>
    <w:qFormat/>
    <w:uiPriority w:val="0"/>
    <w:pPr>
      <w:ind w:left="1400" w:leftChars="1400"/>
    </w:pPr>
  </w:style>
  <w:style w:type="paragraph" w:styleId="50">
    <w:name w:val="index 3"/>
    <w:basedOn w:val="1"/>
    <w:next w:val="1"/>
    <w:semiHidden/>
    <w:qFormat/>
    <w:uiPriority w:val="0"/>
    <w:pPr>
      <w:adjustRightInd w:val="0"/>
      <w:ind w:left="400" w:leftChars="400"/>
      <w:jc w:val="left"/>
      <w:textAlignment w:val="baseline"/>
    </w:pPr>
    <w:rPr>
      <w:rFonts w:ascii="宋体" w:hAnsi="宋体"/>
      <w:kern w:val="0"/>
      <w:sz w:val="24"/>
      <w:szCs w:val="24"/>
    </w:rPr>
  </w:style>
  <w:style w:type="paragraph" w:styleId="51">
    <w:name w:val="Date"/>
    <w:basedOn w:val="1"/>
    <w:next w:val="1"/>
    <w:qFormat/>
    <w:uiPriority w:val="0"/>
    <w:pPr>
      <w:ind w:left="2500" w:leftChars="2500"/>
    </w:pPr>
    <w:rPr>
      <w:rFonts w:ascii="Times New Roman" w:hAnsi="Times New Roman"/>
      <w:szCs w:val="20"/>
    </w:rPr>
  </w:style>
  <w:style w:type="paragraph" w:styleId="52">
    <w:name w:val="Body Text Indent 2"/>
    <w:basedOn w:val="1"/>
    <w:link w:val="200"/>
    <w:qFormat/>
    <w:uiPriority w:val="0"/>
    <w:pPr>
      <w:spacing w:after="120" w:line="480" w:lineRule="auto"/>
      <w:ind w:left="420" w:leftChars="200"/>
    </w:pPr>
    <w:rPr>
      <w:rFonts w:ascii="Times New Roman" w:hAnsi="Times New Roman"/>
      <w:szCs w:val="24"/>
    </w:rPr>
  </w:style>
  <w:style w:type="paragraph" w:styleId="53">
    <w:name w:val="endnote text"/>
    <w:basedOn w:val="1"/>
    <w:link w:val="201"/>
    <w:semiHidden/>
    <w:qFormat/>
    <w:uiPriority w:val="0"/>
    <w:pPr>
      <w:adjustRightInd w:val="0"/>
      <w:snapToGrid w:val="0"/>
      <w:jc w:val="left"/>
      <w:textAlignment w:val="baseline"/>
    </w:pPr>
    <w:rPr>
      <w:rFonts w:ascii="宋体" w:hAnsi="宋体"/>
      <w:kern w:val="0"/>
      <w:sz w:val="24"/>
      <w:szCs w:val="24"/>
    </w:rPr>
  </w:style>
  <w:style w:type="paragraph" w:styleId="54">
    <w:name w:val="List Continue 5"/>
    <w:basedOn w:val="1"/>
    <w:semiHidden/>
    <w:qFormat/>
    <w:uiPriority w:val="0"/>
    <w:pPr>
      <w:spacing w:after="120"/>
      <w:ind w:left="2100" w:leftChars="1000"/>
    </w:pPr>
    <w:rPr>
      <w:rFonts w:ascii="Times New Roman" w:hAnsi="Times New Roman"/>
      <w:szCs w:val="21"/>
    </w:rPr>
  </w:style>
  <w:style w:type="paragraph" w:styleId="55">
    <w:name w:val="Balloon Text"/>
    <w:basedOn w:val="1"/>
    <w:link w:val="202"/>
    <w:qFormat/>
    <w:uiPriority w:val="0"/>
    <w:rPr>
      <w:rFonts w:ascii="Times New Roman" w:hAnsi="Times New Roman"/>
      <w:sz w:val="18"/>
      <w:szCs w:val="20"/>
    </w:rPr>
  </w:style>
  <w:style w:type="paragraph" w:styleId="56">
    <w:name w:val="footer"/>
    <w:basedOn w:val="1"/>
    <w:link w:val="203"/>
    <w:qFormat/>
    <w:uiPriority w:val="0"/>
    <w:pPr>
      <w:tabs>
        <w:tab w:val="center" w:pos="4153"/>
        <w:tab w:val="right" w:pos="8306"/>
      </w:tabs>
      <w:snapToGrid w:val="0"/>
      <w:jc w:val="left"/>
    </w:pPr>
    <w:rPr>
      <w:sz w:val="18"/>
    </w:rPr>
  </w:style>
  <w:style w:type="paragraph" w:styleId="57">
    <w:name w:val="envelope return"/>
    <w:basedOn w:val="1"/>
    <w:semiHidden/>
    <w:qFormat/>
    <w:uiPriority w:val="0"/>
    <w:pPr>
      <w:snapToGrid w:val="0"/>
    </w:pPr>
    <w:rPr>
      <w:rFonts w:ascii="Arial" w:hAnsi="Arial" w:cs="Arial"/>
      <w:szCs w:val="21"/>
    </w:rPr>
  </w:style>
  <w:style w:type="paragraph" w:styleId="58">
    <w:name w:val="header"/>
    <w:basedOn w:val="1"/>
    <w:link w:val="204"/>
    <w:qFormat/>
    <w:uiPriority w:val="0"/>
    <w:pPr>
      <w:tabs>
        <w:tab w:val="center" w:pos="4153"/>
        <w:tab w:val="right" w:pos="8306"/>
      </w:tabs>
      <w:snapToGrid w:val="0"/>
    </w:pPr>
    <w:rPr>
      <w:rFonts w:ascii="Times New Roman" w:hAnsi="Times New Roman"/>
      <w:sz w:val="18"/>
      <w:szCs w:val="20"/>
    </w:rPr>
  </w:style>
  <w:style w:type="paragraph" w:styleId="59">
    <w:name w:val="Signature"/>
    <w:basedOn w:val="1"/>
    <w:link w:val="205"/>
    <w:semiHidden/>
    <w:qFormat/>
    <w:uiPriority w:val="0"/>
    <w:pPr>
      <w:ind w:left="100" w:leftChars="2100"/>
    </w:pPr>
    <w:rPr>
      <w:rFonts w:ascii="Times New Roman" w:hAnsi="Times New Roman"/>
      <w:szCs w:val="21"/>
    </w:rPr>
  </w:style>
  <w:style w:type="paragraph" w:styleId="60">
    <w:name w:val="toc 1"/>
    <w:basedOn w:val="1"/>
    <w:next w:val="1"/>
    <w:qFormat/>
    <w:uiPriority w:val="0"/>
  </w:style>
  <w:style w:type="paragraph" w:styleId="61">
    <w:name w:val="List Continue 4"/>
    <w:basedOn w:val="1"/>
    <w:semiHidden/>
    <w:qFormat/>
    <w:uiPriority w:val="0"/>
    <w:pPr>
      <w:spacing w:after="120"/>
      <w:ind w:left="1680" w:leftChars="800"/>
    </w:pPr>
    <w:rPr>
      <w:rFonts w:ascii="Times New Roman" w:hAnsi="Times New Roman"/>
      <w:szCs w:val="21"/>
    </w:rPr>
  </w:style>
  <w:style w:type="paragraph" w:styleId="62">
    <w:name w:val="toc 4"/>
    <w:basedOn w:val="1"/>
    <w:next w:val="1"/>
    <w:qFormat/>
    <w:uiPriority w:val="0"/>
    <w:pPr>
      <w:ind w:left="600" w:leftChars="600"/>
    </w:pPr>
  </w:style>
  <w:style w:type="paragraph" w:styleId="63">
    <w:name w:val="index heading"/>
    <w:basedOn w:val="1"/>
    <w:next w:val="64"/>
    <w:semiHidden/>
    <w:qFormat/>
    <w:uiPriority w:val="0"/>
    <w:pPr>
      <w:adjustRightInd w:val="0"/>
      <w:jc w:val="left"/>
      <w:textAlignment w:val="baseline"/>
    </w:pPr>
    <w:rPr>
      <w:rFonts w:ascii="Arial" w:hAnsi="Arial" w:cs="Arial"/>
      <w:b/>
      <w:bCs/>
      <w:kern w:val="0"/>
      <w:sz w:val="24"/>
      <w:szCs w:val="24"/>
    </w:rPr>
  </w:style>
  <w:style w:type="paragraph" w:styleId="64">
    <w:name w:val="index 1"/>
    <w:basedOn w:val="1"/>
    <w:next w:val="1"/>
    <w:semiHidden/>
    <w:unhideWhenUsed/>
    <w:qFormat/>
    <w:uiPriority w:val="0"/>
  </w:style>
  <w:style w:type="paragraph" w:styleId="65">
    <w:name w:val="Subtitle"/>
    <w:basedOn w:val="1"/>
    <w:next w:val="1"/>
    <w:link w:val="206"/>
    <w:qFormat/>
    <w:uiPriority w:val="0"/>
    <w:pPr>
      <w:spacing w:before="240" w:after="60" w:line="312" w:lineRule="auto"/>
      <w:jc w:val="center"/>
      <w:outlineLvl w:val="1"/>
    </w:pPr>
    <w:rPr>
      <w:rFonts w:ascii="Cambria" w:hAnsi="Cambria"/>
      <w:b/>
      <w:bCs/>
      <w:kern w:val="28"/>
      <w:sz w:val="32"/>
      <w:szCs w:val="32"/>
    </w:rPr>
  </w:style>
  <w:style w:type="paragraph" w:styleId="66">
    <w:name w:val="List Number 5"/>
    <w:basedOn w:val="1"/>
    <w:semiHidden/>
    <w:qFormat/>
    <w:uiPriority w:val="0"/>
    <w:pPr>
      <w:tabs>
        <w:tab w:val="left" w:pos="2040"/>
      </w:tabs>
      <w:ind w:left="2040" w:leftChars="800" w:hanging="360" w:hangingChars="200"/>
    </w:pPr>
    <w:rPr>
      <w:rFonts w:ascii="Times New Roman" w:hAnsi="Times New Roman"/>
      <w:szCs w:val="21"/>
    </w:rPr>
  </w:style>
  <w:style w:type="paragraph" w:styleId="67">
    <w:name w:val="List"/>
    <w:basedOn w:val="1"/>
    <w:semiHidden/>
    <w:qFormat/>
    <w:uiPriority w:val="0"/>
    <w:pPr>
      <w:ind w:left="200" w:hanging="200" w:hangingChars="200"/>
    </w:pPr>
    <w:rPr>
      <w:rFonts w:ascii="Times New Roman" w:hAnsi="Times New Roman"/>
      <w:szCs w:val="21"/>
    </w:rPr>
  </w:style>
  <w:style w:type="paragraph" w:styleId="68">
    <w:name w:val="footnote text"/>
    <w:basedOn w:val="1"/>
    <w:link w:val="207"/>
    <w:semiHidden/>
    <w:qFormat/>
    <w:uiPriority w:val="0"/>
    <w:pPr>
      <w:adjustRightInd w:val="0"/>
      <w:snapToGrid w:val="0"/>
      <w:jc w:val="left"/>
      <w:textAlignment w:val="baseline"/>
    </w:pPr>
    <w:rPr>
      <w:rFonts w:ascii="宋体" w:hAnsi="宋体"/>
      <w:kern w:val="0"/>
      <w:sz w:val="18"/>
      <w:szCs w:val="18"/>
    </w:rPr>
  </w:style>
  <w:style w:type="paragraph" w:styleId="69">
    <w:name w:val="toc 6"/>
    <w:basedOn w:val="1"/>
    <w:next w:val="1"/>
    <w:qFormat/>
    <w:uiPriority w:val="0"/>
    <w:pPr>
      <w:ind w:left="1000" w:leftChars="1000"/>
    </w:pPr>
  </w:style>
  <w:style w:type="paragraph" w:styleId="70">
    <w:name w:val="List 5"/>
    <w:basedOn w:val="1"/>
    <w:qFormat/>
    <w:uiPriority w:val="0"/>
    <w:pPr>
      <w:ind w:left="100" w:leftChars="800" w:hanging="200" w:hangingChars="200"/>
    </w:pPr>
    <w:rPr>
      <w:rFonts w:ascii="Times New Roman" w:hAnsi="Times New Roman"/>
      <w:szCs w:val="21"/>
    </w:rPr>
  </w:style>
  <w:style w:type="paragraph" w:styleId="71">
    <w:name w:val="Body Text Indent 3"/>
    <w:basedOn w:val="1"/>
    <w:qFormat/>
    <w:uiPriority w:val="0"/>
    <w:pPr>
      <w:spacing w:after="120"/>
      <w:ind w:left="200" w:leftChars="200"/>
    </w:pPr>
    <w:rPr>
      <w:sz w:val="16"/>
      <w:szCs w:val="16"/>
    </w:rPr>
  </w:style>
  <w:style w:type="paragraph" w:styleId="72">
    <w:name w:val="index 7"/>
    <w:basedOn w:val="1"/>
    <w:next w:val="1"/>
    <w:semiHidden/>
    <w:qFormat/>
    <w:uiPriority w:val="0"/>
    <w:pPr>
      <w:adjustRightInd w:val="0"/>
      <w:ind w:left="1200" w:leftChars="1200"/>
      <w:jc w:val="left"/>
      <w:textAlignment w:val="baseline"/>
    </w:pPr>
    <w:rPr>
      <w:rFonts w:ascii="宋体" w:hAnsi="宋体"/>
      <w:kern w:val="0"/>
      <w:sz w:val="24"/>
      <w:szCs w:val="24"/>
    </w:rPr>
  </w:style>
  <w:style w:type="paragraph" w:styleId="73">
    <w:name w:val="index 9"/>
    <w:basedOn w:val="1"/>
    <w:next w:val="1"/>
    <w:semiHidden/>
    <w:qFormat/>
    <w:uiPriority w:val="0"/>
    <w:pPr>
      <w:adjustRightInd w:val="0"/>
      <w:ind w:left="1600" w:leftChars="1600"/>
      <w:jc w:val="left"/>
      <w:textAlignment w:val="baseline"/>
    </w:pPr>
    <w:rPr>
      <w:rFonts w:ascii="宋体" w:hAnsi="宋体"/>
      <w:kern w:val="0"/>
      <w:sz w:val="24"/>
      <w:szCs w:val="24"/>
    </w:rPr>
  </w:style>
  <w:style w:type="paragraph" w:styleId="74">
    <w:name w:val="table of figures"/>
    <w:basedOn w:val="1"/>
    <w:next w:val="1"/>
    <w:semiHidden/>
    <w:qFormat/>
    <w:uiPriority w:val="0"/>
    <w:pPr>
      <w:ind w:left="840" w:leftChars="200" w:hanging="420" w:hangingChars="200"/>
    </w:pPr>
    <w:rPr>
      <w:rFonts w:ascii="仿宋_GB2312" w:hAnsi="Times New Roman" w:eastAsia="仿宋_GB2312"/>
      <w:sz w:val="30"/>
      <w:szCs w:val="20"/>
    </w:rPr>
  </w:style>
  <w:style w:type="paragraph" w:styleId="75">
    <w:name w:val="toc 9"/>
    <w:basedOn w:val="1"/>
    <w:next w:val="1"/>
    <w:qFormat/>
    <w:uiPriority w:val="0"/>
    <w:pPr>
      <w:ind w:left="1600" w:leftChars="1600"/>
    </w:pPr>
  </w:style>
  <w:style w:type="paragraph" w:styleId="76">
    <w:name w:val="Body Text 2"/>
    <w:basedOn w:val="1"/>
    <w:qFormat/>
    <w:uiPriority w:val="0"/>
    <w:pPr>
      <w:spacing w:line="300" w:lineRule="exact"/>
    </w:pPr>
    <w:rPr>
      <w:rFonts w:ascii="宋体" w:hAnsi="宋体"/>
      <w:sz w:val="24"/>
    </w:rPr>
  </w:style>
  <w:style w:type="paragraph" w:styleId="77">
    <w:name w:val="List 4"/>
    <w:basedOn w:val="1"/>
    <w:qFormat/>
    <w:uiPriority w:val="0"/>
    <w:pPr>
      <w:ind w:left="100" w:leftChars="600" w:hanging="200" w:hangingChars="200"/>
    </w:pPr>
    <w:rPr>
      <w:rFonts w:ascii="Times New Roman" w:hAnsi="Times New Roman"/>
      <w:szCs w:val="21"/>
    </w:rPr>
  </w:style>
  <w:style w:type="paragraph" w:styleId="78">
    <w:name w:val="List Continue 2"/>
    <w:basedOn w:val="1"/>
    <w:semiHidden/>
    <w:qFormat/>
    <w:uiPriority w:val="0"/>
    <w:pPr>
      <w:spacing w:after="120"/>
      <w:ind w:left="840" w:leftChars="400"/>
    </w:pPr>
    <w:rPr>
      <w:rFonts w:ascii="Times New Roman" w:hAnsi="Times New Roman"/>
      <w:szCs w:val="24"/>
    </w:rPr>
  </w:style>
  <w:style w:type="paragraph" w:styleId="79">
    <w:name w:val="Message Header"/>
    <w:basedOn w:val="1"/>
    <w:link w:val="208"/>
    <w:semiHidden/>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0">
    <w:name w:val="HTML Preformatted"/>
    <w:basedOn w:val="1"/>
    <w:link w:val="209"/>
    <w:semiHidden/>
    <w:qFormat/>
    <w:uiPriority w:val="0"/>
    <w:rPr>
      <w:rFonts w:ascii="Courier New" w:hAnsi="Courier New" w:cs="Courier New"/>
      <w:sz w:val="20"/>
      <w:szCs w:val="20"/>
    </w:rPr>
  </w:style>
  <w:style w:type="paragraph" w:styleId="81">
    <w:name w:val="Normal (Web)"/>
    <w:basedOn w:val="1"/>
    <w:qFormat/>
    <w:uiPriority w:val="0"/>
    <w:pPr>
      <w:wordWrap w:val="0"/>
      <w:jc w:val="left"/>
    </w:pPr>
    <w:rPr>
      <w:rFonts w:ascii="微软雅黑" w:hAnsi="微软雅黑" w:eastAsia="微软雅黑"/>
      <w:color w:val="333333"/>
      <w:kern w:val="0"/>
      <w:szCs w:val="21"/>
    </w:rPr>
  </w:style>
  <w:style w:type="paragraph" w:styleId="82">
    <w:name w:val="List Continue 3"/>
    <w:basedOn w:val="1"/>
    <w:semiHidden/>
    <w:qFormat/>
    <w:uiPriority w:val="0"/>
    <w:pPr>
      <w:spacing w:after="120"/>
      <w:ind w:left="1260" w:leftChars="600"/>
    </w:pPr>
    <w:rPr>
      <w:rFonts w:ascii="Times New Roman" w:hAnsi="Times New Roman"/>
      <w:szCs w:val="21"/>
    </w:rPr>
  </w:style>
  <w:style w:type="paragraph" w:styleId="83">
    <w:name w:val="index 2"/>
    <w:basedOn w:val="1"/>
    <w:next w:val="1"/>
    <w:semiHidden/>
    <w:qFormat/>
    <w:uiPriority w:val="0"/>
    <w:pPr>
      <w:adjustRightInd w:val="0"/>
      <w:ind w:left="200" w:leftChars="200"/>
      <w:jc w:val="left"/>
      <w:textAlignment w:val="baseline"/>
    </w:pPr>
    <w:rPr>
      <w:rFonts w:ascii="宋体" w:hAnsi="宋体"/>
      <w:kern w:val="0"/>
      <w:sz w:val="24"/>
      <w:szCs w:val="24"/>
    </w:rPr>
  </w:style>
  <w:style w:type="paragraph" w:styleId="84">
    <w:name w:val="Title"/>
    <w:basedOn w:val="1"/>
    <w:next w:val="46"/>
    <w:link w:val="210"/>
    <w:qFormat/>
    <w:uiPriority w:val="0"/>
    <w:pPr>
      <w:spacing w:before="240" w:after="60"/>
      <w:outlineLvl w:val="0"/>
    </w:pPr>
    <w:rPr>
      <w:rFonts w:ascii="Arial" w:hAnsi="Arial"/>
      <w:sz w:val="28"/>
      <w:szCs w:val="24"/>
    </w:rPr>
  </w:style>
  <w:style w:type="paragraph" w:styleId="85">
    <w:name w:val="annotation subject"/>
    <w:basedOn w:val="28"/>
    <w:next w:val="28"/>
    <w:link w:val="211"/>
    <w:qFormat/>
    <w:uiPriority w:val="0"/>
  </w:style>
  <w:style w:type="paragraph" w:styleId="86">
    <w:name w:val="Body Text First Indent"/>
    <w:basedOn w:val="34"/>
    <w:qFormat/>
    <w:uiPriority w:val="0"/>
    <w:pPr>
      <w:ind w:firstLine="420" w:firstLineChars="100"/>
    </w:pPr>
  </w:style>
  <w:style w:type="paragraph" w:styleId="87">
    <w:name w:val="Body Text First Indent 2"/>
    <w:basedOn w:val="36"/>
    <w:next w:val="86"/>
    <w:qFormat/>
    <w:uiPriority w:val="0"/>
    <w:pPr>
      <w:ind w:firstLine="420"/>
    </w:pPr>
  </w:style>
  <w:style w:type="table" w:styleId="8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styleId="90">
    <w:name w:val="Table Theme"/>
    <w:basedOn w:val="88"/>
    <w:semiHidden/>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2">
    <w:name w:val="Table Colorful 2"/>
    <w:basedOn w:val="88"/>
    <w:semiHidden/>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3">
    <w:name w:val="Table Colorful 3"/>
    <w:basedOn w:val="88"/>
    <w:semiHidden/>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4">
    <w:name w:val="Table Elegant"/>
    <w:basedOn w:val="88"/>
    <w:semiHidden/>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5">
    <w:name w:val="Table Classic 1"/>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6">
    <w:name w:val="Table Classic 2"/>
    <w:basedOn w:val="88"/>
    <w:semiHidden/>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7">
    <w:name w:val="Table Classic 3"/>
    <w:basedOn w:val="88"/>
    <w:semiHidden/>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8">
    <w:name w:val="Table Classic 4"/>
    <w:basedOn w:val="88"/>
    <w:semiHidden/>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9">
    <w:name w:val="Table Simple 1"/>
    <w:basedOn w:val="88"/>
    <w:semiHidden/>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00">
    <w:name w:val="Table Simple 2"/>
    <w:basedOn w:val="88"/>
    <w:semiHidden/>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Simple 3"/>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02">
    <w:name w:val="Table Subtle 1"/>
    <w:basedOn w:val="88"/>
    <w:semiHidden/>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Subtle 2"/>
    <w:basedOn w:val="88"/>
    <w:semiHidden/>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3D effects 1"/>
    <w:basedOn w:val="88"/>
    <w:semiHidden/>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5">
    <w:name w:val="Table 3D effects 2"/>
    <w:basedOn w:val="88"/>
    <w:semiHidden/>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3D effects 3"/>
    <w:basedOn w:val="88"/>
    <w:semiHidden/>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7">
    <w:name w:val="Table List 1"/>
    <w:basedOn w:val="88"/>
    <w:semiHidden/>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8">
    <w:name w:val="Table List 2"/>
    <w:basedOn w:val="88"/>
    <w:semiHidden/>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9">
    <w:name w:val="Table List 3"/>
    <w:basedOn w:val="88"/>
    <w:semiHidden/>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10">
    <w:name w:val="Table List 4"/>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11">
    <w:name w:val="Table List 5"/>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2">
    <w:name w:val="Table List 6"/>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List 7"/>
    <w:basedOn w:val="88"/>
    <w:semiHidden/>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4">
    <w:name w:val="Table List 8"/>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5">
    <w:name w:val="Table Contemporary"/>
    <w:basedOn w:val="88"/>
    <w:semiHidden/>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6">
    <w:name w:val="Table Columns 1"/>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7">
    <w:name w:val="Table Columns 2"/>
    <w:basedOn w:val="88"/>
    <w:semiHidden/>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8">
    <w:name w:val="Table Columns 3"/>
    <w:basedOn w:val="88"/>
    <w:semiHidden/>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9">
    <w:name w:val="Table Columns 4"/>
    <w:basedOn w:val="88"/>
    <w:semiHidden/>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2">
    <w:name w:val="Table Grid 2"/>
    <w:basedOn w:val="88"/>
    <w:semiHidden/>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3">
    <w:name w:val="Table Grid 3"/>
    <w:basedOn w:val="88"/>
    <w:semiHidden/>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4"/>
    <w:basedOn w:val="88"/>
    <w:semiHidden/>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5">
    <w:name w:val="Table Grid 5"/>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6">
    <w:name w:val="Table Grid 6"/>
    <w:basedOn w:val="88"/>
    <w:semiHidden/>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7">
    <w:name w:val="Table Grid 7"/>
    <w:basedOn w:val="88"/>
    <w:semiHidden/>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8">
    <w:name w:val="Table Grid 8"/>
    <w:basedOn w:val="88"/>
    <w:semiHidden/>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9">
    <w:name w:val="Table Web 1"/>
    <w:basedOn w:val="88"/>
    <w:semiHidden/>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Web 2"/>
    <w:basedOn w:val="88"/>
    <w:semiHidden/>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1">
    <w:name w:val="Table Web 3"/>
    <w:basedOn w:val="88"/>
    <w:semiHidden/>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2">
    <w:name w:val="Table Professional"/>
    <w:basedOn w:val="88"/>
    <w:semiHidden/>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4">
    <w:name w:val="Strong"/>
    <w:qFormat/>
    <w:uiPriority w:val="0"/>
    <w:rPr>
      <w:b/>
      <w:bCs/>
    </w:rPr>
  </w:style>
  <w:style w:type="character" w:styleId="135">
    <w:name w:val="page number"/>
    <w:basedOn w:val="133"/>
    <w:qFormat/>
    <w:uiPriority w:val="0"/>
  </w:style>
  <w:style w:type="character" w:styleId="136">
    <w:name w:val="FollowedHyperlink"/>
    <w:basedOn w:val="133"/>
    <w:unhideWhenUsed/>
    <w:qFormat/>
    <w:uiPriority w:val="0"/>
    <w:rPr>
      <w:color w:val="800080"/>
      <w:u w:val="none"/>
    </w:rPr>
  </w:style>
  <w:style w:type="character" w:styleId="137">
    <w:name w:val="Emphasis"/>
    <w:basedOn w:val="133"/>
    <w:qFormat/>
    <w:uiPriority w:val="0"/>
  </w:style>
  <w:style w:type="character" w:styleId="138">
    <w:name w:val="line number"/>
    <w:basedOn w:val="133"/>
    <w:semiHidden/>
    <w:qFormat/>
    <w:uiPriority w:val="0"/>
  </w:style>
  <w:style w:type="character" w:styleId="139">
    <w:name w:val="HTML Definition"/>
    <w:basedOn w:val="133"/>
    <w:semiHidden/>
    <w:unhideWhenUsed/>
    <w:qFormat/>
    <w:uiPriority w:val="0"/>
  </w:style>
  <w:style w:type="character" w:styleId="140">
    <w:name w:val="HTML Typewriter"/>
    <w:basedOn w:val="133"/>
    <w:semiHidden/>
    <w:unhideWhenUsed/>
    <w:qFormat/>
    <w:uiPriority w:val="0"/>
    <w:rPr>
      <w:rFonts w:hint="default" w:ascii="monospace" w:hAnsi="monospace" w:eastAsia="monospace" w:cs="monospace"/>
      <w:sz w:val="20"/>
    </w:rPr>
  </w:style>
  <w:style w:type="character" w:styleId="141">
    <w:name w:val="HTML Acronym"/>
    <w:basedOn w:val="133"/>
    <w:semiHidden/>
    <w:unhideWhenUsed/>
    <w:qFormat/>
    <w:uiPriority w:val="0"/>
  </w:style>
  <w:style w:type="character" w:styleId="142">
    <w:name w:val="HTML Variable"/>
    <w:basedOn w:val="133"/>
    <w:semiHidden/>
    <w:unhideWhenUsed/>
    <w:qFormat/>
    <w:uiPriority w:val="0"/>
  </w:style>
  <w:style w:type="character" w:styleId="143">
    <w:name w:val="Hyperlink"/>
    <w:basedOn w:val="133"/>
    <w:qFormat/>
    <w:uiPriority w:val="0"/>
    <w:rPr>
      <w:color w:val="0000FF"/>
      <w:u w:val="none"/>
    </w:rPr>
  </w:style>
  <w:style w:type="character" w:styleId="144">
    <w:name w:val="HTML Code"/>
    <w:basedOn w:val="133"/>
    <w:semiHidden/>
    <w:unhideWhenUsed/>
    <w:qFormat/>
    <w:uiPriority w:val="0"/>
    <w:rPr>
      <w:rFonts w:ascii="monospace" w:hAnsi="monospace" w:eastAsia="monospace" w:cs="monospace"/>
      <w:sz w:val="20"/>
    </w:rPr>
  </w:style>
  <w:style w:type="character" w:styleId="145">
    <w:name w:val="annotation reference"/>
    <w:qFormat/>
    <w:uiPriority w:val="0"/>
    <w:rPr>
      <w:sz w:val="21"/>
    </w:rPr>
  </w:style>
  <w:style w:type="character" w:styleId="146">
    <w:name w:val="HTML Cite"/>
    <w:basedOn w:val="133"/>
    <w:semiHidden/>
    <w:unhideWhenUsed/>
    <w:qFormat/>
    <w:uiPriority w:val="0"/>
  </w:style>
  <w:style w:type="character" w:styleId="147">
    <w:name w:val="HTML Keyboard"/>
    <w:basedOn w:val="133"/>
    <w:semiHidden/>
    <w:unhideWhenUsed/>
    <w:qFormat/>
    <w:uiPriority w:val="0"/>
    <w:rPr>
      <w:rFonts w:hint="default" w:ascii="monospace" w:hAnsi="monospace" w:eastAsia="monospace" w:cs="monospace"/>
      <w:sz w:val="20"/>
    </w:rPr>
  </w:style>
  <w:style w:type="character" w:styleId="148">
    <w:name w:val="HTML Sample"/>
    <w:basedOn w:val="133"/>
    <w:semiHidden/>
    <w:unhideWhenUsed/>
    <w:qFormat/>
    <w:uiPriority w:val="0"/>
    <w:rPr>
      <w:rFonts w:hint="default" w:ascii="monospace" w:hAnsi="monospace" w:eastAsia="monospace" w:cs="monospace"/>
    </w:rPr>
  </w:style>
  <w:style w:type="paragraph" w:customStyle="1" w:styleId="149">
    <w:name w:val="样式 首行缩进:  2 字符"/>
    <w:basedOn w:val="1"/>
    <w:qFormat/>
    <w:uiPriority w:val="0"/>
    <w:pPr>
      <w:ind w:firstLine="560"/>
    </w:pPr>
    <w:rPr>
      <w:rFonts w:eastAsia="仿宋_GB2312" w:cs="宋体"/>
      <w:sz w:val="24"/>
    </w:rPr>
  </w:style>
  <w:style w:type="paragraph" w:customStyle="1" w:styleId="15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51">
    <w:name w:val="首行缩进"/>
    <w:basedOn w:val="152"/>
    <w:next w:val="1"/>
    <w:qFormat/>
    <w:uiPriority w:val="0"/>
    <w:pPr>
      <w:spacing w:line="360" w:lineRule="auto"/>
      <w:ind w:firstLine="480" w:firstLineChars="200"/>
    </w:pPr>
    <w:rPr>
      <w:rFonts w:ascii="宋体" w:hAnsi="宋体" w:cs="宋体"/>
      <w:kern w:val="0"/>
      <w:sz w:val="24"/>
      <w:szCs w:val="24"/>
    </w:rPr>
  </w:style>
  <w:style w:type="paragraph" w:customStyle="1" w:styleId="152">
    <w:name w:val="正文11"/>
    <w:next w:val="151"/>
    <w:qFormat/>
    <w:uiPriority w:val="0"/>
    <w:pPr>
      <w:widowControl w:val="0"/>
      <w:suppressAutoHyphens w:val="0"/>
      <w:bidi w:val="0"/>
      <w:spacing w:beforeLines="0" w:beforeAutospacing="0" w:afterLines="0" w:afterAutospacing="0"/>
      <w:jc w:val="both"/>
    </w:pPr>
    <w:rPr>
      <w:rFonts w:ascii="Calibri" w:hAnsi="Calibri" w:eastAsia="宋体" w:cs="Times New Roman"/>
      <w:color w:val="auto"/>
      <w:kern w:val="2"/>
      <w:sz w:val="21"/>
      <w:szCs w:val="24"/>
      <w:lang w:val="en-US" w:eastAsia="zh-CN" w:bidi="ar-SA"/>
    </w:rPr>
  </w:style>
  <w:style w:type="character" w:customStyle="1" w:styleId="153">
    <w:name w:val="style_kwd"/>
    <w:basedOn w:val="133"/>
    <w:qFormat/>
    <w:uiPriority w:val="0"/>
  </w:style>
  <w:style w:type="character" w:customStyle="1" w:styleId="154">
    <w:name w:val="批注文字 Char1"/>
    <w:qFormat/>
    <w:uiPriority w:val="0"/>
    <w:rPr>
      <w:rFonts w:ascii="Times New Roman" w:hAnsi="Times New Roman" w:eastAsia="宋体" w:cs="Times New Roman"/>
      <w:sz w:val="20"/>
      <w:szCs w:val="20"/>
      <w:lang w:bidi="ar-SA"/>
    </w:rPr>
  </w:style>
  <w:style w:type="character" w:customStyle="1" w:styleId="155">
    <w:name w:val="Comment Text Char"/>
    <w:qFormat/>
    <w:uiPriority w:val="0"/>
  </w:style>
  <w:style w:type="paragraph" w:customStyle="1" w:styleId="156">
    <w:name w:val="修订1"/>
    <w:qFormat/>
    <w:uiPriority w:val="0"/>
    <w:rPr>
      <w:rFonts w:ascii="Times New Roman" w:hAnsi="Times New Roman" w:eastAsia="宋体" w:cs="Times New Roman"/>
      <w:kern w:val="2"/>
      <w:sz w:val="21"/>
      <w:lang w:val="en-US" w:eastAsia="zh-CN" w:bidi="ar-SA"/>
    </w:rPr>
  </w:style>
  <w:style w:type="paragraph" w:customStyle="1" w:styleId="157">
    <w:name w:val="_Style 23"/>
    <w:basedOn w:val="1"/>
    <w:qFormat/>
    <w:uiPriority w:val="0"/>
    <w:pPr>
      <w:widowControl/>
      <w:spacing w:after="160" w:line="240" w:lineRule="exact"/>
      <w:jc w:val="left"/>
    </w:pPr>
  </w:style>
  <w:style w:type="paragraph" w:customStyle="1" w:styleId="158">
    <w:name w:val="TOC 标题1"/>
    <w:basedOn w:val="4"/>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159">
    <w:name w:val="批注文字 字符"/>
    <w:basedOn w:val="133"/>
    <w:link w:val="28"/>
    <w:qFormat/>
    <w:uiPriority w:val="0"/>
    <w:rPr>
      <w:rFonts w:eastAsia="宋体"/>
      <w:kern w:val="2"/>
      <w:sz w:val="21"/>
    </w:rPr>
  </w:style>
  <w:style w:type="character" w:customStyle="1" w:styleId="160">
    <w:name w:val="正文文本 3 字符"/>
    <w:basedOn w:val="133"/>
    <w:link w:val="31"/>
    <w:qFormat/>
    <w:uiPriority w:val="0"/>
    <w:rPr>
      <w:rFonts w:ascii="宋体" w:hAnsi="Calibri" w:eastAsia="宋体"/>
      <w:kern w:val="2"/>
      <w:sz w:val="24"/>
    </w:rPr>
  </w:style>
  <w:style w:type="character" w:customStyle="1" w:styleId="161">
    <w:name w:val="font161"/>
    <w:qFormat/>
    <w:uiPriority w:val="0"/>
    <w:rPr>
      <w:b/>
      <w:bCs/>
      <w:sz w:val="32"/>
      <w:szCs w:val="32"/>
    </w:rPr>
  </w:style>
  <w:style w:type="character" w:customStyle="1" w:styleId="162">
    <w:name w:val="font21"/>
    <w:basedOn w:val="133"/>
    <w:qFormat/>
    <w:uiPriority w:val="0"/>
    <w:rPr>
      <w:rFonts w:hint="eastAsia" w:ascii="宋体" w:hAnsi="宋体" w:eastAsia="宋体" w:cs="宋体"/>
      <w:color w:val="000000"/>
      <w:sz w:val="20"/>
      <w:szCs w:val="20"/>
      <w:u w:val="single"/>
    </w:rPr>
  </w:style>
  <w:style w:type="paragraph" w:styleId="163">
    <w:name w:val="List Paragraph"/>
    <w:basedOn w:val="1"/>
    <w:qFormat/>
    <w:uiPriority w:val="0"/>
    <w:pPr>
      <w:ind w:firstLine="420" w:firstLineChars="200"/>
    </w:pPr>
    <w:rPr>
      <w:rFonts w:asciiTheme="minorHAnsi" w:hAnsiTheme="minorHAnsi" w:eastAsiaTheme="minorEastAsia" w:cstheme="minorBidi"/>
    </w:rPr>
  </w:style>
  <w:style w:type="paragraph" w:customStyle="1" w:styleId="164">
    <w:name w:val="样式"/>
    <w:qFormat/>
    <w:uiPriority w:val="0"/>
    <w:pPr>
      <w:widowControl w:val="0"/>
      <w:autoSpaceDE w:val="0"/>
      <w:autoSpaceDN w:val="0"/>
      <w:adjustRightInd w:val="0"/>
    </w:pPr>
    <w:rPr>
      <w:rFonts w:ascii="宋体" w:hAnsi="宋体" w:eastAsia="宋体" w:cs="Times New Roman"/>
      <w:sz w:val="24"/>
      <w:szCs w:val="22"/>
      <w:lang w:val="en-US" w:eastAsia="zh-CN" w:bidi="ar-SA"/>
    </w:rPr>
  </w:style>
  <w:style w:type="character" w:customStyle="1" w:styleId="165">
    <w:name w:val="font91"/>
    <w:basedOn w:val="133"/>
    <w:qFormat/>
    <w:uiPriority w:val="0"/>
    <w:rPr>
      <w:rFonts w:ascii="Calibri" w:hAnsi="Calibri" w:cs="Calibri"/>
      <w:b/>
      <w:color w:val="000000"/>
      <w:sz w:val="32"/>
      <w:szCs w:val="32"/>
      <w:u w:val="none"/>
    </w:rPr>
  </w:style>
  <w:style w:type="character" w:customStyle="1" w:styleId="166">
    <w:name w:val="font81"/>
    <w:basedOn w:val="133"/>
    <w:qFormat/>
    <w:uiPriority w:val="0"/>
    <w:rPr>
      <w:rFonts w:hint="eastAsia" w:ascii="宋体" w:hAnsi="宋体" w:eastAsia="宋体" w:cs="宋体"/>
      <w:b/>
      <w:color w:val="000000"/>
      <w:sz w:val="32"/>
      <w:szCs w:val="32"/>
      <w:u w:val="none"/>
    </w:rPr>
  </w:style>
  <w:style w:type="character" w:customStyle="1" w:styleId="167">
    <w:name w:val="font131"/>
    <w:basedOn w:val="133"/>
    <w:qFormat/>
    <w:uiPriority w:val="0"/>
    <w:rPr>
      <w:rFonts w:hint="eastAsia" w:ascii="宋体" w:hAnsi="宋体" w:eastAsia="宋体" w:cs="宋体"/>
      <w:color w:val="000000"/>
      <w:sz w:val="24"/>
      <w:szCs w:val="24"/>
      <w:u w:val="none"/>
    </w:rPr>
  </w:style>
  <w:style w:type="character" w:customStyle="1" w:styleId="168">
    <w:name w:val="font71"/>
    <w:basedOn w:val="133"/>
    <w:qFormat/>
    <w:uiPriority w:val="0"/>
    <w:rPr>
      <w:rFonts w:hint="eastAsia" w:ascii="宋体" w:hAnsi="宋体" w:eastAsia="宋体" w:cs="宋体"/>
      <w:color w:val="000000"/>
      <w:sz w:val="12"/>
      <w:szCs w:val="12"/>
      <w:u w:val="none"/>
      <w:vertAlign w:val="superscript"/>
    </w:rPr>
  </w:style>
  <w:style w:type="character" w:customStyle="1" w:styleId="169">
    <w:name w:val="font61"/>
    <w:basedOn w:val="133"/>
    <w:qFormat/>
    <w:uiPriority w:val="0"/>
    <w:rPr>
      <w:rFonts w:hint="eastAsia" w:ascii="宋体" w:hAnsi="宋体" w:eastAsia="宋体" w:cs="宋体"/>
      <w:color w:val="000000"/>
      <w:sz w:val="18"/>
      <w:szCs w:val="18"/>
      <w:u w:val="none"/>
    </w:rPr>
  </w:style>
  <w:style w:type="paragraph" w:customStyle="1" w:styleId="170">
    <w:name w:val="正文文本 2 New New"/>
    <w:qFormat/>
    <w:uiPriority w:val="0"/>
    <w:pPr>
      <w:widowControl w:val="0"/>
      <w:adjustRightInd w:val="0"/>
      <w:snapToGrid w:val="0"/>
      <w:spacing w:line="480" w:lineRule="atLeast"/>
      <w:jc w:val="both"/>
    </w:pPr>
    <w:rPr>
      <w:rFonts w:ascii="宋体" w:hAnsi="宋体" w:eastAsia="宋体" w:cs="Times New Roman"/>
      <w:kern w:val="2"/>
      <w:sz w:val="28"/>
      <w:szCs w:val="24"/>
      <w:lang w:val="en-US" w:eastAsia="zh-CN" w:bidi="ar-SA"/>
    </w:rPr>
  </w:style>
  <w:style w:type="paragraph" w:customStyle="1" w:styleId="171">
    <w:name w:val="Table Paragraph"/>
    <w:qFormat/>
    <w:uiPriority w:val="1"/>
    <w:pPr>
      <w:widowControl w:val="0"/>
      <w:autoSpaceDE w:val="0"/>
      <w:autoSpaceDN w:val="0"/>
    </w:pPr>
    <w:rPr>
      <w:rFonts w:ascii="宋体" w:hAnsi="宋体" w:eastAsia="宋体" w:cs="宋体"/>
      <w:sz w:val="22"/>
      <w:szCs w:val="22"/>
      <w:lang w:val="zh-CN" w:eastAsia="zh-CN" w:bidi="zh-CN"/>
    </w:rPr>
  </w:style>
  <w:style w:type="character" w:customStyle="1" w:styleId="172">
    <w:name w:val="font51"/>
    <w:basedOn w:val="133"/>
    <w:qFormat/>
    <w:uiPriority w:val="0"/>
    <w:rPr>
      <w:rFonts w:hint="eastAsia" w:ascii="微软雅黑" w:hAnsi="微软雅黑" w:eastAsia="微软雅黑" w:cs="微软雅黑"/>
      <w:color w:val="000000"/>
      <w:sz w:val="16"/>
      <w:szCs w:val="16"/>
      <w:u w:val="none"/>
    </w:rPr>
  </w:style>
  <w:style w:type="paragraph" w:customStyle="1" w:styleId="173">
    <w:name w:val="p0"/>
    <w:basedOn w:val="1"/>
    <w:qFormat/>
    <w:uiPriority w:val="0"/>
    <w:pPr>
      <w:widowControl/>
    </w:pPr>
    <w:rPr>
      <w:rFonts w:cs="宋体"/>
      <w:kern w:val="0"/>
      <w:szCs w:val="21"/>
    </w:rPr>
  </w:style>
  <w:style w:type="paragraph" w:customStyle="1" w:styleId="174">
    <w:name w:val="WPSOffice手动目录 1"/>
    <w:qFormat/>
    <w:uiPriority w:val="0"/>
    <w:rPr>
      <w:rFonts w:ascii="Times New Roman" w:hAnsi="Times New Roman" w:eastAsia="宋体" w:cs="Times New Roman"/>
      <w:lang w:val="en-US" w:eastAsia="zh-CN" w:bidi="ar-SA"/>
    </w:rPr>
  </w:style>
  <w:style w:type="character" w:customStyle="1" w:styleId="175">
    <w:name w:val="15"/>
    <w:basedOn w:val="133"/>
    <w:qFormat/>
    <w:uiPriority w:val="0"/>
    <w:rPr>
      <w:rFonts w:hint="default" w:ascii="Times New Roman" w:hAnsi="Times New Roman" w:cs="Times New Roman"/>
    </w:rPr>
  </w:style>
  <w:style w:type="character" w:customStyle="1" w:styleId="176">
    <w:name w:val="10"/>
    <w:basedOn w:val="133"/>
    <w:qFormat/>
    <w:uiPriority w:val="0"/>
    <w:rPr>
      <w:rFonts w:hint="default" w:ascii="Times New Roman" w:hAnsi="Times New Roman" w:cs="Times New Roman"/>
    </w:rPr>
  </w:style>
  <w:style w:type="table" w:customStyle="1" w:styleId="177">
    <w:name w:val="Table Normal"/>
    <w:semiHidden/>
    <w:unhideWhenUsed/>
    <w:qFormat/>
    <w:uiPriority w:val="0"/>
    <w:tblPr>
      <w:tblCellMar>
        <w:top w:w="0" w:type="dxa"/>
        <w:left w:w="0" w:type="dxa"/>
        <w:bottom w:w="0" w:type="dxa"/>
        <w:right w:w="0" w:type="dxa"/>
      </w:tblCellMar>
    </w:tblPr>
  </w:style>
  <w:style w:type="character" w:customStyle="1" w:styleId="178">
    <w:name w:val="@-加粗下划线字体"/>
    <w:qFormat/>
    <w:locked/>
    <w:uiPriority w:val="0"/>
    <w:rPr>
      <w:rFonts w:eastAsia="仿宋_GB2312"/>
      <w:color w:val="0000FF"/>
      <w:sz w:val="21"/>
      <w:u w:val="none"/>
    </w:rPr>
  </w:style>
  <w:style w:type="character" w:customStyle="1" w:styleId="179">
    <w:name w:val="NormalCharacter"/>
    <w:qFormat/>
    <w:uiPriority w:val="99"/>
    <w:rPr>
      <w:kern w:val="2"/>
      <w:sz w:val="21"/>
      <w:szCs w:val="24"/>
      <w:lang w:val="en-US" w:eastAsia="zh-CN" w:bidi="ar-SA"/>
    </w:rPr>
  </w:style>
  <w:style w:type="character" w:customStyle="1" w:styleId="180">
    <w:name w:val="标题 4 字符"/>
    <w:basedOn w:val="133"/>
    <w:link w:val="6"/>
    <w:qFormat/>
    <w:uiPriority w:val="0"/>
    <w:rPr>
      <w:rFonts w:asciiTheme="majorHAnsi" w:hAnsiTheme="majorHAnsi" w:eastAsiaTheme="majorEastAsia" w:cstheme="majorBidi"/>
      <w:b/>
      <w:bCs/>
      <w:kern w:val="2"/>
      <w:sz w:val="28"/>
      <w:szCs w:val="28"/>
    </w:rPr>
  </w:style>
  <w:style w:type="character" w:customStyle="1" w:styleId="181">
    <w:name w:val="页脚 Char1"/>
    <w:qFormat/>
    <w:uiPriority w:val="99"/>
    <w:rPr>
      <w:rFonts w:eastAsia="宋体"/>
      <w:kern w:val="2"/>
      <w:sz w:val="18"/>
      <w:lang w:val="en-US" w:eastAsia="zh-CN"/>
    </w:rPr>
  </w:style>
  <w:style w:type="character" w:customStyle="1" w:styleId="182">
    <w:name w:val="标题 5 字符"/>
    <w:basedOn w:val="133"/>
    <w:link w:val="7"/>
    <w:qFormat/>
    <w:uiPriority w:val="0"/>
    <w:rPr>
      <w:rFonts w:ascii="Calibri" w:hAnsi="Calibri"/>
      <w:b/>
      <w:bCs/>
      <w:kern w:val="2"/>
      <w:sz w:val="28"/>
      <w:szCs w:val="28"/>
    </w:rPr>
  </w:style>
  <w:style w:type="character" w:customStyle="1" w:styleId="183">
    <w:name w:val="标题 6 字符"/>
    <w:basedOn w:val="133"/>
    <w:link w:val="8"/>
    <w:qFormat/>
    <w:uiPriority w:val="0"/>
    <w:rPr>
      <w:rFonts w:ascii="Cambria" w:hAnsi="Cambria"/>
      <w:b/>
      <w:bCs/>
      <w:kern w:val="2"/>
      <w:sz w:val="24"/>
      <w:szCs w:val="24"/>
    </w:rPr>
  </w:style>
  <w:style w:type="character" w:customStyle="1" w:styleId="184">
    <w:name w:val="标题 7 字符"/>
    <w:basedOn w:val="133"/>
    <w:link w:val="9"/>
    <w:qFormat/>
    <w:uiPriority w:val="0"/>
    <w:rPr>
      <w:rFonts w:ascii="Calibri" w:hAnsi="Calibri"/>
      <w:b/>
      <w:bCs/>
      <w:kern w:val="2"/>
      <w:sz w:val="24"/>
      <w:szCs w:val="24"/>
    </w:rPr>
  </w:style>
  <w:style w:type="character" w:customStyle="1" w:styleId="185">
    <w:name w:val="标题 8 字符"/>
    <w:basedOn w:val="133"/>
    <w:link w:val="10"/>
    <w:qFormat/>
    <w:uiPriority w:val="0"/>
    <w:rPr>
      <w:rFonts w:ascii="Cambria" w:hAnsi="Cambria"/>
      <w:kern w:val="2"/>
      <w:sz w:val="24"/>
      <w:szCs w:val="24"/>
    </w:rPr>
  </w:style>
  <w:style w:type="character" w:customStyle="1" w:styleId="186">
    <w:name w:val="标题 9 字符"/>
    <w:basedOn w:val="133"/>
    <w:link w:val="11"/>
    <w:qFormat/>
    <w:uiPriority w:val="0"/>
    <w:rPr>
      <w:rFonts w:ascii="Cambria" w:hAnsi="Cambria"/>
      <w:kern w:val="2"/>
      <w:sz w:val="21"/>
      <w:szCs w:val="21"/>
    </w:rPr>
  </w:style>
  <w:style w:type="character" w:customStyle="1" w:styleId="187">
    <w:name w:val="正文文本缩进 字符"/>
    <w:basedOn w:val="133"/>
    <w:link w:val="36"/>
    <w:qFormat/>
    <w:uiPriority w:val="0"/>
    <w:rPr>
      <w:rFonts w:ascii="Calibri" w:hAnsi="Calibri"/>
      <w:kern w:val="2"/>
      <w:sz w:val="21"/>
      <w:szCs w:val="22"/>
    </w:rPr>
  </w:style>
  <w:style w:type="character" w:customStyle="1" w:styleId="188">
    <w:name w:val="正文文本 字符"/>
    <w:link w:val="34"/>
    <w:qFormat/>
    <w:uiPriority w:val="0"/>
    <w:rPr>
      <w:rFonts w:ascii="Calibri" w:hAnsi="Calibri"/>
      <w:kern w:val="2"/>
      <w:sz w:val="21"/>
      <w:szCs w:val="22"/>
    </w:rPr>
  </w:style>
  <w:style w:type="character" w:customStyle="1" w:styleId="189">
    <w:name w:val="宏文本 字符"/>
    <w:basedOn w:val="133"/>
    <w:link w:val="3"/>
    <w:semiHidden/>
    <w:qFormat/>
    <w:uiPriority w:val="0"/>
    <w:rPr>
      <w:rFonts w:ascii="Courier New" w:hAnsi="Courier New" w:cs="Courier New"/>
      <w:sz w:val="24"/>
      <w:szCs w:val="24"/>
    </w:rPr>
  </w:style>
  <w:style w:type="character" w:customStyle="1" w:styleId="190">
    <w:name w:val="标题 1 字符"/>
    <w:link w:val="4"/>
    <w:qFormat/>
    <w:uiPriority w:val="0"/>
    <w:rPr>
      <w:b/>
      <w:kern w:val="44"/>
      <w:sz w:val="44"/>
    </w:rPr>
  </w:style>
  <w:style w:type="character" w:customStyle="1" w:styleId="191">
    <w:name w:val="标题 2 字符"/>
    <w:basedOn w:val="133"/>
    <w:link w:val="2"/>
    <w:qFormat/>
    <w:uiPriority w:val="0"/>
    <w:rPr>
      <w:rFonts w:ascii="Arial" w:hAnsi="Arial" w:eastAsia="黑体"/>
      <w:b/>
      <w:kern w:val="2"/>
      <w:sz w:val="32"/>
    </w:rPr>
  </w:style>
  <w:style w:type="character" w:customStyle="1" w:styleId="192">
    <w:name w:val="标题 3 字符"/>
    <w:link w:val="5"/>
    <w:qFormat/>
    <w:uiPriority w:val="0"/>
    <w:rPr>
      <w:rFonts w:ascii="黑体" w:hAnsi="Calibri" w:eastAsia="黑体"/>
      <w:kern w:val="2"/>
      <w:sz w:val="28"/>
    </w:rPr>
  </w:style>
  <w:style w:type="character" w:customStyle="1" w:styleId="193">
    <w:name w:val="注释标题 字符"/>
    <w:basedOn w:val="133"/>
    <w:link w:val="16"/>
    <w:qFormat/>
    <w:uiPriority w:val="0"/>
    <w:rPr>
      <w:kern w:val="2"/>
      <w:sz w:val="21"/>
      <w:szCs w:val="21"/>
    </w:rPr>
  </w:style>
  <w:style w:type="character" w:customStyle="1" w:styleId="194">
    <w:name w:val="电子邮件签名 字符"/>
    <w:basedOn w:val="133"/>
    <w:link w:val="19"/>
    <w:semiHidden/>
    <w:qFormat/>
    <w:uiPriority w:val="0"/>
    <w:rPr>
      <w:kern w:val="2"/>
      <w:sz w:val="21"/>
      <w:szCs w:val="21"/>
    </w:rPr>
  </w:style>
  <w:style w:type="character" w:customStyle="1" w:styleId="195">
    <w:name w:val="文档结构图 字符"/>
    <w:link w:val="26"/>
    <w:qFormat/>
    <w:uiPriority w:val="0"/>
    <w:rPr>
      <w:rFonts w:ascii="宋体" w:hAnsi="Calibri" w:cs="宋体"/>
      <w:kern w:val="2"/>
      <w:sz w:val="18"/>
      <w:szCs w:val="18"/>
    </w:rPr>
  </w:style>
  <w:style w:type="character" w:customStyle="1" w:styleId="196">
    <w:name w:val="称呼 字符"/>
    <w:basedOn w:val="133"/>
    <w:link w:val="30"/>
    <w:qFormat/>
    <w:uiPriority w:val="0"/>
    <w:rPr>
      <w:kern w:val="2"/>
      <w:sz w:val="21"/>
      <w:szCs w:val="21"/>
    </w:rPr>
  </w:style>
  <w:style w:type="character" w:customStyle="1" w:styleId="197">
    <w:name w:val="结束语 字符"/>
    <w:basedOn w:val="133"/>
    <w:link w:val="32"/>
    <w:semiHidden/>
    <w:qFormat/>
    <w:uiPriority w:val="0"/>
    <w:rPr>
      <w:kern w:val="2"/>
      <w:sz w:val="21"/>
      <w:szCs w:val="21"/>
    </w:rPr>
  </w:style>
  <w:style w:type="character" w:customStyle="1" w:styleId="198">
    <w:name w:val="HTML 地址 字符"/>
    <w:basedOn w:val="133"/>
    <w:link w:val="42"/>
    <w:semiHidden/>
    <w:qFormat/>
    <w:uiPriority w:val="0"/>
    <w:rPr>
      <w:i/>
      <w:iCs/>
      <w:kern w:val="2"/>
      <w:sz w:val="21"/>
      <w:szCs w:val="21"/>
    </w:rPr>
  </w:style>
  <w:style w:type="character" w:customStyle="1" w:styleId="199">
    <w:name w:val="纯文本 字符"/>
    <w:basedOn w:val="133"/>
    <w:link w:val="46"/>
    <w:qFormat/>
    <w:uiPriority w:val="0"/>
    <w:rPr>
      <w:rFonts w:ascii="宋体" w:hAnsi="Calibri"/>
      <w:kern w:val="2"/>
      <w:sz w:val="21"/>
      <w:szCs w:val="22"/>
    </w:rPr>
  </w:style>
  <w:style w:type="character" w:customStyle="1" w:styleId="200">
    <w:name w:val="正文文本缩进 2 字符"/>
    <w:basedOn w:val="133"/>
    <w:link w:val="52"/>
    <w:qFormat/>
    <w:uiPriority w:val="0"/>
    <w:rPr>
      <w:kern w:val="2"/>
      <w:sz w:val="21"/>
      <w:szCs w:val="24"/>
    </w:rPr>
  </w:style>
  <w:style w:type="character" w:customStyle="1" w:styleId="201">
    <w:name w:val="尾注文本 字符"/>
    <w:basedOn w:val="133"/>
    <w:link w:val="53"/>
    <w:semiHidden/>
    <w:qFormat/>
    <w:uiPriority w:val="0"/>
    <w:rPr>
      <w:rFonts w:ascii="宋体" w:hAnsi="宋体"/>
      <w:sz w:val="24"/>
      <w:szCs w:val="24"/>
    </w:rPr>
  </w:style>
  <w:style w:type="character" w:customStyle="1" w:styleId="202">
    <w:name w:val="批注框文本 字符"/>
    <w:link w:val="55"/>
    <w:qFormat/>
    <w:uiPriority w:val="0"/>
    <w:rPr>
      <w:kern w:val="2"/>
      <w:sz w:val="18"/>
    </w:rPr>
  </w:style>
  <w:style w:type="character" w:customStyle="1" w:styleId="203">
    <w:name w:val="页脚 字符"/>
    <w:link w:val="56"/>
    <w:qFormat/>
    <w:uiPriority w:val="0"/>
    <w:rPr>
      <w:rFonts w:ascii="Calibri" w:hAnsi="Calibri"/>
      <w:kern w:val="2"/>
      <w:sz w:val="18"/>
      <w:szCs w:val="22"/>
    </w:rPr>
  </w:style>
  <w:style w:type="character" w:customStyle="1" w:styleId="204">
    <w:name w:val="页眉 字符"/>
    <w:link w:val="58"/>
    <w:qFormat/>
    <w:uiPriority w:val="0"/>
    <w:rPr>
      <w:kern w:val="2"/>
      <w:sz w:val="18"/>
    </w:rPr>
  </w:style>
  <w:style w:type="character" w:customStyle="1" w:styleId="205">
    <w:name w:val="签名 字符"/>
    <w:basedOn w:val="133"/>
    <w:link w:val="59"/>
    <w:semiHidden/>
    <w:qFormat/>
    <w:uiPriority w:val="0"/>
    <w:rPr>
      <w:kern w:val="2"/>
      <w:sz w:val="21"/>
      <w:szCs w:val="21"/>
    </w:rPr>
  </w:style>
  <w:style w:type="character" w:customStyle="1" w:styleId="206">
    <w:name w:val="副标题 字符"/>
    <w:basedOn w:val="133"/>
    <w:link w:val="65"/>
    <w:qFormat/>
    <w:uiPriority w:val="0"/>
    <w:rPr>
      <w:rFonts w:ascii="Cambria" w:hAnsi="Cambria"/>
      <w:b/>
      <w:bCs/>
      <w:kern w:val="28"/>
      <w:sz w:val="32"/>
      <w:szCs w:val="32"/>
    </w:rPr>
  </w:style>
  <w:style w:type="character" w:customStyle="1" w:styleId="207">
    <w:name w:val="脚注文本 字符"/>
    <w:basedOn w:val="133"/>
    <w:link w:val="68"/>
    <w:semiHidden/>
    <w:qFormat/>
    <w:uiPriority w:val="0"/>
    <w:rPr>
      <w:rFonts w:ascii="宋体" w:hAnsi="宋体"/>
      <w:sz w:val="18"/>
      <w:szCs w:val="18"/>
    </w:rPr>
  </w:style>
  <w:style w:type="character" w:customStyle="1" w:styleId="208">
    <w:name w:val="信息标题 字符"/>
    <w:basedOn w:val="133"/>
    <w:link w:val="79"/>
    <w:semiHidden/>
    <w:qFormat/>
    <w:uiPriority w:val="0"/>
    <w:rPr>
      <w:rFonts w:ascii="Arial" w:hAnsi="Arial" w:cs="Arial"/>
      <w:kern w:val="2"/>
      <w:sz w:val="24"/>
      <w:szCs w:val="24"/>
      <w:shd w:val="pct20" w:color="auto" w:fill="auto"/>
    </w:rPr>
  </w:style>
  <w:style w:type="character" w:customStyle="1" w:styleId="209">
    <w:name w:val="HTML 预设格式 字符"/>
    <w:basedOn w:val="133"/>
    <w:link w:val="80"/>
    <w:semiHidden/>
    <w:qFormat/>
    <w:uiPriority w:val="0"/>
    <w:rPr>
      <w:rFonts w:ascii="Courier New" w:hAnsi="Courier New" w:cs="Courier New"/>
      <w:kern w:val="2"/>
    </w:rPr>
  </w:style>
  <w:style w:type="character" w:customStyle="1" w:styleId="210">
    <w:name w:val="标题 字符"/>
    <w:link w:val="84"/>
    <w:qFormat/>
    <w:uiPriority w:val="0"/>
    <w:rPr>
      <w:rFonts w:ascii="Arial" w:hAnsi="Arial"/>
      <w:kern w:val="2"/>
      <w:sz w:val="28"/>
      <w:szCs w:val="24"/>
    </w:rPr>
  </w:style>
  <w:style w:type="character" w:customStyle="1" w:styleId="211">
    <w:name w:val="批注主题 字符"/>
    <w:link w:val="85"/>
    <w:qFormat/>
    <w:uiPriority w:val="0"/>
    <w:rPr>
      <w:kern w:val="2"/>
      <w:sz w:val="21"/>
    </w:rPr>
  </w:style>
  <w:style w:type="character" w:customStyle="1" w:styleId="212">
    <w:name w:val="样式 样式 样式 内容 + 首行缩进:  2 字符1 + 首行缩进:  2 字符 + 首行缩进:  2 字符 Char"/>
    <w:basedOn w:val="133"/>
    <w:qFormat/>
    <w:uiPriority w:val="0"/>
    <w:rPr>
      <w:rFonts w:eastAsia="仿宋_GB2312" w:cs="宋体"/>
      <w:kern w:val="2"/>
      <w:sz w:val="28"/>
      <w:lang w:val="en-US" w:eastAsia="zh-CN" w:bidi="ar-SA"/>
    </w:rPr>
  </w:style>
  <w:style w:type="character" w:customStyle="1" w:styleId="213">
    <w:name w:val="标题3 Char Char"/>
    <w:basedOn w:val="133"/>
    <w:qFormat/>
    <w:uiPriority w:val="0"/>
    <w:rPr>
      <w:rFonts w:eastAsia="宋体"/>
      <w:b/>
      <w:bCs/>
      <w:kern w:val="2"/>
      <w:sz w:val="32"/>
      <w:szCs w:val="32"/>
      <w:lang w:val="en-US" w:eastAsia="zh-CN" w:bidi="ar-SA"/>
    </w:rPr>
  </w:style>
  <w:style w:type="character" w:customStyle="1" w:styleId="214">
    <w:name w:val="正文文本 Char1"/>
    <w:qFormat/>
    <w:uiPriority w:val="0"/>
    <w:rPr>
      <w:kern w:val="2"/>
      <w:sz w:val="21"/>
      <w:szCs w:val="22"/>
    </w:rPr>
  </w:style>
  <w:style w:type="character" w:customStyle="1" w:styleId="215">
    <w:name w:val="报告正文 Char Char Char Char Char"/>
    <w:basedOn w:val="133"/>
    <w:link w:val="216"/>
    <w:qFormat/>
    <w:uiPriority w:val="0"/>
    <w:rPr>
      <w:rFonts w:ascii="宋体" w:hAnsi="宋体"/>
      <w:bCs/>
      <w:snapToGrid w:val="0"/>
      <w:color w:val="000000"/>
      <w:kern w:val="2"/>
      <w:sz w:val="24"/>
      <w:szCs w:val="24"/>
    </w:rPr>
  </w:style>
  <w:style w:type="paragraph" w:customStyle="1" w:styleId="216">
    <w:name w:val="报告正文 Char Char Char Char"/>
    <w:basedOn w:val="1"/>
    <w:link w:val="215"/>
    <w:qFormat/>
    <w:uiPriority w:val="0"/>
    <w:pPr>
      <w:spacing w:line="360" w:lineRule="auto"/>
      <w:ind w:firstLine="200" w:firstLineChars="200"/>
    </w:pPr>
    <w:rPr>
      <w:rFonts w:ascii="宋体" w:hAnsi="宋体"/>
      <w:bCs/>
      <w:snapToGrid w:val="0"/>
      <w:color w:val="000000"/>
      <w:sz w:val="24"/>
      <w:szCs w:val="24"/>
    </w:rPr>
  </w:style>
  <w:style w:type="character" w:customStyle="1" w:styleId="217">
    <w:name w:val="样式 样式 样式 内容 + 首行缩进:  2 字符1 + 首行缩进:  2 字符 + 首行缩进:  2 字符 Char Char"/>
    <w:basedOn w:val="133"/>
    <w:link w:val="218"/>
    <w:qFormat/>
    <w:uiPriority w:val="0"/>
    <w:rPr>
      <w:rFonts w:eastAsia="仿宋_GB2312" w:cs="宋体"/>
      <w:kern w:val="2"/>
      <w:sz w:val="28"/>
    </w:rPr>
  </w:style>
  <w:style w:type="paragraph" w:customStyle="1" w:styleId="218">
    <w:name w:val="样式 样式 样式 内容 + 首行缩进:  2 字符1 + 首行缩进:  2 字符 + 首行缩进:  2 字符"/>
    <w:basedOn w:val="1"/>
    <w:link w:val="217"/>
    <w:qFormat/>
    <w:uiPriority w:val="0"/>
    <w:pPr>
      <w:spacing w:line="500" w:lineRule="exact"/>
      <w:ind w:firstLine="560" w:firstLineChars="200"/>
    </w:pPr>
    <w:rPr>
      <w:rFonts w:ascii="Times New Roman" w:hAnsi="Times New Roman" w:eastAsia="仿宋_GB2312" w:cs="宋体"/>
      <w:sz w:val="28"/>
      <w:szCs w:val="20"/>
    </w:rPr>
  </w:style>
  <w:style w:type="character" w:customStyle="1" w:styleId="219">
    <w:name w:val="Char Char17"/>
    <w:qFormat/>
    <w:uiPriority w:val="0"/>
    <w:rPr>
      <w:rFonts w:ascii="Cambria" w:hAnsi="Cambria" w:eastAsia="宋体" w:cs="Times New Roman"/>
      <w:b/>
      <w:bCs/>
      <w:kern w:val="2"/>
      <w:sz w:val="32"/>
      <w:szCs w:val="32"/>
    </w:rPr>
  </w:style>
  <w:style w:type="character" w:customStyle="1" w:styleId="220">
    <w:name w:val="样式10排版正文 Char1"/>
    <w:basedOn w:val="133"/>
    <w:link w:val="221"/>
    <w:qFormat/>
    <w:uiPriority w:val="0"/>
    <w:rPr>
      <w:rFonts w:eastAsia="仿宋_GB2312"/>
      <w:snapToGrid w:val="0"/>
      <w:color w:val="000000"/>
      <w:sz w:val="30"/>
      <w:szCs w:val="30"/>
    </w:rPr>
  </w:style>
  <w:style w:type="paragraph" w:customStyle="1" w:styleId="221">
    <w:name w:val="样式10排版正文"/>
    <w:basedOn w:val="1"/>
    <w:link w:val="220"/>
    <w:qFormat/>
    <w:uiPriority w:val="0"/>
    <w:pPr>
      <w:adjustRightInd w:val="0"/>
      <w:snapToGrid w:val="0"/>
      <w:spacing w:line="600" w:lineRule="exact"/>
      <w:ind w:firstLine="607" w:firstLineChars="200"/>
    </w:pPr>
    <w:rPr>
      <w:rFonts w:ascii="Times New Roman" w:hAnsi="Times New Roman" w:eastAsia="仿宋_GB2312"/>
      <w:snapToGrid w:val="0"/>
      <w:color w:val="000000"/>
      <w:kern w:val="0"/>
      <w:sz w:val="30"/>
      <w:szCs w:val="30"/>
    </w:rPr>
  </w:style>
  <w:style w:type="character" w:customStyle="1" w:styleId="222">
    <w:name w:val="表头 Char"/>
    <w:basedOn w:val="133"/>
    <w:link w:val="223"/>
    <w:qFormat/>
    <w:uiPriority w:val="0"/>
    <w:rPr>
      <w:rFonts w:ascii="仿宋_GB2312" w:hAnsi="宋体" w:cs="宋体"/>
      <w:b/>
      <w:kern w:val="2"/>
      <w:sz w:val="24"/>
      <w:szCs w:val="24"/>
    </w:rPr>
  </w:style>
  <w:style w:type="paragraph" w:customStyle="1" w:styleId="223">
    <w:name w:val="表头"/>
    <w:basedOn w:val="1"/>
    <w:link w:val="222"/>
    <w:qFormat/>
    <w:uiPriority w:val="0"/>
    <w:pPr>
      <w:snapToGrid w:val="0"/>
      <w:spacing w:before="50" w:beforeLines="50" w:after="50" w:afterLines="50"/>
      <w:ind w:firstLine="200" w:firstLineChars="200"/>
    </w:pPr>
    <w:rPr>
      <w:rFonts w:ascii="仿宋_GB2312" w:hAnsi="宋体" w:cs="宋体"/>
      <w:b/>
      <w:sz w:val="24"/>
      <w:szCs w:val="24"/>
    </w:rPr>
  </w:style>
  <w:style w:type="character" w:customStyle="1" w:styleId="224">
    <w:name w:val="样式 标题 2 + 仿宋_GB2312 Char"/>
    <w:basedOn w:val="133"/>
    <w:link w:val="225"/>
    <w:qFormat/>
    <w:uiPriority w:val="0"/>
    <w:rPr>
      <w:rFonts w:ascii="仿宋_GB2312" w:hAnsi="仿宋_GB2312" w:eastAsia="仿宋_GB2312"/>
      <w:b/>
      <w:bCs/>
      <w:color w:val="00B0F0"/>
      <w:kern w:val="2"/>
      <w:sz w:val="24"/>
      <w:szCs w:val="30"/>
    </w:rPr>
  </w:style>
  <w:style w:type="paragraph" w:customStyle="1" w:styleId="225">
    <w:name w:val="样式 标题 2 + 仿宋_GB2312"/>
    <w:basedOn w:val="2"/>
    <w:link w:val="224"/>
    <w:qFormat/>
    <w:uiPriority w:val="0"/>
    <w:pPr>
      <w:spacing w:before="120" w:after="120" w:line="360" w:lineRule="auto"/>
    </w:pPr>
    <w:rPr>
      <w:rFonts w:ascii="仿宋_GB2312" w:hAnsi="仿宋_GB2312" w:eastAsia="仿宋_GB2312"/>
      <w:bCs/>
      <w:color w:val="00B0F0"/>
      <w:sz w:val="24"/>
      <w:szCs w:val="30"/>
    </w:rPr>
  </w:style>
  <w:style w:type="character" w:customStyle="1" w:styleId="226">
    <w:name w:val="批注主题 Char1"/>
    <w:qFormat/>
    <w:uiPriority w:val="0"/>
    <w:rPr>
      <w:b/>
      <w:bCs/>
      <w:kern w:val="2"/>
      <w:sz w:val="21"/>
      <w:szCs w:val="22"/>
    </w:rPr>
  </w:style>
  <w:style w:type="character" w:customStyle="1" w:styleId="227">
    <w:name w:val="正文 改 Char"/>
    <w:basedOn w:val="133"/>
    <w:link w:val="228"/>
    <w:qFormat/>
    <w:uiPriority w:val="0"/>
    <w:rPr>
      <w:rFonts w:eastAsia="仿宋" w:cs="宋体"/>
      <w:kern w:val="2"/>
      <w:sz w:val="30"/>
    </w:rPr>
  </w:style>
  <w:style w:type="paragraph" w:customStyle="1" w:styleId="228">
    <w:name w:val="正文 改"/>
    <w:basedOn w:val="1"/>
    <w:link w:val="227"/>
    <w:qFormat/>
    <w:uiPriority w:val="0"/>
    <w:pPr>
      <w:spacing w:line="360" w:lineRule="auto"/>
      <w:ind w:firstLine="200" w:firstLineChars="200"/>
    </w:pPr>
    <w:rPr>
      <w:rFonts w:ascii="Times New Roman" w:hAnsi="Times New Roman" w:eastAsia="仿宋" w:cs="宋体"/>
      <w:sz w:val="30"/>
      <w:szCs w:val="20"/>
    </w:rPr>
  </w:style>
  <w:style w:type="character" w:customStyle="1" w:styleId="229">
    <w:name w:val="样式6-0.2 Char1"/>
    <w:basedOn w:val="133"/>
    <w:link w:val="230"/>
    <w:qFormat/>
    <w:uiPriority w:val="0"/>
    <w:rPr>
      <w:rFonts w:eastAsia="仿宋_GB2312"/>
      <w:snapToGrid w:val="0"/>
      <w:color w:val="000000"/>
      <w:spacing w:val="-4"/>
      <w:sz w:val="30"/>
      <w:szCs w:val="30"/>
    </w:rPr>
  </w:style>
  <w:style w:type="paragraph" w:customStyle="1" w:styleId="230">
    <w:name w:val="样式6-0.2"/>
    <w:basedOn w:val="1"/>
    <w:link w:val="229"/>
    <w:qFormat/>
    <w:uiPriority w:val="0"/>
    <w:pPr>
      <w:adjustRightInd w:val="0"/>
      <w:snapToGrid w:val="0"/>
      <w:spacing w:line="600" w:lineRule="exact"/>
      <w:ind w:firstLine="200" w:firstLineChars="200"/>
    </w:pPr>
    <w:rPr>
      <w:rFonts w:ascii="Times New Roman" w:hAnsi="Times New Roman" w:eastAsia="仿宋_GB2312"/>
      <w:snapToGrid w:val="0"/>
      <w:color w:val="000000"/>
      <w:spacing w:val="-4"/>
      <w:kern w:val="0"/>
      <w:sz w:val="30"/>
      <w:szCs w:val="30"/>
    </w:rPr>
  </w:style>
  <w:style w:type="character" w:customStyle="1" w:styleId="231">
    <w:name w:val="样式4 Char"/>
    <w:link w:val="232"/>
    <w:qFormat/>
    <w:uiPriority w:val="0"/>
    <w:rPr>
      <w:rFonts w:ascii="宋体" w:hAnsi="宋体"/>
      <w:bCs/>
      <w:kern w:val="2"/>
      <w:sz w:val="24"/>
      <w:szCs w:val="24"/>
    </w:rPr>
  </w:style>
  <w:style w:type="paragraph" w:customStyle="1" w:styleId="232">
    <w:name w:val="样式4"/>
    <w:basedOn w:val="1"/>
    <w:link w:val="231"/>
    <w:qFormat/>
    <w:uiPriority w:val="0"/>
    <w:pPr>
      <w:spacing w:line="360" w:lineRule="auto"/>
      <w:ind w:firstLine="482" w:firstLineChars="200"/>
    </w:pPr>
    <w:rPr>
      <w:rFonts w:ascii="宋体" w:hAnsi="宋体"/>
      <w:bCs/>
      <w:sz w:val="24"/>
      <w:szCs w:val="24"/>
    </w:rPr>
  </w:style>
  <w:style w:type="character" w:customStyle="1" w:styleId="233">
    <w:name w:val="明显参考1"/>
    <w:qFormat/>
    <w:uiPriority w:val="0"/>
    <w:rPr>
      <w:b/>
      <w:bCs/>
      <w:smallCaps/>
      <w:color w:val="C0504D"/>
      <w:spacing w:val="5"/>
      <w:u w:val="single"/>
    </w:rPr>
  </w:style>
  <w:style w:type="character" w:customStyle="1" w:styleId="234">
    <w:name w:val="不明显参考1"/>
    <w:qFormat/>
    <w:uiPriority w:val="0"/>
    <w:rPr>
      <w:smallCaps/>
      <w:color w:val="C0504D"/>
      <w:u w:val="single"/>
    </w:rPr>
  </w:style>
  <w:style w:type="character" w:customStyle="1" w:styleId="235">
    <w:name w:val="Char Char"/>
    <w:basedOn w:val="133"/>
    <w:qFormat/>
    <w:uiPriority w:val="0"/>
    <w:rPr>
      <w:rFonts w:hint="default" w:ascii="Arial" w:hAnsi="Arial" w:eastAsia="黑体" w:cs="Arial"/>
      <w:b/>
      <w:bCs/>
      <w:kern w:val="2"/>
      <w:sz w:val="32"/>
      <w:szCs w:val="32"/>
      <w:lang w:val="en-US" w:eastAsia="zh-CN" w:bidi="ar-SA"/>
    </w:rPr>
  </w:style>
  <w:style w:type="character" w:customStyle="1" w:styleId="236">
    <w:name w:val="样式6-0.2 Char"/>
    <w:basedOn w:val="133"/>
    <w:qFormat/>
    <w:uiPriority w:val="0"/>
    <w:rPr>
      <w:rFonts w:eastAsia="仿宋_GB2312"/>
      <w:snapToGrid w:val="0"/>
      <w:spacing w:val="-4"/>
      <w:kern w:val="2"/>
      <w:sz w:val="30"/>
      <w:szCs w:val="30"/>
      <w:lang w:val="en-US" w:eastAsia="zh-CN" w:bidi="ar-SA"/>
    </w:rPr>
  </w:style>
  <w:style w:type="character" w:customStyle="1" w:styleId="237">
    <w:name w:val="样式 左侧:  2 字符 首行缩进:  0.85 厘米 Char"/>
    <w:basedOn w:val="133"/>
    <w:link w:val="238"/>
    <w:qFormat/>
    <w:uiPriority w:val="0"/>
    <w:rPr>
      <w:rFonts w:cs="宋体"/>
      <w:spacing w:val="8"/>
      <w:kern w:val="2"/>
      <w:sz w:val="24"/>
      <w:szCs w:val="24"/>
    </w:rPr>
  </w:style>
  <w:style w:type="paragraph" w:customStyle="1" w:styleId="238">
    <w:name w:val="样式 左侧:  2 字符 首行缩进:  0.85 厘米"/>
    <w:basedOn w:val="1"/>
    <w:link w:val="237"/>
    <w:qFormat/>
    <w:uiPriority w:val="0"/>
    <w:pPr>
      <w:widowControl/>
      <w:tabs>
        <w:tab w:val="left" w:pos="540"/>
        <w:tab w:val="left" w:pos="960"/>
        <w:tab w:val="left" w:pos="1920"/>
      </w:tabs>
      <w:spacing w:line="360" w:lineRule="auto"/>
      <w:ind w:right="240" w:rightChars="100" w:firstLine="538" w:firstLineChars="210"/>
      <w:jc w:val="left"/>
    </w:pPr>
    <w:rPr>
      <w:rFonts w:ascii="Times New Roman" w:hAnsi="Times New Roman" w:cs="宋体"/>
      <w:spacing w:val="8"/>
      <w:sz w:val="24"/>
      <w:szCs w:val="24"/>
    </w:rPr>
  </w:style>
  <w:style w:type="character" w:customStyle="1" w:styleId="239">
    <w:name w:val="正文 Char"/>
    <w:basedOn w:val="133"/>
    <w:semiHidden/>
    <w:qFormat/>
    <w:uiPriority w:val="0"/>
    <w:rPr>
      <w:rFonts w:ascii="宋体" w:hAnsi="宋体" w:eastAsia="宋体"/>
      <w:kern w:val="2"/>
      <w:sz w:val="24"/>
      <w:szCs w:val="24"/>
      <w:lang w:val="en-US" w:eastAsia="zh-CN" w:bidi="ar-SA"/>
    </w:rPr>
  </w:style>
  <w:style w:type="character" w:customStyle="1" w:styleId="240">
    <w:name w:val="标题5 Char Char"/>
    <w:link w:val="241"/>
    <w:qFormat/>
    <w:uiPriority w:val="0"/>
    <w:rPr>
      <w:rFonts w:ascii="Arial" w:hAnsi="Arial"/>
      <w:b/>
      <w:bCs/>
      <w:sz w:val="24"/>
      <w:szCs w:val="32"/>
    </w:rPr>
  </w:style>
  <w:style w:type="paragraph" w:customStyle="1" w:styleId="241">
    <w:name w:val="标题5"/>
    <w:basedOn w:val="5"/>
    <w:link w:val="240"/>
    <w:qFormat/>
    <w:uiPriority w:val="0"/>
    <w:pPr>
      <w:spacing w:line="413" w:lineRule="auto"/>
      <w:ind w:firstLine="0" w:firstLineChars="0"/>
    </w:pPr>
    <w:rPr>
      <w:rFonts w:ascii="Arial" w:hAnsi="Arial" w:eastAsia="宋体"/>
      <w:b/>
      <w:bCs/>
      <w:kern w:val="0"/>
      <w:sz w:val="24"/>
      <w:szCs w:val="32"/>
    </w:rPr>
  </w:style>
  <w:style w:type="character" w:customStyle="1" w:styleId="242">
    <w:name w:val="样式5一、黑体 Char"/>
    <w:basedOn w:val="133"/>
    <w:link w:val="243"/>
    <w:qFormat/>
    <w:uiPriority w:val="0"/>
    <w:rPr>
      <w:rFonts w:ascii="宋体" w:hAnsi="宋体"/>
      <w:b/>
      <w:snapToGrid w:val="0"/>
      <w:color w:val="000000"/>
      <w:sz w:val="24"/>
      <w:szCs w:val="24"/>
    </w:rPr>
  </w:style>
  <w:style w:type="paragraph" w:customStyle="1" w:styleId="243">
    <w:name w:val="样式5一、黑体"/>
    <w:basedOn w:val="1"/>
    <w:link w:val="242"/>
    <w:qFormat/>
    <w:uiPriority w:val="0"/>
    <w:pPr>
      <w:adjustRightInd w:val="0"/>
      <w:snapToGrid w:val="0"/>
      <w:spacing w:line="400" w:lineRule="exact"/>
      <w:ind w:firstLine="542" w:firstLineChars="225"/>
    </w:pPr>
    <w:rPr>
      <w:rFonts w:ascii="宋体" w:hAnsi="宋体"/>
      <w:b/>
      <w:snapToGrid w:val="0"/>
      <w:color w:val="000000"/>
      <w:kern w:val="0"/>
      <w:sz w:val="24"/>
      <w:szCs w:val="24"/>
    </w:rPr>
  </w:style>
  <w:style w:type="character" w:customStyle="1" w:styleId="244">
    <w:name w:val="new1"/>
    <w:basedOn w:val="133"/>
    <w:qFormat/>
    <w:uiPriority w:val="0"/>
    <w:rPr>
      <w:color w:val="274F00"/>
      <w:sz w:val="18"/>
      <w:szCs w:val="18"/>
    </w:rPr>
  </w:style>
  <w:style w:type="character" w:customStyle="1" w:styleId="245">
    <w:name w:val="引用 字符"/>
    <w:link w:val="246"/>
    <w:qFormat/>
    <w:uiPriority w:val="0"/>
    <w:rPr>
      <w:i/>
      <w:iCs/>
      <w:color w:val="000000"/>
      <w:kern w:val="2"/>
      <w:sz w:val="21"/>
      <w:szCs w:val="22"/>
    </w:rPr>
  </w:style>
  <w:style w:type="paragraph" w:styleId="246">
    <w:name w:val="Quote"/>
    <w:basedOn w:val="1"/>
    <w:next w:val="1"/>
    <w:link w:val="245"/>
    <w:qFormat/>
    <w:uiPriority w:val="0"/>
    <w:rPr>
      <w:rFonts w:ascii="Times New Roman" w:hAnsi="Times New Roman"/>
      <w:i/>
      <w:iCs/>
      <w:color w:val="000000"/>
    </w:rPr>
  </w:style>
  <w:style w:type="character" w:customStyle="1" w:styleId="247">
    <w:name w:val="引用 字符1"/>
    <w:basedOn w:val="133"/>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248">
    <w:name w:val="批注框文本 Char1"/>
    <w:qFormat/>
    <w:uiPriority w:val="0"/>
    <w:rPr>
      <w:kern w:val="2"/>
      <w:sz w:val="18"/>
      <w:szCs w:val="18"/>
    </w:rPr>
  </w:style>
  <w:style w:type="character" w:customStyle="1" w:styleId="249">
    <w:name w:val="正文（首行缩进两字） Char Char Char Char Char Char Char Char Char Char Char Char Char Char Char Char Char"/>
    <w:basedOn w:val="133"/>
    <w:qFormat/>
    <w:uiPriority w:val="0"/>
    <w:rPr>
      <w:rFonts w:eastAsia="宋体"/>
      <w:kern w:val="2"/>
      <w:sz w:val="24"/>
      <w:szCs w:val="24"/>
      <w:lang w:val="en-US" w:eastAsia="zh-CN" w:bidi="ar-SA"/>
    </w:rPr>
  </w:style>
  <w:style w:type="character" w:customStyle="1" w:styleId="250">
    <w:name w:val="不明显强调1"/>
    <w:qFormat/>
    <w:uiPriority w:val="0"/>
    <w:rPr>
      <w:i/>
      <w:iCs/>
      <w:color w:val="808080"/>
    </w:rPr>
  </w:style>
  <w:style w:type="character" w:customStyle="1" w:styleId="251">
    <w:name w:val="张锋正文 Char"/>
    <w:basedOn w:val="133"/>
    <w:link w:val="252"/>
    <w:qFormat/>
    <w:uiPriority w:val="0"/>
    <w:rPr>
      <w:color w:val="000000"/>
      <w:sz w:val="24"/>
      <w:szCs w:val="24"/>
    </w:rPr>
  </w:style>
  <w:style w:type="paragraph" w:customStyle="1" w:styleId="252">
    <w:name w:val="张锋正文"/>
    <w:basedOn w:val="1"/>
    <w:link w:val="251"/>
    <w:qFormat/>
    <w:uiPriority w:val="0"/>
    <w:pPr>
      <w:spacing w:line="460" w:lineRule="exact"/>
      <w:ind w:firstLine="200" w:firstLineChars="200"/>
    </w:pPr>
    <w:rPr>
      <w:rFonts w:ascii="Times New Roman" w:hAnsi="Times New Roman"/>
      <w:color w:val="000000"/>
      <w:kern w:val="0"/>
      <w:sz w:val="24"/>
      <w:szCs w:val="24"/>
    </w:rPr>
  </w:style>
  <w:style w:type="character" w:customStyle="1" w:styleId="253">
    <w:name w:val="书籍标题1"/>
    <w:qFormat/>
    <w:uiPriority w:val="0"/>
    <w:rPr>
      <w:b/>
      <w:bCs/>
      <w:smallCaps/>
      <w:spacing w:val="5"/>
    </w:rPr>
  </w:style>
  <w:style w:type="character" w:customStyle="1" w:styleId="254">
    <w:name w:val="样式4 Char Char Char Char"/>
    <w:basedOn w:val="133"/>
    <w:link w:val="255"/>
    <w:qFormat/>
    <w:uiPriority w:val="0"/>
    <w:rPr>
      <w:rFonts w:ascii="Arial" w:hAnsi="Arial" w:cs="Arial"/>
      <w:b/>
      <w:bCs/>
      <w:color w:val="000000"/>
      <w:sz w:val="28"/>
      <w:szCs w:val="28"/>
      <w:lang w:val="zh-CN"/>
    </w:rPr>
  </w:style>
  <w:style w:type="paragraph" w:customStyle="1" w:styleId="255">
    <w:name w:val="样式4 Char Char Char"/>
    <w:basedOn w:val="6"/>
    <w:link w:val="254"/>
    <w:qFormat/>
    <w:uiPriority w:val="0"/>
    <w:pPr>
      <w:numPr>
        <w:ilvl w:val="0"/>
        <w:numId w:val="1"/>
      </w:numPr>
      <w:tabs>
        <w:tab w:val="left" w:pos="398"/>
      </w:tabs>
      <w:autoSpaceDE w:val="0"/>
      <w:autoSpaceDN w:val="0"/>
      <w:adjustRightInd w:val="0"/>
      <w:spacing w:before="120" w:after="120" w:line="240" w:lineRule="auto"/>
      <w:jc w:val="left"/>
    </w:pPr>
    <w:rPr>
      <w:rFonts w:ascii="Arial" w:hAnsi="Arial" w:eastAsia="宋体" w:cs="Arial"/>
      <w:color w:val="000000"/>
      <w:kern w:val="0"/>
      <w:lang w:val="zh-CN"/>
    </w:rPr>
  </w:style>
  <w:style w:type="character" w:customStyle="1" w:styleId="256">
    <w:name w:val="样式7-0.4 Char1"/>
    <w:basedOn w:val="133"/>
    <w:link w:val="257"/>
    <w:qFormat/>
    <w:uiPriority w:val="0"/>
    <w:rPr>
      <w:rFonts w:eastAsia="仿宋_GB2312"/>
      <w:snapToGrid w:val="0"/>
      <w:color w:val="000000"/>
      <w:spacing w:val="-8"/>
      <w:sz w:val="30"/>
      <w:szCs w:val="30"/>
    </w:rPr>
  </w:style>
  <w:style w:type="paragraph" w:customStyle="1" w:styleId="257">
    <w:name w:val="样式7-0.4"/>
    <w:basedOn w:val="1"/>
    <w:link w:val="256"/>
    <w:qFormat/>
    <w:uiPriority w:val="0"/>
    <w:pPr>
      <w:adjustRightInd w:val="0"/>
      <w:snapToGrid w:val="0"/>
      <w:spacing w:line="600" w:lineRule="exact"/>
    </w:pPr>
    <w:rPr>
      <w:rFonts w:ascii="Times New Roman" w:hAnsi="Times New Roman" w:eastAsia="仿宋_GB2312"/>
      <w:snapToGrid w:val="0"/>
      <w:color w:val="000000"/>
      <w:spacing w:val="-8"/>
      <w:kern w:val="0"/>
      <w:sz w:val="30"/>
      <w:szCs w:val="30"/>
    </w:rPr>
  </w:style>
  <w:style w:type="character" w:customStyle="1" w:styleId="258">
    <w:name w:val="样式11 Char"/>
    <w:basedOn w:val="133"/>
    <w:link w:val="259"/>
    <w:qFormat/>
    <w:uiPriority w:val="0"/>
    <w:rPr>
      <w:rFonts w:ascii="仿宋_GB2312" w:hAnsi="宋体" w:eastAsia="仿宋_GB2312"/>
      <w:kern w:val="2"/>
      <w:sz w:val="24"/>
      <w:szCs w:val="24"/>
    </w:rPr>
  </w:style>
  <w:style w:type="paragraph" w:customStyle="1" w:styleId="259">
    <w:name w:val="样式11"/>
    <w:basedOn w:val="260"/>
    <w:link w:val="258"/>
    <w:qFormat/>
    <w:uiPriority w:val="0"/>
    <w:pPr>
      <w:snapToGrid w:val="0"/>
      <w:ind w:firstLine="200"/>
      <w:jc w:val="left"/>
    </w:pPr>
    <w:rPr>
      <w:rFonts w:hAnsi="宋体"/>
      <w:b w:val="0"/>
      <w:szCs w:val="24"/>
    </w:rPr>
  </w:style>
  <w:style w:type="paragraph" w:customStyle="1" w:styleId="260">
    <w:name w:val="样式9"/>
    <w:basedOn w:val="1"/>
    <w:qFormat/>
    <w:uiPriority w:val="0"/>
    <w:pPr>
      <w:spacing w:line="360" w:lineRule="auto"/>
      <w:ind w:firstLine="482" w:firstLineChars="200"/>
    </w:pPr>
    <w:rPr>
      <w:rFonts w:ascii="仿宋_GB2312" w:hAnsi="Times New Roman" w:eastAsia="仿宋_GB2312"/>
      <w:b/>
      <w:sz w:val="24"/>
      <w:szCs w:val="28"/>
    </w:rPr>
  </w:style>
  <w:style w:type="character" w:customStyle="1" w:styleId="261">
    <w:name w:val="样式3 Char"/>
    <w:basedOn w:val="133"/>
    <w:link w:val="262"/>
    <w:semiHidden/>
    <w:qFormat/>
    <w:uiPriority w:val="0"/>
    <w:rPr>
      <w:rFonts w:ascii="宋体" w:hAnsi="宋体" w:eastAsia="黑体"/>
      <w:bCs/>
      <w:kern w:val="2"/>
      <w:sz w:val="28"/>
      <w:szCs w:val="28"/>
    </w:rPr>
  </w:style>
  <w:style w:type="paragraph" w:customStyle="1" w:styleId="262">
    <w:name w:val="样式3"/>
    <w:basedOn w:val="1"/>
    <w:next w:val="232"/>
    <w:link w:val="261"/>
    <w:semiHidden/>
    <w:qFormat/>
    <w:uiPriority w:val="0"/>
    <w:pPr>
      <w:spacing w:line="360" w:lineRule="auto"/>
      <w:ind w:firstLine="560" w:firstLineChars="200"/>
    </w:pPr>
    <w:rPr>
      <w:rFonts w:ascii="宋体" w:hAnsi="宋体" w:eastAsia="黑体"/>
      <w:bCs/>
      <w:sz w:val="28"/>
      <w:szCs w:val="28"/>
    </w:rPr>
  </w:style>
  <w:style w:type="character" w:customStyle="1" w:styleId="263">
    <w:name w:val="textcontents"/>
    <w:qFormat/>
    <w:uiPriority w:val="0"/>
    <w:rPr>
      <w:rFonts w:cs="Times New Roman"/>
    </w:rPr>
  </w:style>
  <w:style w:type="character" w:customStyle="1" w:styleId="264">
    <w:name w:val="报告正文 Char Char"/>
    <w:basedOn w:val="133"/>
    <w:link w:val="265"/>
    <w:qFormat/>
    <w:uiPriority w:val="0"/>
    <w:rPr>
      <w:rFonts w:ascii="宋体" w:hAnsi="宋体"/>
      <w:bCs/>
      <w:snapToGrid w:val="0"/>
      <w:color w:val="000000"/>
      <w:kern w:val="2"/>
      <w:sz w:val="24"/>
      <w:szCs w:val="24"/>
    </w:rPr>
  </w:style>
  <w:style w:type="paragraph" w:customStyle="1" w:styleId="265">
    <w:name w:val="报告正文 Char"/>
    <w:basedOn w:val="1"/>
    <w:link w:val="264"/>
    <w:qFormat/>
    <w:uiPriority w:val="0"/>
    <w:pPr>
      <w:spacing w:line="360" w:lineRule="auto"/>
      <w:ind w:firstLine="200" w:firstLineChars="200"/>
    </w:pPr>
    <w:rPr>
      <w:rFonts w:ascii="宋体" w:hAnsi="宋体"/>
      <w:bCs/>
      <w:snapToGrid w:val="0"/>
      <w:color w:val="000000"/>
      <w:sz w:val="24"/>
      <w:szCs w:val="24"/>
    </w:rPr>
  </w:style>
  <w:style w:type="character" w:customStyle="1" w:styleId="266">
    <w:name w:val="标题 2 Char"/>
    <w:qFormat/>
    <w:uiPriority w:val="0"/>
  </w:style>
  <w:style w:type="character" w:customStyle="1" w:styleId="267">
    <w:name w:val="正文（首行缩进两字） Char Char Char Char Char Char Char Char Char Char Char Char Char Char Char Char Char Char Char Char Char"/>
    <w:basedOn w:val="133"/>
    <w:qFormat/>
    <w:uiPriority w:val="0"/>
    <w:rPr>
      <w:rFonts w:eastAsia="宋体"/>
      <w:kern w:val="2"/>
      <w:sz w:val="24"/>
      <w:szCs w:val="24"/>
      <w:lang w:val="en-US" w:eastAsia="zh-CN" w:bidi="ar-SA"/>
    </w:rPr>
  </w:style>
  <w:style w:type="character" w:customStyle="1" w:styleId="268">
    <w:name w:val="标题4 Char Char"/>
    <w:link w:val="269"/>
    <w:qFormat/>
    <w:uiPriority w:val="0"/>
    <w:rPr>
      <w:rFonts w:ascii="Arial" w:hAnsi="Arial"/>
      <w:b/>
      <w:bCs/>
      <w:sz w:val="24"/>
      <w:szCs w:val="32"/>
    </w:rPr>
  </w:style>
  <w:style w:type="paragraph" w:customStyle="1" w:styleId="269">
    <w:name w:val="标题4"/>
    <w:basedOn w:val="2"/>
    <w:next w:val="43"/>
    <w:link w:val="268"/>
    <w:qFormat/>
    <w:uiPriority w:val="0"/>
    <w:pPr>
      <w:spacing w:line="413" w:lineRule="auto"/>
    </w:pPr>
    <w:rPr>
      <w:rFonts w:eastAsia="宋体"/>
      <w:bCs/>
      <w:kern w:val="0"/>
      <w:sz w:val="24"/>
      <w:szCs w:val="32"/>
    </w:rPr>
  </w:style>
  <w:style w:type="character" w:customStyle="1" w:styleId="270">
    <w:name w:val="文档结构图 Char1"/>
    <w:qFormat/>
    <w:uiPriority w:val="0"/>
    <w:rPr>
      <w:rFonts w:ascii="宋体"/>
      <w:kern w:val="2"/>
      <w:sz w:val="18"/>
      <w:szCs w:val="18"/>
    </w:rPr>
  </w:style>
  <w:style w:type="character" w:customStyle="1" w:styleId="271">
    <w:name w:val="明显引用 字符"/>
    <w:link w:val="272"/>
    <w:qFormat/>
    <w:uiPriority w:val="0"/>
    <w:rPr>
      <w:b/>
      <w:bCs/>
      <w:i/>
      <w:iCs/>
      <w:color w:val="4F81BD"/>
      <w:kern w:val="2"/>
      <w:sz w:val="21"/>
      <w:szCs w:val="22"/>
    </w:rPr>
  </w:style>
  <w:style w:type="paragraph" w:styleId="272">
    <w:name w:val="Intense Quote"/>
    <w:basedOn w:val="1"/>
    <w:next w:val="1"/>
    <w:link w:val="271"/>
    <w:qFormat/>
    <w:uiPriority w:val="0"/>
    <w:pPr>
      <w:pBdr>
        <w:bottom w:val="single" w:color="4F81BD" w:sz="4" w:space="4"/>
      </w:pBdr>
      <w:spacing w:before="200" w:after="280"/>
      <w:ind w:left="936" w:right="936"/>
    </w:pPr>
    <w:rPr>
      <w:rFonts w:ascii="Times New Roman" w:hAnsi="Times New Roman"/>
      <w:b/>
      <w:bCs/>
      <w:i/>
      <w:iCs/>
      <w:color w:val="4F81BD"/>
    </w:rPr>
  </w:style>
  <w:style w:type="character" w:customStyle="1" w:styleId="273">
    <w:name w:val="明显引用 字符1"/>
    <w:basedOn w:val="133"/>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274">
    <w:name w:val="日期 Char1"/>
    <w:qFormat/>
    <w:uiPriority w:val="0"/>
    <w:rPr>
      <w:kern w:val="2"/>
      <w:sz w:val="21"/>
      <w:szCs w:val="22"/>
    </w:rPr>
  </w:style>
  <w:style w:type="character" w:customStyle="1" w:styleId="275">
    <w:name w:val="批注文字 Char Char"/>
    <w:qFormat/>
    <w:uiPriority w:val="0"/>
    <w:rPr>
      <w:rFonts w:ascii="宋体" w:hAnsi="Times New Roman" w:eastAsia="宋体" w:cs="Times New Roman"/>
      <w:sz w:val="28"/>
      <w:szCs w:val="20"/>
    </w:rPr>
  </w:style>
  <w:style w:type="character" w:customStyle="1" w:styleId="276">
    <w:name w:val="明显强调1"/>
    <w:qFormat/>
    <w:uiPriority w:val="0"/>
    <w:rPr>
      <w:b/>
      <w:bCs/>
      <w:i/>
      <w:iCs/>
      <w:color w:val="4F81BD"/>
    </w:rPr>
  </w:style>
  <w:style w:type="character" w:customStyle="1" w:styleId="277">
    <w:name w:val="样式10 Char"/>
    <w:basedOn w:val="133"/>
    <w:link w:val="278"/>
    <w:qFormat/>
    <w:uiPriority w:val="0"/>
    <w:rPr>
      <w:rFonts w:ascii="黑体" w:eastAsia="黑体"/>
      <w:b/>
      <w:bCs/>
      <w:sz w:val="36"/>
      <w:szCs w:val="15"/>
    </w:rPr>
  </w:style>
  <w:style w:type="paragraph" w:customStyle="1" w:styleId="278">
    <w:name w:val="样式10"/>
    <w:basedOn w:val="279"/>
    <w:link w:val="277"/>
    <w:qFormat/>
    <w:uiPriority w:val="0"/>
    <w:rPr>
      <w:rFonts w:ascii="黑体" w:eastAsia="黑体"/>
    </w:rPr>
  </w:style>
  <w:style w:type="paragraph" w:customStyle="1" w:styleId="279">
    <w:name w:val="样式 标题 1 + 小二"/>
    <w:basedOn w:val="4"/>
    <w:semiHidden/>
    <w:qFormat/>
    <w:uiPriority w:val="0"/>
    <w:pPr>
      <w:keepLines w:val="0"/>
      <w:spacing w:before="0" w:after="0" w:line="360" w:lineRule="auto"/>
      <w:jc w:val="center"/>
    </w:pPr>
    <w:rPr>
      <w:bCs/>
      <w:kern w:val="0"/>
      <w:sz w:val="36"/>
      <w:szCs w:val="15"/>
    </w:rPr>
  </w:style>
  <w:style w:type="character" w:customStyle="1" w:styleId="280">
    <w:name w:val="Char"/>
    <w:basedOn w:val="133"/>
    <w:qFormat/>
    <w:uiPriority w:val="0"/>
    <w:rPr>
      <w:rFonts w:ascii="仿宋_GB2312" w:eastAsia="仿宋_GB2312"/>
      <w:kern w:val="2"/>
      <w:sz w:val="32"/>
      <w:lang w:val="en-US" w:eastAsia="zh-CN" w:bidi="ar-SA"/>
    </w:rPr>
  </w:style>
  <w:style w:type="character" w:customStyle="1" w:styleId="281">
    <w:name w:val="正文样式 Char"/>
    <w:basedOn w:val="133"/>
    <w:link w:val="282"/>
    <w:qFormat/>
    <w:uiPriority w:val="0"/>
    <w:rPr>
      <w:rFonts w:ascii="仿宋_GB2312" w:hAnsi="宋体" w:cs="宋体"/>
      <w:snapToGrid w:val="0"/>
      <w:kern w:val="2"/>
      <w:sz w:val="24"/>
      <w:szCs w:val="24"/>
    </w:rPr>
  </w:style>
  <w:style w:type="paragraph" w:customStyle="1" w:styleId="282">
    <w:name w:val="正文样式"/>
    <w:basedOn w:val="1"/>
    <w:link w:val="281"/>
    <w:qFormat/>
    <w:uiPriority w:val="0"/>
    <w:pPr>
      <w:snapToGrid w:val="0"/>
      <w:spacing w:line="560" w:lineRule="exact"/>
      <w:ind w:firstLine="200" w:firstLineChars="200"/>
      <w:jc w:val="left"/>
    </w:pPr>
    <w:rPr>
      <w:rFonts w:ascii="仿宋_GB2312" w:hAnsi="宋体" w:cs="宋体"/>
      <w:snapToGrid w:val="0"/>
      <w:sz w:val="24"/>
      <w:szCs w:val="24"/>
    </w:rPr>
  </w:style>
  <w:style w:type="character" w:customStyle="1" w:styleId="283">
    <w:name w:val="hanggao1"/>
    <w:basedOn w:val="133"/>
    <w:qFormat/>
    <w:uiPriority w:val="0"/>
    <w:rPr>
      <w:sz w:val="20"/>
      <w:szCs w:val="20"/>
    </w:rPr>
  </w:style>
  <w:style w:type="character" w:customStyle="1" w:styleId="284">
    <w:name w:val="Char Char6"/>
    <w:qFormat/>
    <w:uiPriority w:val="0"/>
    <w:rPr>
      <w:kern w:val="2"/>
      <w:sz w:val="18"/>
      <w:szCs w:val="18"/>
    </w:rPr>
  </w:style>
  <w:style w:type="paragraph" w:customStyle="1" w:styleId="285">
    <w:name w:val="样式 样式 (西文) 黑体 (中文) 黑体 四号 加粗 行距: 固定值 27 磅 首行缩进:  2 字符 + 加粗 首行缩进:..."/>
    <w:basedOn w:val="286"/>
    <w:qFormat/>
    <w:uiPriority w:val="0"/>
    <w:pPr>
      <w:spacing w:before="120" w:after="120" w:line="240" w:lineRule="auto"/>
      <w:ind w:firstLine="0" w:firstLineChars="0"/>
    </w:pPr>
    <w:rPr>
      <w:b/>
      <w:bCs/>
    </w:rPr>
  </w:style>
  <w:style w:type="paragraph" w:customStyle="1" w:styleId="286">
    <w:name w:val="样式 (西文) 黑体 (中文) 黑体 四号 加粗 行距: 固定值 27 磅 首行缩进:  2 字符"/>
    <w:basedOn w:val="5"/>
    <w:qFormat/>
    <w:uiPriority w:val="0"/>
    <w:pPr>
      <w:spacing w:before="160" w:after="160" w:line="360" w:lineRule="auto"/>
      <w:ind w:firstLine="200" w:firstLineChars="200"/>
    </w:pPr>
    <w:rPr>
      <w:rFonts w:hAnsi="Times New Roman" w:cs="宋体"/>
    </w:rPr>
  </w:style>
  <w:style w:type="paragraph" w:customStyle="1" w:styleId="287">
    <w:name w:val="样式9宋体正文"/>
    <w:basedOn w:val="1"/>
    <w:qFormat/>
    <w:uiPriority w:val="0"/>
    <w:pPr>
      <w:adjustRightInd w:val="0"/>
      <w:snapToGrid w:val="0"/>
      <w:spacing w:line="600" w:lineRule="exact"/>
      <w:ind w:firstLine="607"/>
    </w:pPr>
    <w:rPr>
      <w:rFonts w:ascii="Times New Roman" w:hAnsi="Times New Roman"/>
      <w:snapToGrid w:val="0"/>
      <w:color w:val="000000"/>
      <w:kern w:val="0"/>
      <w:sz w:val="30"/>
      <w:szCs w:val="30"/>
    </w:rPr>
  </w:style>
  <w:style w:type="paragraph" w:customStyle="1" w:styleId="288">
    <w:name w:val="CM24"/>
    <w:basedOn w:val="150"/>
    <w:next w:val="150"/>
    <w:qFormat/>
    <w:uiPriority w:val="0"/>
    <w:pPr>
      <w:spacing w:line="440" w:lineRule="atLeast"/>
    </w:pPr>
    <w:rPr>
      <w:rFonts w:ascii="宋体" w:hAnsi="Times New Roman"/>
      <w:color w:val="auto"/>
    </w:rPr>
  </w:style>
  <w:style w:type="paragraph" w:customStyle="1" w:styleId="289">
    <w:name w:val="CM93"/>
    <w:basedOn w:val="150"/>
    <w:next w:val="150"/>
    <w:qFormat/>
    <w:uiPriority w:val="0"/>
    <w:pPr>
      <w:spacing w:after="628"/>
    </w:pPr>
    <w:rPr>
      <w:rFonts w:ascii="宋体" w:hAnsi="Times New Roman"/>
      <w:color w:val="auto"/>
    </w:rPr>
  </w:style>
  <w:style w:type="paragraph" w:customStyle="1" w:styleId="290">
    <w:name w:val="3"/>
    <w:basedOn w:val="1"/>
    <w:next w:val="81"/>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12"/>
    <w:basedOn w:val="1"/>
    <w:next w:val="36"/>
    <w:qFormat/>
    <w:uiPriority w:val="0"/>
    <w:pPr>
      <w:ind w:firstLine="560" w:firstLineChars="200"/>
    </w:pPr>
    <w:rPr>
      <w:rFonts w:ascii="宋体" w:hAnsi="宋体"/>
      <w:sz w:val="28"/>
      <w:szCs w:val="24"/>
    </w:rPr>
  </w:style>
  <w:style w:type="paragraph" w:customStyle="1" w:styleId="292">
    <w:name w:val="CM18"/>
    <w:basedOn w:val="150"/>
    <w:next w:val="150"/>
    <w:qFormat/>
    <w:uiPriority w:val="0"/>
    <w:pPr>
      <w:spacing w:line="313" w:lineRule="atLeast"/>
    </w:pPr>
    <w:rPr>
      <w:rFonts w:ascii="宋体" w:hAnsi="Times New Roman"/>
      <w:color w:val="auto"/>
    </w:rPr>
  </w:style>
  <w:style w:type="paragraph" w:customStyle="1" w:styleId="293">
    <w:name w:val="样式 标题 2 + 左侧:  0 厘米 首行缩进:  0 厘米"/>
    <w:basedOn w:val="2"/>
    <w:next w:val="1"/>
    <w:qFormat/>
    <w:uiPriority w:val="0"/>
    <w:pPr>
      <w:spacing w:before="240" w:after="240" w:line="560" w:lineRule="exact"/>
    </w:pPr>
    <w:rPr>
      <w:rFonts w:ascii="黑体" w:cs="宋体"/>
      <w:spacing w:val="8"/>
      <w:kern w:val="0"/>
      <w:szCs w:val="32"/>
    </w:rPr>
  </w:style>
  <w:style w:type="paragraph" w:customStyle="1" w:styleId="294">
    <w:name w:val="CM1"/>
    <w:basedOn w:val="150"/>
    <w:next w:val="150"/>
    <w:qFormat/>
    <w:uiPriority w:val="0"/>
    <w:rPr>
      <w:rFonts w:ascii="宋体" w:hAnsi="Times New Roman"/>
      <w:color w:val="auto"/>
    </w:rPr>
  </w:style>
  <w:style w:type="paragraph" w:customStyle="1" w:styleId="295">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96">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8"/>
    </w:rPr>
  </w:style>
  <w:style w:type="paragraph" w:customStyle="1" w:styleId="29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8">
    <w:name w:val="CM80"/>
    <w:basedOn w:val="150"/>
    <w:next w:val="150"/>
    <w:qFormat/>
    <w:uiPriority w:val="0"/>
    <w:pPr>
      <w:spacing w:line="440" w:lineRule="atLeast"/>
    </w:pPr>
    <w:rPr>
      <w:rFonts w:ascii="宋体" w:hAnsi="Times New Roman"/>
      <w:color w:val="auto"/>
    </w:rPr>
  </w:style>
  <w:style w:type="paragraph" w:customStyle="1" w:styleId="299">
    <w:name w:val="font8"/>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300">
    <w:name w:val="CM77"/>
    <w:basedOn w:val="150"/>
    <w:next w:val="150"/>
    <w:qFormat/>
    <w:uiPriority w:val="0"/>
    <w:pPr>
      <w:spacing w:line="400" w:lineRule="atLeast"/>
    </w:pPr>
    <w:rPr>
      <w:rFonts w:ascii="宋体" w:hAnsi="Times New Roman"/>
      <w:color w:val="auto"/>
    </w:rPr>
  </w:style>
  <w:style w:type="paragraph" w:customStyle="1" w:styleId="30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4"/>
      <w:szCs w:val="24"/>
    </w:rPr>
  </w:style>
  <w:style w:type="paragraph" w:customStyle="1" w:styleId="302">
    <w:name w:val="Char Char Char Char Char Char1 Char Char Char Char"/>
    <w:basedOn w:val="1"/>
    <w:qFormat/>
    <w:uiPriority w:val="0"/>
    <w:pPr>
      <w:spacing w:line="360" w:lineRule="auto"/>
      <w:ind w:firstLine="200" w:firstLineChars="200"/>
    </w:pPr>
    <w:rPr>
      <w:rFonts w:ascii="宋体" w:hAnsi="宋体" w:cs="宋体"/>
      <w:sz w:val="24"/>
      <w:szCs w:val="24"/>
    </w:rPr>
  </w:style>
  <w:style w:type="paragraph" w:customStyle="1" w:styleId="303">
    <w:name w:val="4"/>
    <w:basedOn w:val="1"/>
    <w:next w:val="21"/>
    <w:qFormat/>
    <w:uiPriority w:val="0"/>
    <w:pPr>
      <w:ind w:firstLine="420"/>
    </w:pPr>
    <w:rPr>
      <w:rFonts w:ascii="Times New Roman" w:hAnsi="Times New Roman"/>
      <w:sz w:val="28"/>
      <w:szCs w:val="20"/>
    </w:rPr>
  </w:style>
  <w:style w:type="paragraph" w:customStyle="1" w:styleId="304">
    <w:name w:val="Char Char Char Char Char Char Char"/>
    <w:basedOn w:val="1"/>
    <w:qFormat/>
    <w:uiPriority w:val="0"/>
    <w:pPr>
      <w:spacing w:line="180" w:lineRule="auto"/>
      <w:ind w:firstLine="512" w:firstLineChars="200"/>
    </w:pPr>
    <w:rPr>
      <w:rFonts w:ascii="Times New Roman" w:hAnsi="Times New Roman"/>
      <w:spacing w:val="8"/>
      <w:sz w:val="24"/>
      <w:szCs w:val="24"/>
    </w:rPr>
  </w:style>
  <w:style w:type="paragraph" w:customStyle="1" w:styleId="305">
    <w:name w:val="Char Char Char Char Char Char Char1"/>
    <w:basedOn w:val="1"/>
    <w:qFormat/>
    <w:uiPriority w:val="0"/>
    <w:pPr>
      <w:spacing w:line="180" w:lineRule="auto"/>
      <w:ind w:left="-3" w:leftChars="-1" w:firstLine="1"/>
    </w:pPr>
    <w:rPr>
      <w:rFonts w:ascii="Times New Roman" w:hAnsi="Times New Roman"/>
      <w:b/>
      <w:bCs/>
      <w:spacing w:val="8"/>
      <w:kern w:val="0"/>
      <w:sz w:val="24"/>
      <w:szCs w:val="24"/>
    </w:rPr>
  </w:style>
  <w:style w:type="paragraph" w:customStyle="1" w:styleId="306">
    <w:name w:val="1"/>
    <w:basedOn w:val="1"/>
    <w:next w:val="36"/>
    <w:qFormat/>
    <w:uiPriority w:val="0"/>
    <w:pPr>
      <w:spacing w:line="640" w:lineRule="exact"/>
      <w:ind w:firstLine="720" w:firstLineChars="300"/>
    </w:pPr>
    <w:rPr>
      <w:rFonts w:ascii="Times New Roman" w:hAnsi="Times New Roman"/>
      <w:sz w:val="24"/>
      <w:szCs w:val="24"/>
    </w:rPr>
  </w:style>
  <w:style w:type="paragraph" w:customStyle="1" w:styleId="307">
    <w:name w:val="13"/>
    <w:basedOn w:val="1"/>
    <w:next w:val="81"/>
    <w:qFormat/>
    <w:uiPriority w:val="0"/>
    <w:pPr>
      <w:widowControl/>
      <w:spacing w:before="100" w:beforeAutospacing="1" w:after="100" w:afterAutospacing="1"/>
      <w:jc w:val="left"/>
    </w:pPr>
    <w:rPr>
      <w:rFonts w:ascii="宋体" w:hAnsi="宋体"/>
      <w:kern w:val="0"/>
      <w:sz w:val="24"/>
      <w:szCs w:val="24"/>
    </w:rPr>
  </w:style>
  <w:style w:type="paragraph" w:customStyle="1" w:styleId="308">
    <w:name w:val="Char1 Char Char2 Char"/>
    <w:basedOn w:val="1"/>
    <w:qFormat/>
    <w:uiPriority w:val="0"/>
    <w:pPr>
      <w:tabs>
        <w:tab w:val="left" w:pos="1280"/>
      </w:tabs>
      <w:snapToGrid w:val="0"/>
      <w:spacing w:line="360" w:lineRule="auto"/>
      <w:ind w:left="200"/>
    </w:pPr>
    <w:rPr>
      <w:rFonts w:ascii="Times New Roman" w:hAnsi="Times New Roman" w:eastAsia="仿宋_GB2312" w:cs="宋体"/>
      <w:color w:val="000000"/>
      <w:sz w:val="24"/>
      <w:szCs w:val="24"/>
    </w:rPr>
  </w:style>
  <w:style w:type="paragraph" w:customStyle="1" w:styleId="30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310">
    <w:name w:val="xl41"/>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311">
    <w:name w:val="CM99"/>
    <w:basedOn w:val="150"/>
    <w:next w:val="150"/>
    <w:qFormat/>
    <w:uiPriority w:val="0"/>
    <w:pPr>
      <w:spacing w:after="443"/>
    </w:pPr>
    <w:rPr>
      <w:rFonts w:ascii="宋体" w:hAnsi="Times New Roman"/>
      <w:color w:val="auto"/>
    </w:rPr>
  </w:style>
  <w:style w:type="paragraph" w:customStyle="1" w:styleId="312">
    <w:name w:val="CM76"/>
    <w:basedOn w:val="150"/>
    <w:next w:val="150"/>
    <w:qFormat/>
    <w:uiPriority w:val="0"/>
    <w:pPr>
      <w:spacing w:line="400" w:lineRule="atLeast"/>
    </w:pPr>
    <w:rPr>
      <w:rFonts w:ascii="宋体" w:hAnsi="Times New Roman"/>
      <w:color w:val="auto"/>
    </w:rPr>
  </w:style>
  <w:style w:type="paragraph" w:customStyle="1" w:styleId="3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rPr>
  </w:style>
  <w:style w:type="paragraph" w:customStyle="1" w:styleId="314">
    <w:name w:val="Char1 Char Char Char Char Char Char Char Char Char Char Char Char Char Char Char"/>
    <w:basedOn w:val="1"/>
    <w:qFormat/>
    <w:uiPriority w:val="0"/>
    <w:pPr>
      <w:spacing w:line="180" w:lineRule="auto"/>
      <w:ind w:firstLine="200" w:firstLineChars="200"/>
      <w:jc w:val="left"/>
    </w:pPr>
    <w:rPr>
      <w:rFonts w:ascii="宋体" w:hAnsi="宋体" w:eastAsia="仿宋_GB2312"/>
      <w:sz w:val="24"/>
      <w:szCs w:val="20"/>
    </w:rPr>
  </w:style>
  <w:style w:type="paragraph" w:customStyle="1" w:styleId="315">
    <w:name w:val="CM69"/>
    <w:basedOn w:val="150"/>
    <w:next w:val="150"/>
    <w:qFormat/>
    <w:uiPriority w:val="0"/>
    <w:pPr>
      <w:spacing w:line="400" w:lineRule="atLeast"/>
    </w:pPr>
    <w:rPr>
      <w:rFonts w:ascii="宋体" w:hAnsi="Times New Roman"/>
      <w:color w:val="auto"/>
    </w:rPr>
  </w:style>
  <w:style w:type="paragraph" w:customStyle="1" w:styleId="316">
    <w:name w:val="Char1 Char Char2 Char Char Char Char Char Char Char"/>
    <w:basedOn w:val="1"/>
    <w:qFormat/>
    <w:uiPriority w:val="0"/>
    <w:pPr>
      <w:tabs>
        <w:tab w:val="left" w:pos="1280"/>
      </w:tabs>
      <w:snapToGrid w:val="0"/>
      <w:spacing w:line="360" w:lineRule="auto"/>
      <w:ind w:left="200"/>
    </w:pPr>
    <w:rPr>
      <w:rFonts w:ascii="Times New Roman" w:hAnsi="Times New Roman" w:eastAsia="仿宋_GB2312" w:cs="宋体"/>
      <w:color w:val="000000"/>
      <w:sz w:val="24"/>
      <w:szCs w:val="24"/>
    </w:rPr>
  </w:style>
  <w:style w:type="paragraph" w:customStyle="1" w:styleId="317">
    <w:name w:val="CM25"/>
    <w:basedOn w:val="150"/>
    <w:next w:val="150"/>
    <w:qFormat/>
    <w:uiPriority w:val="0"/>
    <w:pPr>
      <w:spacing w:line="440" w:lineRule="atLeast"/>
    </w:pPr>
    <w:rPr>
      <w:rFonts w:ascii="宋体" w:hAnsi="Times New Roman"/>
      <w:color w:val="auto"/>
    </w:rPr>
  </w:style>
  <w:style w:type="paragraph" w:customStyle="1" w:styleId="31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319">
    <w:name w:val="表内文字 Char Char Char Char Char"/>
    <w:basedOn w:val="1"/>
    <w:next w:val="21"/>
    <w:qFormat/>
    <w:uiPriority w:val="0"/>
    <w:pPr>
      <w:snapToGrid w:val="0"/>
      <w:spacing w:line="360" w:lineRule="exact"/>
      <w:jc w:val="center"/>
    </w:pPr>
    <w:rPr>
      <w:rFonts w:ascii="Times New Roman" w:hAnsi="Times New Roman" w:eastAsia="仿宋_GB2312"/>
      <w:color w:val="000000"/>
      <w:kern w:val="0"/>
      <w:szCs w:val="20"/>
    </w:rPr>
  </w:style>
  <w:style w:type="paragraph" w:customStyle="1" w:styleId="320">
    <w:name w:val="表格标题"/>
    <w:basedOn w:val="11"/>
    <w:qFormat/>
    <w:uiPriority w:val="0"/>
    <w:pPr>
      <w:snapToGrid w:val="0"/>
      <w:spacing w:after="120" w:line="180" w:lineRule="auto"/>
      <w:ind w:right="255"/>
      <w:jc w:val="center"/>
    </w:pPr>
    <w:rPr>
      <w:rFonts w:ascii="Times New Roman" w:hAnsi="Times New Roman"/>
      <w:b/>
      <w:bCs/>
      <w:color w:val="000000"/>
      <w:spacing w:val="8"/>
      <w:kern w:val="0"/>
      <w:sz w:val="28"/>
      <w:szCs w:val="28"/>
      <w:lang w:val="en-GB"/>
    </w:rPr>
  </w:style>
  <w:style w:type="paragraph" w:customStyle="1" w:styleId="321">
    <w:name w:val="Char Char Char Char"/>
    <w:basedOn w:val="1"/>
    <w:semiHidden/>
    <w:qFormat/>
    <w:uiPriority w:val="0"/>
    <w:pPr>
      <w:widowControl/>
      <w:autoSpaceDE w:val="0"/>
      <w:autoSpaceDN w:val="0"/>
      <w:jc w:val="left"/>
    </w:pPr>
    <w:rPr>
      <w:rFonts w:ascii="Times New Roman" w:hAnsi="Times New Roman"/>
      <w:spacing w:val="8"/>
      <w:kern w:val="20"/>
      <w:sz w:val="24"/>
      <w:szCs w:val="24"/>
    </w:rPr>
  </w:style>
  <w:style w:type="paragraph" w:customStyle="1" w:styleId="322">
    <w:name w:val="Char1 Char Char2 Char Char Char Char Char Char"/>
    <w:basedOn w:val="1"/>
    <w:qFormat/>
    <w:uiPriority w:val="0"/>
    <w:pPr>
      <w:tabs>
        <w:tab w:val="left" w:pos="1280"/>
      </w:tabs>
      <w:spacing w:line="360" w:lineRule="auto"/>
      <w:ind w:firstLine="200" w:firstLineChars="200"/>
    </w:pPr>
    <w:rPr>
      <w:rFonts w:ascii="Times New Roman" w:hAnsi="Times New Roman" w:cs="宋体"/>
      <w:color w:val="000000"/>
      <w:sz w:val="24"/>
      <w:szCs w:val="24"/>
    </w:rPr>
  </w:style>
  <w:style w:type="paragraph" w:customStyle="1" w:styleId="323">
    <w:name w:val="样式8"/>
    <w:basedOn w:val="5"/>
    <w:semiHidden/>
    <w:qFormat/>
    <w:uiPriority w:val="0"/>
    <w:pPr>
      <w:spacing w:line="416" w:lineRule="auto"/>
      <w:ind w:firstLine="0" w:firstLineChars="0"/>
      <w:jc w:val="center"/>
    </w:pPr>
    <w:rPr>
      <w:rFonts w:ascii="Times New Roman" w:hAnsi="Times New Roman" w:eastAsia="宋体"/>
      <w:b/>
      <w:bCs/>
      <w:sz w:val="32"/>
      <w:szCs w:val="32"/>
    </w:rPr>
  </w:style>
  <w:style w:type="paragraph" w:customStyle="1" w:styleId="324">
    <w:name w:val="CM49"/>
    <w:basedOn w:val="150"/>
    <w:next w:val="150"/>
    <w:qFormat/>
    <w:uiPriority w:val="0"/>
    <w:pPr>
      <w:spacing w:line="440" w:lineRule="atLeast"/>
    </w:pPr>
    <w:rPr>
      <w:rFonts w:ascii="宋体" w:hAnsi="Times New Roman"/>
      <w:color w:val="auto"/>
    </w:rPr>
  </w:style>
  <w:style w:type="paragraph" w:customStyle="1" w:styleId="325">
    <w:name w:val="7"/>
    <w:basedOn w:val="1"/>
    <w:next w:val="1"/>
    <w:qFormat/>
    <w:uiPriority w:val="0"/>
    <w:pPr>
      <w:spacing w:line="520" w:lineRule="exact"/>
    </w:pPr>
    <w:rPr>
      <w:rFonts w:ascii="Times New Roman" w:hAnsi="Times New Roman"/>
      <w:sz w:val="28"/>
      <w:szCs w:val="20"/>
    </w:rPr>
  </w:style>
  <w:style w:type="paragraph" w:customStyle="1" w:styleId="326">
    <w:name w:val="报告正文"/>
    <w:basedOn w:val="1"/>
    <w:qFormat/>
    <w:uiPriority w:val="0"/>
    <w:pPr>
      <w:tabs>
        <w:tab w:val="left" w:pos="578"/>
      </w:tabs>
      <w:spacing w:line="360" w:lineRule="auto"/>
      <w:ind w:firstLine="480"/>
    </w:pPr>
    <w:rPr>
      <w:rFonts w:ascii="宋体" w:hAnsi="宋体"/>
      <w:sz w:val="28"/>
      <w:szCs w:val="28"/>
    </w:rPr>
  </w:style>
  <w:style w:type="paragraph" w:customStyle="1" w:styleId="327">
    <w:name w:val="样式 样式 内容 + 首行缩进:  2 字符1 + 首行缩进:  2 字符"/>
    <w:basedOn w:val="1"/>
    <w:qFormat/>
    <w:uiPriority w:val="0"/>
    <w:pPr>
      <w:spacing w:line="500" w:lineRule="exact"/>
      <w:ind w:firstLine="200" w:firstLineChars="200"/>
    </w:pPr>
    <w:rPr>
      <w:rFonts w:ascii="Times New Roman" w:hAnsi="Times New Roman" w:eastAsia="仿宋_GB2312" w:cs="宋体"/>
      <w:sz w:val="28"/>
      <w:szCs w:val="20"/>
    </w:rPr>
  </w:style>
  <w:style w:type="paragraph" w:customStyle="1" w:styleId="328">
    <w:name w:val="CM105"/>
    <w:basedOn w:val="150"/>
    <w:next w:val="150"/>
    <w:qFormat/>
    <w:uiPriority w:val="0"/>
    <w:pPr>
      <w:spacing w:after="1040"/>
    </w:pPr>
    <w:rPr>
      <w:rFonts w:ascii="宋体" w:hAnsi="Times New Roman"/>
      <w:color w:val="auto"/>
    </w:rPr>
  </w:style>
  <w:style w:type="paragraph" w:customStyle="1" w:styleId="329">
    <w:name w:val="CM39"/>
    <w:basedOn w:val="150"/>
    <w:next w:val="150"/>
    <w:qFormat/>
    <w:uiPriority w:val="0"/>
    <w:pPr>
      <w:spacing w:line="400" w:lineRule="atLeast"/>
    </w:pPr>
    <w:rPr>
      <w:rFonts w:ascii="宋体" w:hAnsi="Times New Roman"/>
      <w:color w:val="auto"/>
    </w:rPr>
  </w:style>
  <w:style w:type="paragraph" w:customStyle="1" w:styleId="33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31">
    <w:name w:val="TOC 标题2"/>
    <w:basedOn w:val="4"/>
    <w:next w:val="1"/>
    <w:qFormat/>
    <w:uiPriority w:val="0"/>
    <w:pPr>
      <w:outlineLvl w:val="9"/>
    </w:pPr>
    <w:rPr>
      <w:rFonts w:ascii="Calibri" w:hAnsi="Calibri"/>
      <w:bCs/>
      <w:szCs w:val="44"/>
    </w:rPr>
  </w:style>
  <w:style w:type="paragraph" w:customStyle="1" w:styleId="332">
    <w:name w:val="样式 标题 3 + (中文) 黑体 小四 非加粗 段前: 7.8 磅 段后: 0 磅 行距: 固定值 20 磅"/>
    <w:basedOn w:val="5"/>
    <w:qFormat/>
    <w:uiPriority w:val="0"/>
    <w:pPr>
      <w:spacing w:before="0" w:after="0" w:line="400" w:lineRule="exact"/>
      <w:ind w:firstLine="0" w:firstLineChars="0"/>
    </w:pPr>
    <w:rPr>
      <w:rFonts w:ascii="Times New Roman" w:hAnsi="Times New Roman"/>
      <w:sz w:val="24"/>
    </w:rPr>
  </w:style>
  <w:style w:type="paragraph" w:customStyle="1" w:styleId="333">
    <w:name w:val="CM48"/>
    <w:basedOn w:val="150"/>
    <w:next w:val="150"/>
    <w:qFormat/>
    <w:uiPriority w:val="0"/>
    <w:pPr>
      <w:spacing w:line="540" w:lineRule="atLeast"/>
    </w:pPr>
    <w:rPr>
      <w:rFonts w:ascii="宋体" w:hAnsi="Times New Roman"/>
      <w:color w:val="auto"/>
    </w:rPr>
  </w:style>
  <w:style w:type="paragraph" w:customStyle="1" w:styleId="334">
    <w:name w:val="样式 LSP正文 Char Char Char Char Char + 首行缩进:  2 字符"/>
    <w:basedOn w:val="1"/>
    <w:qFormat/>
    <w:uiPriority w:val="0"/>
    <w:pPr>
      <w:adjustRightInd w:val="0"/>
      <w:spacing w:line="360" w:lineRule="auto"/>
      <w:ind w:firstLine="480" w:firstLineChars="200"/>
      <w:textAlignment w:val="baseline"/>
    </w:pPr>
    <w:rPr>
      <w:rFonts w:ascii="宋体" w:hAnsi="Times New Roman"/>
      <w:kern w:val="0"/>
      <w:sz w:val="24"/>
      <w:szCs w:val="24"/>
    </w:rPr>
  </w:style>
  <w:style w:type="paragraph" w:customStyle="1" w:styleId="335">
    <w:name w:val="xl50"/>
    <w:basedOn w:val="1"/>
    <w:semiHidden/>
    <w:qFormat/>
    <w:uiPriority w:val="0"/>
    <w:pPr>
      <w:widowControl/>
      <w:pBdr>
        <w:top w:val="single" w:color="auto" w:sz="8" w:space="0"/>
      </w:pBdr>
      <w:spacing w:before="100" w:beforeAutospacing="1" w:after="100" w:afterAutospacing="1"/>
      <w:jc w:val="left"/>
      <w:textAlignment w:val="center"/>
    </w:pPr>
    <w:rPr>
      <w:rFonts w:ascii="宋体" w:hAnsi="宋体"/>
      <w:kern w:val="0"/>
      <w:sz w:val="20"/>
      <w:szCs w:val="20"/>
    </w:rPr>
  </w:style>
  <w:style w:type="paragraph" w:customStyle="1" w:styleId="336">
    <w:name w:val="样式6"/>
    <w:basedOn w:val="1"/>
    <w:semiHidden/>
    <w:qFormat/>
    <w:uiPriority w:val="0"/>
    <w:pPr>
      <w:ind w:firstLine="504" w:firstLineChars="200"/>
    </w:pPr>
    <w:rPr>
      <w:rFonts w:ascii="仿宋_GB2312" w:hAnsi="Times New Roman" w:eastAsia="仿宋_GB2312"/>
      <w:sz w:val="28"/>
      <w:szCs w:val="21"/>
    </w:rPr>
  </w:style>
  <w:style w:type="paragraph" w:customStyle="1" w:styleId="337">
    <w:name w:val="font15"/>
    <w:basedOn w:val="1"/>
    <w:qFormat/>
    <w:uiPriority w:val="0"/>
    <w:pPr>
      <w:widowControl/>
      <w:spacing w:before="100" w:beforeAutospacing="1" w:after="100" w:afterAutospacing="1"/>
      <w:jc w:val="left"/>
    </w:pPr>
    <w:rPr>
      <w:rFonts w:ascii="Times New Roman" w:hAnsi="Times New Roman"/>
      <w:kern w:val="0"/>
      <w:sz w:val="20"/>
      <w:szCs w:val="20"/>
    </w:rPr>
  </w:style>
  <w:style w:type="paragraph" w:customStyle="1" w:styleId="33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8"/>
      <w:szCs w:val="28"/>
    </w:rPr>
  </w:style>
  <w:style w:type="paragraph" w:customStyle="1" w:styleId="339">
    <w:name w:val="样式1"/>
    <w:basedOn w:val="1"/>
    <w:qFormat/>
    <w:uiPriority w:val="0"/>
    <w:pPr>
      <w:snapToGrid w:val="0"/>
      <w:spacing w:before="156" w:beforeLines="50" w:line="360" w:lineRule="auto"/>
      <w:jc w:val="center"/>
      <w:outlineLvl w:val="0"/>
    </w:pPr>
    <w:rPr>
      <w:rFonts w:ascii="宋体" w:hAnsi="宋体"/>
      <w:b/>
      <w:sz w:val="28"/>
      <w:szCs w:val="28"/>
    </w:rPr>
  </w:style>
  <w:style w:type="paragraph" w:customStyle="1" w:styleId="340">
    <w:name w:val="CM54"/>
    <w:basedOn w:val="150"/>
    <w:next w:val="150"/>
    <w:qFormat/>
    <w:uiPriority w:val="0"/>
    <w:pPr>
      <w:spacing w:line="398" w:lineRule="atLeast"/>
    </w:pPr>
    <w:rPr>
      <w:rFonts w:ascii="宋体" w:hAnsi="Times New Roman"/>
      <w:color w:val="auto"/>
    </w:rPr>
  </w:style>
  <w:style w:type="paragraph" w:customStyle="1" w:styleId="341">
    <w:name w:val="CM104"/>
    <w:basedOn w:val="150"/>
    <w:next w:val="150"/>
    <w:qFormat/>
    <w:uiPriority w:val="0"/>
    <w:pPr>
      <w:spacing w:after="1318"/>
    </w:pPr>
    <w:rPr>
      <w:rFonts w:ascii="宋体" w:hAnsi="Times New Roman"/>
      <w:color w:val="auto"/>
    </w:rPr>
  </w:style>
  <w:style w:type="paragraph" w:customStyle="1" w:styleId="342">
    <w:name w:val="CM94"/>
    <w:basedOn w:val="150"/>
    <w:next w:val="150"/>
    <w:qFormat/>
    <w:uiPriority w:val="0"/>
    <w:pPr>
      <w:spacing w:after="63"/>
    </w:pPr>
    <w:rPr>
      <w:rFonts w:ascii="宋体" w:hAnsi="Times New Roman"/>
      <w:color w:val="auto"/>
    </w:rPr>
  </w:style>
  <w:style w:type="paragraph" w:styleId="343">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4">
    <w:name w:val="Char1 Char Char Char Char Char Char"/>
    <w:basedOn w:val="1"/>
    <w:qFormat/>
    <w:uiPriority w:val="0"/>
    <w:rPr>
      <w:rFonts w:ascii="Times New Roman" w:hAnsi="Times New Roman"/>
      <w:szCs w:val="24"/>
    </w:rPr>
  </w:style>
  <w:style w:type="paragraph" w:customStyle="1" w:styleId="345">
    <w:name w:val="样式 样式 样式 样式 样式 标题 4 + 段前: 0.5 行 段后: 0.5 行 + 段前: 0.5 行 段后: 0.5 行 ..."/>
    <w:basedOn w:val="1"/>
    <w:qFormat/>
    <w:uiPriority w:val="0"/>
    <w:pPr>
      <w:keepNext/>
      <w:keepLines/>
      <w:tabs>
        <w:tab w:val="left" w:pos="862"/>
      </w:tabs>
      <w:adjustRightInd w:val="0"/>
      <w:snapToGrid w:val="0"/>
      <w:spacing w:before="50" w:beforeLines="50" w:after="50" w:afterLines="50" w:line="377" w:lineRule="auto"/>
      <w:jc w:val="left"/>
      <w:outlineLvl w:val="3"/>
    </w:pPr>
    <w:rPr>
      <w:rFonts w:ascii="Arial" w:hAnsi="Arial" w:cs="宋体"/>
      <w:b/>
      <w:bCs/>
      <w:sz w:val="24"/>
      <w:szCs w:val="20"/>
    </w:rPr>
  </w:style>
  <w:style w:type="paragraph" w:customStyle="1" w:styleId="346">
    <w:name w:val="CM44"/>
    <w:basedOn w:val="150"/>
    <w:next w:val="150"/>
    <w:qFormat/>
    <w:uiPriority w:val="0"/>
    <w:pPr>
      <w:spacing w:line="440" w:lineRule="atLeast"/>
    </w:pPr>
    <w:rPr>
      <w:rFonts w:ascii="宋体" w:hAnsi="Times New Roman"/>
      <w:color w:val="auto"/>
    </w:rPr>
  </w:style>
  <w:style w:type="paragraph" w:customStyle="1" w:styleId="347">
    <w:name w:val="contentartic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48">
    <w:name w:val="11"/>
    <w:basedOn w:val="1"/>
    <w:next w:val="52"/>
    <w:qFormat/>
    <w:uiPriority w:val="0"/>
    <w:pPr>
      <w:ind w:firstLine="560" w:firstLineChars="200"/>
    </w:pPr>
    <w:rPr>
      <w:rFonts w:ascii="仿宋_GB2312" w:hAnsi="Times New Roman" w:eastAsia="仿宋_GB2312"/>
      <w:sz w:val="28"/>
      <w:szCs w:val="24"/>
    </w:rPr>
  </w:style>
  <w:style w:type="paragraph" w:customStyle="1" w:styleId="349">
    <w:name w:val="CM72"/>
    <w:basedOn w:val="150"/>
    <w:next w:val="150"/>
    <w:qFormat/>
    <w:uiPriority w:val="0"/>
    <w:rPr>
      <w:rFonts w:ascii="宋体" w:hAnsi="Times New Roman"/>
      <w:color w:val="auto"/>
    </w:rPr>
  </w:style>
  <w:style w:type="paragraph" w:customStyle="1" w:styleId="350">
    <w:name w:val="CM19"/>
    <w:basedOn w:val="150"/>
    <w:next w:val="150"/>
    <w:qFormat/>
    <w:uiPriority w:val="0"/>
    <w:pPr>
      <w:spacing w:line="398" w:lineRule="atLeast"/>
    </w:pPr>
    <w:rPr>
      <w:rFonts w:ascii="宋体" w:hAnsi="Times New Roman"/>
      <w:color w:val="auto"/>
    </w:rPr>
  </w:style>
  <w:style w:type="paragraph" w:customStyle="1" w:styleId="351">
    <w:name w:val="xl49"/>
    <w:basedOn w:val="1"/>
    <w:semiHidden/>
    <w:qFormat/>
    <w:uiPriority w:val="0"/>
    <w:pPr>
      <w:widowControl/>
      <w:pBdr>
        <w:top w:val="single" w:color="auto" w:sz="8" w:space="0"/>
      </w:pBdr>
      <w:spacing w:before="100" w:beforeAutospacing="1" w:after="100" w:afterAutospacing="1"/>
      <w:jc w:val="left"/>
      <w:textAlignment w:val="center"/>
    </w:pPr>
    <w:rPr>
      <w:rFonts w:ascii="Times New Roman" w:hAnsi="Times New Roman"/>
      <w:kern w:val="0"/>
      <w:sz w:val="20"/>
      <w:szCs w:val="20"/>
    </w:rPr>
  </w:style>
  <w:style w:type="paragraph" w:customStyle="1" w:styleId="352">
    <w:name w:val="样式5"/>
    <w:basedOn w:val="2"/>
    <w:semiHidden/>
    <w:qFormat/>
    <w:uiPriority w:val="0"/>
    <w:pPr>
      <w:spacing w:line="416" w:lineRule="auto"/>
      <w:jc w:val="center"/>
    </w:pPr>
    <w:rPr>
      <w:bCs/>
      <w:sz w:val="36"/>
      <w:szCs w:val="36"/>
    </w:rPr>
  </w:style>
  <w:style w:type="paragraph" w:customStyle="1" w:styleId="353">
    <w:name w:val="CM95"/>
    <w:basedOn w:val="150"/>
    <w:next w:val="150"/>
    <w:qFormat/>
    <w:uiPriority w:val="0"/>
    <w:pPr>
      <w:spacing w:after="115"/>
    </w:pPr>
    <w:rPr>
      <w:rFonts w:ascii="宋体" w:hAnsi="Times New Roman"/>
      <w:color w:val="auto"/>
    </w:rPr>
  </w:style>
  <w:style w:type="paragraph" w:customStyle="1" w:styleId="354">
    <w:name w:val="样式2表格内容"/>
    <w:basedOn w:val="1"/>
    <w:qFormat/>
    <w:uiPriority w:val="0"/>
    <w:pPr>
      <w:widowControl/>
      <w:adjustRightInd w:val="0"/>
      <w:snapToGrid w:val="0"/>
      <w:jc w:val="center"/>
    </w:pPr>
    <w:rPr>
      <w:rFonts w:ascii="Times New Roman" w:hAnsi="Times New Roman"/>
      <w:color w:val="000000"/>
      <w:szCs w:val="21"/>
    </w:rPr>
  </w:style>
  <w:style w:type="paragraph" w:customStyle="1" w:styleId="355">
    <w:name w:val="CM56"/>
    <w:basedOn w:val="150"/>
    <w:next w:val="150"/>
    <w:qFormat/>
    <w:uiPriority w:val="0"/>
    <w:rPr>
      <w:rFonts w:ascii="宋体" w:hAnsi="Times New Roman"/>
      <w:color w:val="auto"/>
    </w:rPr>
  </w:style>
  <w:style w:type="paragraph" w:customStyle="1" w:styleId="356">
    <w:name w:val="Char Char3 Char Char Char Char Char Char Char Char"/>
    <w:basedOn w:val="1"/>
    <w:qFormat/>
    <w:uiPriority w:val="0"/>
    <w:pPr>
      <w:adjustRightInd w:val="0"/>
      <w:spacing w:line="360" w:lineRule="auto"/>
      <w:ind w:firstLine="200" w:firstLineChars="200"/>
      <w:jc w:val="left"/>
      <w:textAlignment w:val="baseline"/>
    </w:pPr>
    <w:rPr>
      <w:rFonts w:ascii="宋体" w:hAnsi="Times New Roman"/>
      <w:kern w:val="0"/>
      <w:sz w:val="28"/>
      <w:szCs w:val="20"/>
    </w:rPr>
  </w:style>
  <w:style w:type="paragraph" w:customStyle="1" w:styleId="357">
    <w:name w:val="xl48"/>
    <w:basedOn w:val="1"/>
    <w:semiHidden/>
    <w:qFormat/>
    <w:uiPriority w:val="0"/>
    <w:pPr>
      <w:widowControl/>
      <w:pBdr>
        <w:bottom w:val="single" w:color="auto" w:sz="8" w:space="0"/>
      </w:pBdr>
      <w:spacing w:before="100" w:beforeAutospacing="1" w:after="100" w:afterAutospacing="1"/>
      <w:jc w:val="right"/>
      <w:textAlignment w:val="center"/>
    </w:pPr>
    <w:rPr>
      <w:rFonts w:ascii="宋体" w:hAnsi="宋体"/>
      <w:kern w:val="0"/>
      <w:sz w:val="20"/>
      <w:szCs w:val="20"/>
    </w:rPr>
  </w:style>
  <w:style w:type="paragraph" w:customStyle="1" w:styleId="358">
    <w:name w:val="CM97"/>
    <w:basedOn w:val="150"/>
    <w:next w:val="150"/>
    <w:qFormat/>
    <w:uiPriority w:val="0"/>
    <w:pPr>
      <w:spacing w:after="373"/>
    </w:pPr>
    <w:rPr>
      <w:rFonts w:ascii="宋体" w:hAnsi="Times New Roman"/>
      <w:color w:val="auto"/>
    </w:rPr>
  </w:style>
  <w:style w:type="paragraph" w:customStyle="1" w:styleId="359">
    <w:name w:val="CM57"/>
    <w:basedOn w:val="150"/>
    <w:next w:val="150"/>
    <w:qFormat/>
    <w:uiPriority w:val="0"/>
    <w:pPr>
      <w:spacing w:line="400" w:lineRule="atLeast"/>
    </w:pPr>
    <w:rPr>
      <w:rFonts w:ascii="宋体" w:hAnsi="Times New Roman"/>
      <w:color w:val="auto"/>
    </w:rPr>
  </w:style>
  <w:style w:type="paragraph" w:customStyle="1" w:styleId="360">
    <w:name w:val="章标题"/>
    <w:basedOn w:val="279"/>
    <w:qFormat/>
    <w:uiPriority w:val="0"/>
    <w:rPr>
      <w:rFonts w:ascii="黑体" w:eastAsia="黑体"/>
    </w:rPr>
  </w:style>
  <w:style w:type="paragraph" w:customStyle="1" w:styleId="361">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2">
    <w:name w:val="节标题"/>
    <w:basedOn w:val="363"/>
    <w:qFormat/>
    <w:uiPriority w:val="0"/>
  </w:style>
  <w:style w:type="paragraph" w:customStyle="1" w:styleId="363">
    <w:name w:val="样式 标题 2 + 居中"/>
    <w:basedOn w:val="2"/>
    <w:semiHidden/>
    <w:qFormat/>
    <w:uiPriority w:val="0"/>
    <w:pPr>
      <w:spacing w:before="120" w:after="120" w:line="240" w:lineRule="auto"/>
      <w:jc w:val="center"/>
    </w:pPr>
    <w:rPr>
      <w:rFonts w:cs="宋体"/>
      <w:bCs/>
    </w:rPr>
  </w:style>
  <w:style w:type="paragraph" w:customStyle="1" w:styleId="364">
    <w:name w:val="CM89"/>
    <w:basedOn w:val="150"/>
    <w:next w:val="150"/>
    <w:qFormat/>
    <w:uiPriority w:val="0"/>
    <w:pPr>
      <w:spacing w:line="440" w:lineRule="atLeast"/>
    </w:pPr>
    <w:rPr>
      <w:rFonts w:ascii="宋体" w:hAnsi="Times New Roman"/>
      <w:color w:val="auto"/>
    </w:rPr>
  </w:style>
  <w:style w:type="paragraph" w:customStyle="1" w:styleId="365">
    <w:name w:val="CM26"/>
    <w:basedOn w:val="150"/>
    <w:next w:val="150"/>
    <w:qFormat/>
    <w:uiPriority w:val="0"/>
    <w:pPr>
      <w:spacing w:line="400" w:lineRule="atLeast"/>
    </w:pPr>
    <w:rPr>
      <w:rFonts w:ascii="宋体" w:hAnsi="Times New Roman"/>
      <w:color w:val="auto"/>
    </w:rPr>
  </w:style>
  <w:style w:type="paragraph" w:customStyle="1" w:styleId="366">
    <w:name w:val="Char1 Char Char Char Char Char Char Char Char Char Char Char Char Char Char Char Char Char Char Char Char1 Char Char Char Char Char Char Char Char Char Char Char Char1 Char"/>
    <w:basedOn w:val="1"/>
    <w:semiHidden/>
    <w:qFormat/>
    <w:uiPriority w:val="0"/>
    <w:pPr>
      <w:spacing w:line="180" w:lineRule="auto"/>
      <w:ind w:firstLine="200" w:firstLineChars="200"/>
      <w:jc w:val="left"/>
    </w:pPr>
    <w:rPr>
      <w:rFonts w:ascii="Times New Roman" w:hAnsi="Times New Roman" w:eastAsia="仿宋_GB2312"/>
      <w:sz w:val="24"/>
      <w:szCs w:val="24"/>
    </w:rPr>
  </w:style>
  <w:style w:type="paragraph" w:customStyle="1" w:styleId="36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368">
    <w:name w:val="样式3第N章"/>
    <w:next w:val="1"/>
    <w:qFormat/>
    <w:uiPriority w:val="0"/>
    <w:pPr>
      <w:spacing w:line="600" w:lineRule="exact"/>
      <w:jc w:val="center"/>
    </w:pPr>
    <w:rPr>
      <w:rFonts w:ascii="Times New Roman" w:hAnsi="Times New Roman" w:eastAsia="方正小标宋简体" w:cs="Times New Roman"/>
      <w:snapToGrid w:val="0"/>
      <w:color w:val="000000"/>
      <w:sz w:val="32"/>
      <w:szCs w:val="32"/>
      <w:lang w:val="en-US" w:eastAsia="zh-CN" w:bidi="ar-SA"/>
    </w:rPr>
  </w:style>
  <w:style w:type="paragraph" w:customStyle="1" w:styleId="369">
    <w:name w:val="样式 样式 首行缩进:  2 字符 + 首行缩进:  2 字符"/>
    <w:basedOn w:val="1"/>
    <w:qFormat/>
    <w:uiPriority w:val="0"/>
    <w:pPr>
      <w:adjustRightInd w:val="0"/>
      <w:spacing w:line="360" w:lineRule="auto"/>
      <w:ind w:firstLine="560" w:firstLineChars="200"/>
    </w:pPr>
    <w:rPr>
      <w:rFonts w:ascii="Times New Roman" w:hAnsi="Times New Roman" w:cs="宋体"/>
      <w:sz w:val="28"/>
      <w:szCs w:val="20"/>
    </w:rPr>
  </w:style>
  <w:style w:type="paragraph" w:customStyle="1" w:styleId="3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371">
    <w:name w:val="xl43"/>
    <w:basedOn w:val="1"/>
    <w:semiHidden/>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372">
    <w:name w:val="表"/>
    <w:basedOn w:val="1"/>
    <w:qFormat/>
    <w:uiPriority w:val="0"/>
    <w:pPr>
      <w:adjustRightInd w:val="0"/>
      <w:spacing w:line="240" w:lineRule="atLeast"/>
      <w:jc w:val="center"/>
    </w:pPr>
    <w:rPr>
      <w:rFonts w:ascii="Times New Roman" w:hAnsi="Times New Roman"/>
      <w:kern w:val="0"/>
      <w:szCs w:val="21"/>
    </w:rPr>
  </w:style>
  <w:style w:type="paragraph" w:customStyle="1" w:styleId="373">
    <w:name w:val="Char Char Char"/>
    <w:basedOn w:val="1"/>
    <w:qFormat/>
    <w:uiPriority w:val="0"/>
    <w:pPr>
      <w:tabs>
        <w:tab w:val="left" w:pos="1280"/>
      </w:tabs>
      <w:snapToGrid w:val="0"/>
      <w:spacing w:line="360" w:lineRule="auto"/>
      <w:ind w:left="200"/>
    </w:pPr>
    <w:rPr>
      <w:rFonts w:ascii="Times New Roman" w:hAnsi="Times New Roman" w:eastAsia="仿宋_GB2312" w:cs="宋体"/>
      <w:color w:val="000000"/>
      <w:sz w:val="24"/>
      <w:szCs w:val="24"/>
    </w:rPr>
  </w:style>
  <w:style w:type="paragraph" w:customStyle="1" w:styleId="374">
    <w:name w:val="样式 四号"/>
    <w:basedOn w:val="1"/>
    <w:qFormat/>
    <w:uiPriority w:val="0"/>
    <w:pPr>
      <w:ind w:firstLine="200" w:firstLineChars="200"/>
    </w:pPr>
    <w:rPr>
      <w:rFonts w:ascii="Times New Roman" w:hAnsi="Times New Roman" w:cs="宋体"/>
      <w:sz w:val="28"/>
      <w:szCs w:val="20"/>
    </w:rPr>
  </w:style>
  <w:style w:type="paragraph" w:customStyle="1" w:styleId="375">
    <w:name w:val="Char1 Char Char2 Char Char Char Char Char Char Char Char Char1 Char"/>
    <w:basedOn w:val="1"/>
    <w:qFormat/>
    <w:uiPriority w:val="0"/>
    <w:pPr>
      <w:tabs>
        <w:tab w:val="left" w:pos="1280"/>
      </w:tabs>
      <w:snapToGrid w:val="0"/>
      <w:spacing w:line="360" w:lineRule="auto"/>
      <w:ind w:left="200"/>
    </w:pPr>
    <w:rPr>
      <w:rFonts w:ascii="Times New Roman" w:hAnsi="Times New Roman" w:eastAsia="仿宋_GB2312" w:cs="宋体"/>
      <w:color w:val="000000"/>
      <w:sz w:val="24"/>
      <w:szCs w:val="24"/>
    </w:rPr>
  </w:style>
  <w:style w:type="paragraph" w:customStyle="1" w:styleId="37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377">
    <w:name w:val="xl40"/>
    <w:basedOn w:val="1"/>
    <w:semiHidden/>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78">
    <w:name w:val="列表1"/>
    <w:basedOn w:val="67"/>
    <w:qFormat/>
    <w:uiPriority w:val="0"/>
    <w:pPr>
      <w:tabs>
        <w:tab w:val="center" w:pos="8840"/>
      </w:tabs>
      <w:topLinePunct/>
      <w:autoSpaceDE w:val="0"/>
      <w:autoSpaceDN w:val="0"/>
      <w:adjustRightInd w:val="0"/>
      <w:snapToGrid w:val="0"/>
      <w:spacing w:line="360" w:lineRule="exact"/>
      <w:ind w:left="0" w:firstLine="0" w:firstLineChars="0"/>
      <w:jc w:val="center"/>
    </w:pPr>
    <w:rPr>
      <w:color w:val="000000"/>
      <w:spacing w:val="8"/>
      <w:kern w:val="0"/>
      <w:szCs w:val="20"/>
    </w:rPr>
  </w:style>
  <w:style w:type="paragraph" w:customStyle="1" w:styleId="379">
    <w:name w:val="xl45"/>
    <w:basedOn w:val="1"/>
    <w:semiHidden/>
    <w:qFormat/>
    <w:uiPriority w:val="0"/>
    <w:pPr>
      <w:widowControl/>
      <w:pBdr>
        <w:left w:val="single" w:color="auto" w:sz="4" w:space="0"/>
      </w:pBdr>
      <w:spacing w:before="100" w:beforeAutospacing="1" w:after="100" w:afterAutospacing="1"/>
      <w:jc w:val="right"/>
      <w:textAlignment w:val="center"/>
    </w:pPr>
    <w:rPr>
      <w:rFonts w:ascii="宋体" w:hAnsi="宋体"/>
      <w:kern w:val="0"/>
      <w:sz w:val="20"/>
      <w:szCs w:val="20"/>
    </w:rPr>
  </w:style>
  <w:style w:type="paragraph" w:customStyle="1" w:styleId="380">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24"/>
      <w:szCs w:val="24"/>
    </w:rPr>
  </w:style>
  <w:style w:type="paragraph" w:customStyle="1" w:styleId="381">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8"/>
    </w:rPr>
  </w:style>
  <w:style w:type="paragraph" w:customStyle="1" w:styleId="382">
    <w:name w:val="font14"/>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83">
    <w:name w:val="图片"/>
    <w:basedOn w:val="1"/>
    <w:semiHidden/>
    <w:qFormat/>
    <w:uiPriority w:val="0"/>
    <w:rPr>
      <w:rFonts w:ascii="Times New Roman" w:hAnsi="Times New Roman"/>
      <w:szCs w:val="24"/>
    </w:rPr>
  </w:style>
  <w:style w:type="paragraph" w:customStyle="1" w:styleId="384">
    <w:name w:val="样式 (西文) 仿宋_GB2312 (中文) 仿宋_GB2312 小四 加粗 行距: 1.5 倍行距 首行缩进:  2..."/>
    <w:basedOn w:val="1"/>
    <w:qFormat/>
    <w:uiPriority w:val="0"/>
    <w:pPr>
      <w:snapToGrid w:val="0"/>
      <w:spacing w:line="560" w:lineRule="exact"/>
      <w:ind w:firstLine="200" w:firstLineChars="200"/>
    </w:pPr>
    <w:rPr>
      <w:rFonts w:ascii="仿宋_GB2312" w:hAnsi="Times New Roman"/>
      <w:bCs/>
      <w:sz w:val="24"/>
      <w:szCs w:val="20"/>
    </w:rPr>
  </w:style>
  <w:style w:type="paragraph" w:customStyle="1" w:styleId="385">
    <w:name w:val="xl52"/>
    <w:basedOn w:val="1"/>
    <w:semiHidden/>
    <w:qFormat/>
    <w:uiPriority w:val="0"/>
    <w:pPr>
      <w:widowControl/>
      <w:pBdr>
        <w:bottom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14"/>
      <w:szCs w:val="14"/>
    </w:rPr>
  </w:style>
  <w:style w:type="paragraph" w:customStyle="1" w:styleId="386">
    <w:name w:val="修订2"/>
    <w:qFormat/>
    <w:uiPriority w:val="0"/>
    <w:rPr>
      <w:rFonts w:ascii="Times New Roman" w:hAnsi="Times New Roman" w:eastAsia="宋体" w:cs="Times New Roman"/>
      <w:kern w:val="2"/>
      <w:sz w:val="21"/>
      <w:szCs w:val="24"/>
      <w:lang w:val="en-US" w:eastAsia="zh-CN" w:bidi="ar-SA"/>
    </w:rPr>
  </w:style>
  <w:style w:type="paragraph" w:customStyle="1" w:styleId="387">
    <w:name w:val="CM20"/>
    <w:basedOn w:val="150"/>
    <w:next w:val="150"/>
    <w:qFormat/>
    <w:uiPriority w:val="0"/>
    <w:pPr>
      <w:spacing w:line="400" w:lineRule="atLeast"/>
    </w:pPr>
    <w:rPr>
      <w:rFonts w:ascii="宋体" w:hAnsi="Times New Roman"/>
      <w:color w:val="auto"/>
    </w:rPr>
  </w:style>
  <w:style w:type="paragraph" w:customStyle="1" w:styleId="388">
    <w:name w:val="标题 4 + 左侧:  0 厘米 首行缩进:  0 厘米"/>
    <w:basedOn w:val="6"/>
    <w:next w:val="1"/>
    <w:qFormat/>
    <w:uiPriority w:val="0"/>
    <w:pPr>
      <w:widowControl/>
      <w:spacing w:before="120" w:beforeLines="50" w:after="120" w:afterLines="50" w:line="560" w:lineRule="exact"/>
      <w:jc w:val="left"/>
    </w:pPr>
    <w:rPr>
      <w:rFonts w:ascii="黑体" w:hAnsi="宋体" w:eastAsia="黑体" w:cs="宋体"/>
      <w:color w:val="000000"/>
      <w:spacing w:val="8"/>
      <w:kern w:val="0"/>
      <w:sz w:val="24"/>
      <w:szCs w:val="24"/>
      <w:lang w:val="en-GB"/>
    </w:rPr>
  </w:style>
  <w:style w:type="paragraph" w:customStyle="1" w:styleId="389">
    <w:name w:val="Char1"/>
    <w:basedOn w:val="1"/>
    <w:qFormat/>
    <w:uiPriority w:val="0"/>
    <w:pPr>
      <w:tabs>
        <w:tab w:val="left" w:pos="360"/>
      </w:tabs>
    </w:pPr>
    <w:rPr>
      <w:rFonts w:ascii="Times New Roman" w:hAnsi="Times New Roman"/>
      <w:szCs w:val="24"/>
    </w:rPr>
  </w:style>
  <w:style w:type="paragraph" w:customStyle="1" w:styleId="390">
    <w:name w:val="xl31"/>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391">
    <w:name w:val="CM92"/>
    <w:basedOn w:val="150"/>
    <w:next w:val="150"/>
    <w:qFormat/>
    <w:uiPriority w:val="0"/>
    <w:pPr>
      <w:spacing w:after="530"/>
    </w:pPr>
    <w:rPr>
      <w:rFonts w:ascii="宋体" w:hAnsi="Times New Roman"/>
      <w:color w:val="auto"/>
    </w:rPr>
  </w:style>
  <w:style w:type="paragraph" w:customStyle="1" w:styleId="392">
    <w:name w:val="font9"/>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393">
    <w:name w:val="xl24"/>
    <w:basedOn w:val="1"/>
    <w:qFormat/>
    <w:uiPriority w:val="0"/>
    <w:pPr>
      <w:widowControl/>
      <w:spacing w:before="100" w:beforeAutospacing="1" w:after="100" w:afterAutospacing="1"/>
      <w:jc w:val="left"/>
      <w:textAlignment w:val="center"/>
    </w:pPr>
    <w:rPr>
      <w:rFonts w:ascii="宋体" w:hAnsi="宋体" w:cs="宋体"/>
      <w:kern w:val="0"/>
      <w:sz w:val="24"/>
      <w:szCs w:val="24"/>
    </w:rPr>
  </w:style>
  <w:style w:type="paragraph" w:customStyle="1" w:styleId="394">
    <w:name w:val="样式 样式 (西文) 黑体 (中文) 黑体 四号 加粗 行距: 固定值 27 磅 首行缩进:  2 字符 + 加粗 首行缩进:...1"/>
    <w:basedOn w:val="286"/>
    <w:qFormat/>
    <w:uiPriority w:val="0"/>
    <w:pPr>
      <w:spacing w:before="120" w:after="120" w:line="240" w:lineRule="auto"/>
      <w:ind w:firstLine="0" w:firstLineChars="0"/>
    </w:pPr>
    <w:rPr>
      <w:b/>
      <w:bCs/>
    </w:rPr>
  </w:style>
  <w:style w:type="paragraph" w:customStyle="1" w:styleId="395">
    <w:name w:val="样式2"/>
    <w:basedOn w:val="1"/>
    <w:qFormat/>
    <w:uiPriority w:val="0"/>
    <w:pPr>
      <w:snapToGrid w:val="0"/>
      <w:spacing w:before="187" w:beforeLines="60" w:line="384" w:lineRule="auto"/>
      <w:outlineLvl w:val="0"/>
    </w:pPr>
    <w:rPr>
      <w:rFonts w:ascii="黑体" w:hAnsi="宋体" w:eastAsia="黑体"/>
      <w:szCs w:val="21"/>
    </w:rPr>
  </w:style>
  <w:style w:type="paragraph" w:customStyle="1" w:styleId="396">
    <w:name w:val="样式 正文缩进正文（首行缩进两字）特点ALT+Z表正文正文非缩进四号段1Normal Indent Char2...4"/>
    <w:basedOn w:val="36"/>
    <w:qFormat/>
    <w:uiPriority w:val="0"/>
    <w:pPr>
      <w:tabs>
        <w:tab w:val="left" w:pos="510"/>
        <w:tab w:val="left" w:pos="2100"/>
      </w:tabs>
      <w:adjustRightInd w:val="0"/>
      <w:spacing w:line="300" w:lineRule="auto"/>
      <w:ind w:left="2100" w:leftChars="0" w:hanging="420"/>
    </w:pPr>
    <w:rPr>
      <w:rFonts w:ascii="Times New Roman" w:hAnsi="宋体"/>
      <w:color w:val="000000"/>
      <w:kern w:val="0"/>
      <w:sz w:val="24"/>
      <w:szCs w:val="20"/>
    </w:rPr>
  </w:style>
  <w:style w:type="paragraph" w:customStyle="1" w:styleId="397">
    <w:name w:val="xl72"/>
    <w:basedOn w:val="1"/>
    <w:qFormat/>
    <w:uiPriority w:val="0"/>
    <w:pPr>
      <w:widowControl/>
      <w:pBdr>
        <w:bottom w:val="single" w:color="auto" w:sz="4" w:space="0"/>
      </w:pBdr>
      <w:spacing w:before="100" w:beforeAutospacing="1" w:after="100" w:afterAutospacing="1"/>
      <w:jc w:val="center"/>
    </w:pPr>
    <w:rPr>
      <w:rFonts w:ascii="宋体" w:hAnsi="宋体" w:cs="宋体"/>
      <w:kern w:val="0"/>
      <w:sz w:val="36"/>
      <w:szCs w:val="36"/>
    </w:rPr>
  </w:style>
  <w:style w:type="paragraph" w:customStyle="1" w:styleId="398">
    <w:name w:val="CM31"/>
    <w:basedOn w:val="150"/>
    <w:next w:val="150"/>
    <w:qFormat/>
    <w:uiPriority w:val="0"/>
    <w:pPr>
      <w:spacing w:line="400" w:lineRule="atLeast"/>
    </w:pPr>
    <w:rPr>
      <w:rFonts w:ascii="宋体" w:hAnsi="Times New Roman"/>
      <w:color w:val="auto"/>
    </w:rPr>
  </w:style>
  <w:style w:type="paragraph" w:customStyle="1" w:styleId="399">
    <w:name w:val="6"/>
    <w:basedOn w:val="1"/>
    <w:next w:val="52"/>
    <w:qFormat/>
    <w:uiPriority w:val="0"/>
    <w:pPr>
      <w:adjustRightInd w:val="0"/>
      <w:spacing w:after="120" w:line="480" w:lineRule="auto"/>
      <w:ind w:left="420" w:leftChars="200"/>
      <w:jc w:val="left"/>
      <w:textAlignment w:val="baseline"/>
    </w:pPr>
    <w:rPr>
      <w:rFonts w:ascii="宋体" w:hAnsi="宋体"/>
      <w:kern w:val="0"/>
      <w:sz w:val="24"/>
      <w:szCs w:val="24"/>
    </w:rPr>
  </w:style>
  <w:style w:type="paragraph" w:customStyle="1" w:styleId="40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01">
    <w:name w:val="CM2"/>
    <w:basedOn w:val="150"/>
    <w:next w:val="150"/>
    <w:qFormat/>
    <w:uiPriority w:val="0"/>
    <w:pPr>
      <w:spacing w:line="500" w:lineRule="atLeast"/>
    </w:pPr>
    <w:rPr>
      <w:rFonts w:ascii="宋体" w:hAnsi="Times New Roman"/>
      <w:color w:val="auto"/>
    </w:rPr>
  </w:style>
  <w:style w:type="paragraph" w:customStyle="1" w:styleId="402">
    <w:name w:val="CM62"/>
    <w:basedOn w:val="150"/>
    <w:next w:val="150"/>
    <w:qFormat/>
    <w:uiPriority w:val="0"/>
    <w:pPr>
      <w:spacing w:line="400" w:lineRule="atLeast"/>
    </w:pPr>
    <w:rPr>
      <w:rFonts w:ascii="宋体" w:hAnsi="Times New Roman"/>
      <w:color w:val="auto"/>
    </w:rPr>
  </w:style>
  <w:style w:type="paragraph" w:customStyle="1" w:styleId="403">
    <w:name w:val="CM36"/>
    <w:basedOn w:val="150"/>
    <w:next w:val="150"/>
    <w:qFormat/>
    <w:uiPriority w:val="0"/>
    <w:pPr>
      <w:spacing w:line="400" w:lineRule="atLeast"/>
    </w:pPr>
    <w:rPr>
      <w:rFonts w:ascii="宋体" w:hAnsi="Times New Roman"/>
      <w:color w:val="auto"/>
    </w:rPr>
  </w:style>
  <w:style w:type="paragraph" w:customStyle="1" w:styleId="404">
    <w:name w:val="CM3"/>
    <w:basedOn w:val="150"/>
    <w:next w:val="150"/>
    <w:qFormat/>
    <w:uiPriority w:val="0"/>
    <w:pPr>
      <w:spacing w:line="500" w:lineRule="atLeast"/>
    </w:pPr>
    <w:rPr>
      <w:rFonts w:ascii="宋体" w:hAnsi="Times New Roman"/>
      <w:color w:val="auto"/>
    </w:rPr>
  </w:style>
  <w:style w:type="paragraph" w:customStyle="1" w:styleId="405">
    <w:name w:val="z-窗体底端1"/>
    <w:basedOn w:val="1"/>
    <w:next w:val="1"/>
    <w:link w:val="406"/>
    <w:qFormat/>
    <w:uiPriority w:val="0"/>
    <w:pPr>
      <w:pBdr>
        <w:top w:val="single" w:color="auto" w:sz="6" w:space="1"/>
      </w:pBdr>
      <w:jc w:val="center"/>
    </w:pPr>
    <w:rPr>
      <w:rFonts w:ascii="Arial" w:hAnsi="Arial" w:cs="Arial"/>
      <w:vanish/>
      <w:sz w:val="16"/>
      <w:szCs w:val="16"/>
    </w:rPr>
  </w:style>
  <w:style w:type="character" w:customStyle="1" w:styleId="406">
    <w:name w:val="z-窗体底端 字符"/>
    <w:basedOn w:val="133"/>
    <w:link w:val="405"/>
    <w:qFormat/>
    <w:uiPriority w:val="0"/>
    <w:rPr>
      <w:rFonts w:ascii="Arial" w:hAnsi="Arial" w:cs="Arial"/>
      <w:vanish/>
      <w:kern w:val="2"/>
      <w:sz w:val="16"/>
      <w:szCs w:val="16"/>
    </w:rPr>
  </w:style>
  <w:style w:type="paragraph" w:customStyle="1" w:styleId="407">
    <w:name w:val="样式 标题 4b4 + 段前: 0.5 行 段后: 0.5 行"/>
    <w:basedOn w:val="6"/>
    <w:qFormat/>
    <w:uiPriority w:val="0"/>
    <w:pPr>
      <w:spacing w:before="243" w:after="0" w:line="360" w:lineRule="auto"/>
      <w:ind w:left="-207" w:firstLine="567"/>
      <w:jc w:val="left"/>
    </w:pPr>
    <w:rPr>
      <w:rFonts w:ascii="Arial" w:hAnsi="Arial" w:eastAsia="宋体" w:cs="Times New Roman"/>
      <w:b w:val="0"/>
      <w:bCs w:val="0"/>
      <w:color w:val="003300"/>
      <w:spacing w:val="8"/>
      <w:szCs w:val="20"/>
    </w:rPr>
  </w:style>
  <w:style w:type="paragraph" w:customStyle="1" w:styleId="408">
    <w:name w:val="font12"/>
    <w:basedOn w:val="1"/>
    <w:qFormat/>
    <w:uiPriority w:val="0"/>
    <w:pPr>
      <w:widowControl/>
      <w:spacing w:before="100" w:beforeAutospacing="1" w:after="100" w:afterAutospacing="1"/>
      <w:jc w:val="left"/>
    </w:pPr>
    <w:rPr>
      <w:rFonts w:ascii="宋体" w:hAnsi="宋体" w:cs="宋体"/>
      <w:b/>
      <w:bCs/>
      <w:kern w:val="0"/>
      <w:sz w:val="28"/>
      <w:szCs w:val="28"/>
    </w:rPr>
  </w:style>
  <w:style w:type="paragraph" w:customStyle="1" w:styleId="40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410">
    <w:name w:val="CM85"/>
    <w:basedOn w:val="150"/>
    <w:next w:val="150"/>
    <w:qFormat/>
    <w:uiPriority w:val="0"/>
    <w:pPr>
      <w:spacing w:line="443" w:lineRule="atLeast"/>
    </w:pPr>
    <w:rPr>
      <w:rFonts w:ascii="宋体" w:hAnsi="Times New Roman"/>
      <w:color w:val="auto"/>
    </w:rPr>
  </w:style>
  <w:style w:type="paragraph" w:customStyle="1" w:styleId="41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412">
    <w:name w:val="表标题"/>
    <w:basedOn w:val="1"/>
    <w:next w:val="1"/>
    <w:qFormat/>
    <w:uiPriority w:val="0"/>
    <w:pPr>
      <w:tabs>
        <w:tab w:val="left" w:pos="355"/>
        <w:tab w:val="center" w:pos="6888"/>
      </w:tabs>
      <w:spacing w:before="225" w:after="225"/>
    </w:pPr>
    <w:rPr>
      <w:rFonts w:ascii="宋体" w:hAnsi="Times New Roman" w:eastAsia="黑体"/>
      <w:kern w:val="28"/>
      <w:sz w:val="28"/>
      <w:szCs w:val="20"/>
    </w:rPr>
  </w:style>
  <w:style w:type="paragraph" w:customStyle="1" w:styleId="413">
    <w:name w:val="表格标题（左对齐）"/>
    <w:basedOn w:val="1"/>
    <w:qFormat/>
    <w:uiPriority w:val="0"/>
    <w:pPr>
      <w:snapToGrid w:val="0"/>
      <w:spacing w:before="240" w:after="240" w:line="560" w:lineRule="exact"/>
      <w:ind w:firstLine="482"/>
      <w:jc w:val="center"/>
    </w:pPr>
    <w:rPr>
      <w:rFonts w:ascii="宋体" w:hAnsi="宋体"/>
      <w:b/>
      <w:kern w:val="0"/>
      <w:szCs w:val="21"/>
    </w:rPr>
  </w:style>
  <w:style w:type="paragraph" w:customStyle="1" w:styleId="414">
    <w:name w:val="CM96"/>
    <w:basedOn w:val="150"/>
    <w:next w:val="150"/>
    <w:qFormat/>
    <w:uiPriority w:val="0"/>
    <w:pPr>
      <w:spacing w:after="298"/>
    </w:pPr>
    <w:rPr>
      <w:rFonts w:ascii="宋体" w:hAnsi="Times New Roman"/>
      <w:color w:val="auto"/>
    </w:rPr>
  </w:style>
  <w:style w:type="paragraph" w:customStyle="1" w:styleId="415">
    <w:name w:val="CM101"/>
    <w:basedOn w:val="150"/>
    <w:next w:val="150"/>
    <w:qFormat/>
    <w:uiPriority w:val="0"/>
    <w:pPr>
      <w:spacing w:after="800"/>
    </w:pPr>
    <w:rPr>
      <w:rFonts w:ascii="宋体" w:hAnsi="Times New Roman"/>
      <w:color w:val="auto"/>
    </w:rPr>
  </w:style>
  <w:style w:type="paragraph" w:customStyle="1" w:styleId="416">
    <w:name w:val="Char Char Char Char1"/>
    <w:basedOn w:val="2"/>
    <w:next w:val="1"/>
    <w:qFormat/>
    <w:uiPriority w:val="0"/>
    <w:pPr>
      <w:widowControl/>
      <w:spacing w:before="120" w:after="120" w:line="480" w:lineRule="atLeast"/>
      <w:jc w:val="left"/>
    </w:pPr>
    <w:rPr>
      <w:sz w:val="24"/>
    </w:rPr>
  </w:style>
  <w:style w:type="paragraph" w:customStyle="1" w:styleId="417">
    <w:name w:val="Char Char Char1"/>
    <w:basedOn w:val="1"/>
    <w:qFormat/>
    <w:uiPriority w:val="0"/>
    <w:pPr>
      <w:tabs>
        <w:tab w:val="left" w:pos="1280"/>
      </w:tabs>
      <w:snapToGrid w:val="0"/>
      <w:spacing w:line="360" w:lineRule="auto"/>
      <w:ind w:left="200"/>
    </w:pPr>
    <w:rPr>
      <w:rFonts w:ascii="Times New Roman" w:hAnsi="Times New Roman" w:eastAsia="仿宋_GB2312" w:cs="宋体"/>
      <w:color w:val="000000"/>
      <w:sz w:val="24"/>
      <w:szCs w:val="24"/>
    </w:rPr>
  </w:style>
  <w:style w:type="paragraph" w:customStyle="1" w:styleId="418">
    <w:name w:val="CM23"/>
    <w:basedOn w:val="150"/>
    <w:next w:val="150"/>
    <w:qFormat/>
    <w:uiPriority w:val="0"/>
    <w:pPr>
      <w:spacing w:line="398" w:lineRule="atLeast"/>
    </w:pPr>
    <w:rPr>
      <w:rFonts w:ascii="宋体" w:hAnsi="Times New Roman"/>
      <w:color w:val="auto"/>
    </w:rPr>
  </w:style>
  <w:style w:type="paragraph" w:customStyle="1" w:styleId="419">
    <w:name w:val="CM50"/>
    <w:basedOn w:val="150"/>
    <w:next w:val="150"/>
    <w:qFormat/>
    <w:uiPriority w:val="0"/>
    <w:pPr>
      <w:spacing w:line="1020" w:lineRule="atLeast"/>
    </w:pPr>
    <w:rPr>
      <w:rFonts w:ascii="宋体" w:hAnsi="Times New Roman"/>
      <w:color w:val="auto"/>
    </w:rPr>
  </w:style>
  <w:style w:type="paragraph" w:customStyle="1" w:styleId="420">
    <w:name w:val="CM15"/>
    <w:basedOn w:val="150"/>
    <w:next w:val="150"/>
    <w:qFormat/>
    <w:uiPriority w:val="0"/>
    <w:pPr>
      <w:spacing w:line="313" w:lineRule="atLeast"/>
    </w:pPr>
    <w:rPr>
      <w:rFonts w:ascii="宋体" w:hAnsi="Times New Roman"/>
      <w:color w:val="auto"/>
    </w:rPr>
  </w:style>
  <w:style w:type="paragraph" w:customStyle="1" w:styleId="421">
    <w:name w:val="CM46"/>
    <w:basedOn w:val="150"/>
    <w:next w:val="150"/>
    <w:qFormat/>
    <w:uiPriority w:val="0"/>
    <w:rPr>
      <w:rFonts w:ascii="宋体" w:hAnsi="Times New Roman"/>
      <w:color w:val="auto"/>
    </w:rPr>
  </w:style>
  <w:style w:type="paragraph" w:customStyle="1" w:styleId="422">
    <w:name w:val="z-窗体顶端1"/>
    <w:basedOn w:val="1"/>
    <w:next w:val="1"/>
    <w:link w:val="423"/>
    <w:qFormat/>
    <w:uiPriority w:val="0"/>
    <w:pPr>
      <w:pBdr>
        <w:bottom w:val="single" w:color="auto" w:sz="6" w:space="1"/>
      </w:pBdr>
      <w:jc w:val="center"/>
    </w:pPr>
    <w:rPr>
      <w:rFonts w:ascii="Arial" w:hAnsi="Arial" w:cs="Arial"/>
      <w:vanish/>
      <w:sz w:val="16"/>
      <w:szCs w:val="16"/>
    </w:rPr>
  </w:style>
  <w:style w:type="character" w:customStyle="1" w:styleId="423">
    <w:name w:val="z-窗体顶端 字符"/>
    <w:basedOn w:val="133"/>
    <w:link w:val="422"/>
    <w:qFormat/>
    <w:uiPriority w:val="0"/>
    <w:rPr>
      <w:rFonts w:ascii="Arial" w:hAnsi="Arial" w:cs="Arial"/>
      <w:vanish/>
      <w:kern w:val="2"/>
      <w:sz w:val="16"/>
      <w:szCs w:val="16"/>
    </w:rPr>
  </w:style>
  <w:style w:type="paragraph" w:customStyle="1" w:styleId="424">
    <w:name w:val="font13"/>
    <w:basedOn w:val="1"/>
    <w:qFormat/>
    <w:uiPriority w:val="0"/>
    <w:pPr>
      <w:widowControl/>
      <w:spacing w:before="100" w:beforeAutospacing="1" w:after="100" w:afterAutospacing="1"/>
      <w:jc w:val="left"/>
    </w:pPr>
    <w:rPr>
      <w:rFonts w:ascii="Times New Roman" w:hAnsi="Times New Roman"/>
      <w:b/>
      <w:bCs/>
      <w:kern w:val="0"/>
      <w:sz w:val="28"/>
      <w:szCs w:val="28"/>
    </w:rPr>
  </w:style>
  <w:style w:type="paragraph" w:customStyle="1" w:styleId="425">
    <w:name w:val="样式 小四"/>
    <w:basedOn w:val="1"/>
    <w:qFormat/>
    <w:uiPriority w:val="0"/>
    <w:pPr>
      <w:spacing w:line="360" w:lineRule="auto"/>
      <w:ind w:firstLine="200" w:firstLineChars="200"/>
    </w:pPr>
    <w:rPr>
      <w:rFonts w:ascii="Times New Roman" w:hAnsi="Times New Roman" w:cs="宋体"/>
      <w:kern w:val="0"/>
      <w:sz w:val="24"/>
      <w:szCs w:val="20"/>
    </w:rPr>
  </w:style>
  <w:style w:type="paragraph" w:customStyle="1" w:styleId="426">
    <w:name w:val="CM65"/>
    <w:basedOn w:val="150"/>
    <w:next w:val="150"/>
    <w:qFormat/>
    <w:uiPriority w:val="0"/>
    <w:rPr>
      <w:rFonts w:ascii="宋体" w:hAnsi="Times New Roman"/>
      <w:color w:val="auto"/>
    </w:rPr>
  </w:style>
  <w:style w:type="paragraph" w:customStyle="1" w:styleId="427">
    <w:name w:val="Char Char Char Char Char Char1 Char Char Char Char1"/>
    <w:basedOn w:val="1"/>
    <w:qFormat/>
    <w:uiPriority w:val="0"/>
    <w:pPr>
      <w:spacing w:line="360" w:lineRule="auto"/>
      <w:ind w:firstLine="200" w:firstLineChars="200"/>
    </w:pPr>
    <w:rPr>
      <w:rFonts w:ascii="Times New Roman" w:hAnsi="Times New Roman"/>
      <w:szCs w:val="24"/>
    </w:rPr>
  </w:style>
  <w:style w:type="paragraph" w:customStyle="1" w:styleId="428">
    <w:name w:val="样式 Times New Roman 行距: 固定值 22 磅"/>
    <w:basedOn w:val="1"/>
    <w:qFormat/>
    <w:uiPriority w:val="0"/>
    <w:pPr>
      <w:snapToGrid w:val="0"/>
      <w:spacing w:line="180" w:lineRule="auto"/>
      <w:ind w:firstLine="200" w:firstLineChars="200"/>
      <w:jc w:val="left"/>
    </w:pPr>
    <w:rPr>
      <w:rFonts w:ascii="Times New Roman" w:hAnsi="Times New Roman"/>
      <w:color w:val="000000"/>
      <w:spacing w:val="8"/>
      <w:kern w:val="0"/>
      <w:szCs w:val="20"/>
      <w:lang w:val="en-GB"/>
    </w:rPr>
  </w:style>
  <w:style w:type="paragraph" w:customStyle="1" w:styleId="429">
    <w:name w:val="样式 标题 2 + 段前: 1.5 行 段后: 1 行1"/>
    <w:basedOn w:val="2"/>
    <w:qFormat/>
    <w:uiPriority w:val="0"/>
    <w:pPr>
      <w:widowControl/>
      <w:spacing w:before="150" w:beforeLines="150" w:after="100" w:afterLines="100" w:line="415" w:lineRule="auto"/>
      <w:ind w:left="578" w:hanging="578"/>
    </w:pPr>
    <w:rPr>
      <w:rFonts w:ascii="Times New Roman" w:hAnsi="Times New Roman" w:cs="宋体"/>
      <w:bCs/>
    </w:rPr>
  </w:style>
  <w:style w:type="paragraph" w:customStyle="1" w:styleId="430">
    <w:name w:val="xl51"/>
    <w:basedOn w:val="1"/>
    <w:semiHidden/>
    <w:qFormat/>
    <w:uiPriority w:val="0"/>
    <w:pPr>
      <w:widowControl/>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31">
    <w:name w:val="样式7"/>
    <w:basedOn w:val="5"/>
    <w:semiHidden/>
    <w:qFormat/>
    <w:uiPriority w:val="0"/>
    <w:pPr>
      <w:spacing w:line="416" w:lineRule="auto"/>
      <w:ind w:firstLine="0" w:firstLineChars="0"/>
    </w:pPr>
    <w:rPr>
      <w:rFonts w:ascii="仿宋_GB2312" w:hAnsi="Times New Roman" w:eastAsia="仿宋_GB2312"/>
      <w:szCs w:val="32"/>
    </w:rPr>
  </w:style>
  <w:style w:type="paragraph" w:customStyle="1" w:styleId="432">
    <w:name w:val="2"/>
    <w:basedOn w:val="1"/>
    <w:next w:val="46"/>
    <w:qFormat/>
    <w:uiPriority w:val="0"/>
    <w:rPr>
      <w:rFonts w:ascii="宋体" w:hAnsi="Courier New" w:cs="Courier New"/>
      <w:szCs w:val="21"/>
    </w:rPr>
  </w:style>
  <w:style w:type="paragraph" w:customStyle="1" w:styleId="433">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434">
    <w:name w:val="样式 标题 2 + Times New Roman 四号 非加粗 段前: 5 磅 段后: 0 磅 行距: 固定值 20..."/>
    <w:basedOn w:val="2"/>
    <w:qFormat/>
    <w:uiPriority w:val="0"/>
    <w:pPr>
      <w:spacing w:before="100" w:after="0" w:line="400" w:lineRule="exact"/>
    </w:pPr>
    <w:rPr>
      <w:rFonts w:ascii="Times New Roman" w:hAnsi="Times New Roman"/>
      <w:b w:val="0"/>
      <w:sz w:val="28"/>
    </w:rPr>
  </w:style>
  <w:style w:type="paragraph" w:customStyle="1" w:styleId="435">
    <w:name w:val="CM35"/>
    <w:basedOn w:val="150"/>
    <w:next w:val="150"/>
    <w:qFormat/>
    <w:uiPriority w:val="0"/>
    <w:pPr>
      <w:spacing w:line="400" w:lineRule="atLeast"/>
    </w:pPr>
    <w:rPr>
      <w:rFonts w:ascii="宋体" w:hAnsi="Times New Roman"/>
      <w:color w:val="auto"/>
    </w:rPr>
  </w:style>
  <w:style w:type="paragraph" w:customStyle="1" w:styleId="436">
    <w:name w:val="CM103"/>
    <w:basedOn w:val="150"/>
    <w:next w:val="150"/>
    <w:qFormat/>
    <w:uiPriority w:val="0"/>
    <w:pPr>
      <w:spacing w:after="1508"/>
    </w:pPr>
    <w:rPr>
      <w:rFonts w:ascii="宋体" w:hAnsi="Times New Roman"/>
      <w:color w:val="auto"/>
    </w:rPr>
  </w:style>
  <w:style w:type="paragraph" w:customStyle="1" w:styleId="437">
    <w:name w:val="xl32"/>
    <w:basedOn w:val="1"/>
    <w:qFormat/>
    <w:uiPriority w:val="0"/>
    <w:pPr>
      <w:widowControl/>
      <w:spacing w:before="100" w:beforeAutospacing="1" w:after="100" w:afterAutospacing="1"/>
      <w:jc w:val="left"/>
    </w:pPr>
    <w:rPr>
      <w:rFonts w:ascii="Times New Roman" w:hAnsi="Times New Roman"/>
      <w:b/>
      <w:bCs/>
      <w:kern w:val="0"/>
      <w:sz w:val="36"/>
      <w:szCs w:val="36"/>
    </w:rPr>
  </w:style>
  <w:style w:type="paragraph" w:customStyle="1" w:styleId="438">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39">
    <w:name w:val="0"/>
    <w:basedOn w:val="1"/>
    <w:qFormat/>
    <w:uiPriority w:val="0"/>
    <w:pPr>
      <w:widowControl/>
      <w:snapToGrid w:val="0"/>
    </w:pPr>
    <w:rPr>
      <w:rFonts w:ascii="Times New Roman" w:hAnsi="Times New Roman"/>
      <w:kern w:val="0"/>
      <w:szCs w:val="21"/>
    </w:rPr>
  </w:style>
  <w:style w:type="paragraph" w:customStyle="1" w:styleId="440">
    <w:name w:val="样式 样式 标题 2 + 居中 + 两端对齐"/>
    <w:basedOn w:val="363"/>
    <w:qFormat/>
    <w:uiPriority w:val="0"/>
    <w:pPr>
      <w:jc w:val="both"/>
    </w:pPr>
  </w:style>
  <w:style w:type="paragraph" w:customStyle="1" w:styleId="441">
    <w:name w:val="CM102"/>
    <w:basedOn w:val="150"/>
    <w:next w:val="150"/>
    <w:qFormat/>
    <w:uiPriority w:val="0"/>
    <w:pPr>
      <w:spacing w:after="878"/>
    </w:pPr>
    <w:rPr>
      <w:rFonts w:ascii="宋体" w:hAnsi="Times New Roman"/>
      <w:color w:val="auto"/>
    </w:rPr>
  </w:style>
  <w:style w:type="paragraph" w:customStyle="1" w:styleId="442">
    <w:name w:val="简单回函地址"/>
    <w:basedOn w:val="1"/>
    <w:semiHidden/>
    <w:qFormat/>
    <w:uiPriority w:val="0"/>
    <w:rPr>
      <w:rFonts w:ascii="Times New Roman" w:hAnsi="Times New Roman"/>
      <w:szCs w:val="24"/>
    </w:rPr>
  </w:style>
  <w:style w:type="paragraph" w:customStyle="1" w:styleId="443">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4"/>
      <w:szCs w:val="24"/>
    </w:rPr>
  </w:style>
  <w:style w:type="paragraph" w:customStyle="1" w:styleId="444">
    <w:name w:val="CM29"/>
    <w:basedOn w:val="150"/>
    <w:next w:val="150"/>
    <w:qFormat/>
    <w:uiPriority w:val="0"/>
    <w:pPr>
      <w:spacing w:line="400" w:lineRule="atLeast"/>
    </w:pPr>
    <w:rPr>
      <w:rFonts w:ascii="宋体" w:hAnsi="Times New Roman"/>
      <w:color w:val="auto"/>
    </w:rPr>
  </w:style>
  <w:style w:type="paragraph" w:customStyle="1" w:styleId="445">
    <w:name w:val="xl46"/>
    <w:basedOn w:val="1"/>
    <w:semiHidden/>
    <w:qFormat/>
    <w:uiPriority w:val="0"/>
    <w:pPr>
      <w:widowControl/>
      <w:spacing w:before="100" w:beforeAutospacing="1" w:after="100" w:afterAutospacing="1"/>
      <w:jc w:val="right"/>
      <w:textAlignment w:val="center"/>
    </w:pPr>
    <w:rPr>
      <w:rFonts w:ascii="宋体" w:hAnsi="宋体"/>
      <w:kern w:val="0"/>
      <w:sz w:val="20"/>
      <w:szCs w:val="20"/>
    </w:rPr>
  </w:style>
  <w:style w:type="paragraph" w:customStyle="1" w:styleId="446">
    <w:name w:val="font11"/>
    <w:basedOn w:val="1"/>
    <w:qFormat/>
    <w:uiPriority w:val="0"/>
    <w:pPr>
      <w:widowControl/>
      <w:spacing w:before="100" w:beforeAutospacing="1" w:after="100" w:afterAutospacing="1"/>
      <w:jc w:val="left"/>
    </w:pPr>
    <w:rPr>
      <w:rFonts w:ascii="宋体" w:hAnsi="宋体" w:cs="宋体"/>
      <w:b/>
      <w:bCs/>
      <w:kern w:val="0"/>
      <w:sz w:val="36"/>
      <w:szCs w:val="36"/>
    </w:rPr>
  </w:style>
  <w:style w:type="paragraph" w:customStyle="1" w:styleId="447">
    <w:name w:val="CM98"/>
    <w:basedOn w:val="150"/>
    <w:next w:val="150"/>
    <w:qFormat/>
    <w:uiPriority w:val="0"/>
    <w:pPr>
      <w:spacing w:after="570"/>
    </w:pPr>
    <w:rPr>
      <w:rFonts w:ascii="宋体" w:hAnsi="Times New Roman"/>
      <w:color w:val="auto"/>
    </w:rPr>
  </w:style>
  <w:style w:type="paragraph" w:customStyle="1" w:styleId="448">
    <w:name w:val="font7"/>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449">
    <w:name w:val="_Style 70"/>
    <w:basedOn w:val="1"/>
    <w:qFormat/>
    <w:uiPriority w:val="0"/>
    <w:pPr>
      <w:ind w:firstLine="540" w:firstLineChars="225"/>
    </w:pPr>
    <w:rPr>
      <w:rFonts w:ascii="Times New Roman" w:hAnsi="Times New Roman"/>
      <w:szCs w:val="24"/>
    </w:rPr>
  </w:style>
  <w:style w:type="paragraph" w:customStyle="1" w:styleId="450">
    <w:name w:val="CM28"/>
    <w:basedOn w:val="150"/>
    <w:next w:val="150"/>
    <w:qFormat/>
    <w:uiPriority w:val="0"/>
    <w:rPr>
      <w:rFonts w:ascii="宋体" w:hAnsi="Times New Roman"/>
      <w:color w:val="auto"/>
    </w:rPr>
  </w:style>
  <w:style w:type="paragraph" w:customStyle="1" w:styleId="451">
    <w:name w:val="font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2">
    <w:name w:val="8"/>
    <w:basedOn w:val="1"/>
    <w:next w:val="34"/>
    <w:qFormat/>
    <w:uiPriority w:val="0"/>
    <w:pPr>
      <w:spacing w:after="120"/>
    </w:pPr>
    <w:rPr>
      <w:rFonts w:ascii="Times New Roman" w:hAnsi="Times New Roman"/>
      <w:szCs w:val="24"/>
    </w:rPr>
  </w:style>
  <w:style w:type="paragraph" w:customStyle="1" w:styleId="453">
    <w:name w:val="xl37"/>
    <w:basedOn w:val="1"/>
    <w:qFormat/>
    <w:uiPriority w:val="0"/>
    <w:pPr>
      <w:widowControl/>
      <w:spacing w:before="100" w:beforeAutospacing="1" w:after="100" w:afterAutospacing="1"/>
      <w:jc w:val="left"/>
      <w:textAlignment w:val="center"/>
    </w:pPr>
    <w:rPr>
      <w:rFonts w:ascii="Times New Roman" w:hAnsi="Times New Roman"/>
      <w:kern w:val="0"/>
      <w:sz w:val="24"/>
      <w:szCs w:val="24"/>
    </w:rPr>
  </w:style>
  <w:style w:type="paragraph" w:customStyle="1" w:styleId="45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4"/>
      <w:szCs w:val="24"/>
    </w:rPr>
  </w:style>
  <w:style w:type="paragraph" w:customStyle="1" w:styleId="455">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456">
    <w:name w:val="xl44"/>
    <w:basedOn w:val="1"/>
    <w:semiHidden/>
    <w:qFormat/>
    <w:uiPriority w:val="0"/>
    <w:pPr>
      <w:widowControl/>
      <w:spacing w:before="100" w:beforeAutospacing="1" w:after="100" w:afterAutospacing="1"/>
      <w:jc w:val="center"/>
      <w:textAlignment w:val="center"/>
    </w:pPr>
    <w:rPr>
      <w:rFonts w:ascii="Times New Roman" w:hAnsi="Times New Roman"/>
      <w:kern w:val="0"/>
      <w:sz w:val="20"/>
      <w:szCs w:val="20"/>
    </w:rPr>
  </w:style>
  <w:style w:type="paragraph" w:customStyle="1" w:styleId="457">
    <w:name w:val="font1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59">
    <w:name w:val="xl47"/>
    <w:basedOn w:val="1"/>
    <w:semiHidden/>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60">
    <w:name w:val="CM90"/>
    <w:basedOn w:val="150"/>
    <w:next w:val="150"/>
    <w:qFormat/>
    <w:uiPriority w:val="0"/>
    <w:rPr>
      <w:rFonts w:ascii="宋体" w:hAnsi="Times New Roman"/>
      <w:color w:val="auto"/>
    </w:rPr>
  </w:style>
  <w:style w:type="paragraph" w:customStyle="1" w:styleId="461">
    <w:name w:val="CM91"/>
    <w:basedOn w:val="150"/>
    <w:next w:val="150"/>
    <w:qFormat/>
    <w:uiPriority w:val="0"/>
    <w:pPr>
      <w:spacing w:after="160"/>
    </w:pPr>
    <w:rPr>
      <w:rFonts w:ascii="宋体" w:hAnsi="Times New Roman"/>
      <w:color w:val="auto"/>
    </w:rPr>
  </w:style>
  <w:style w:type="paragraph" w:customStyle="1" w:styleId="462">
    <w:name w:val="样式0　表头"/>
    <w:basedOn w:val="1"/>
    <w:qFormat/>
    <w:uiPriority w:val="0"/>
    <w:pPr>
      <w:adjustRightInd w:val="0"/>
      <w:snapToGrid w:val="0"/>
      <w:spacing w:line="600" w:lineRule="exact"/>
      <w:jc w:val="center"/>
    </w:pPr>
    <w:rPr>
      <w:rFonts w:ascii="Times New Roman" w:hAnsi="Times New Roman" w:eastAsia="黑体"/>
      <w:snapToGrid w:val="0"/>
      <w:kern w:val="0"/>
      <w:sz w:val="28"/>
      <w:szCs w:val="28"/>
    </w:rPr>
  </w:style>
  <w:style w:type="paragraph" w:customStyle="1" w:styleId="463">
    <w:name w:val="5"/>
    <w:basedOn w:val="1"/>
    <w:next w:val="46"/>
    <w:qFormat/>
    <w:uiPriority w:val="0"/>
    <w:rPr>
      <w:rFonts w:ascii="宋体" w:hAnsi="Courier New" w:cs="Courier New"/>
      <w:szCs w:val="21"/>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65">
    <w:name w:val="Char1 Char Char2 Char Char Char Char Char Char Char1"/>
    <w:basedOn w:val="1"/>
    <w:qFormat/>
    <w:uiPriority w:val="0"/>
    <w:pPr>
      <w:tabs>
        <w:tab w:val="left" w:pos="1280"/>
      </w:tabs>
      <w:snapToGrid w:val="0"/>
      <w:spacing w:line="360" w:lineRule="auto"/>
      <w:ind w:left="200"/>
    </w:pPr>
    <w:rPr>
      <w:rFonts w:ascii="Times New Roman" w:hAnsi="Times New Roman" w:eastAsia="仿宋_GB2312" w:cs="宋体"/>
      <w:color w:val="000000"/>
      <w:sz w:val="24"/>
      <w:szCs w:val="24"/>
    </w:rPr>
  </w:style>
  <w:style w:type="paragraph" w:customStyle="1" w:styleId="466">
    <w:name w:val="CM53"/>
    <w:basedOn w:val="150"/>
    <w:next w:val="150"/>
    <w:qFormat/>
    <w:uiPriority w:val="0"/>
    <w:pPr>
      <w:spacing w:line="400" w:lineRule="atLeast"/>
    </w:pPr>
    <w:rPr>
      <w:rFonts w:ascii="宋体" w:hAnsi="Times New Roman"/>
      <w:color w:val="auto"/>
    </w:rPr>
  </w:style>
  <w:style w:type="paragraph" w:customStyle="1" w:styleId="467">
    <w:name w:val="表格文字"/>
    <w:basedOn w:val="1"/>
    <w:qFormat/>
    <w:uiPriority w:val="0"/>
    <w:pPr>
      <w:spacing w:line="320" w:lineRule="exact"/>
      <w:jc w:val="center"/>
    </w:pPr>
    <w:rPr>
      <w:rFonts w:ascii="宋体" w:hAnsi="宋体"/>
      <w:szCs w:val="21"/>
    </w:rPr>
  </w:style>
  <w:style w:type="paragraph" w:customStyle="1" w:styleId="468">
    <w:name w:val="样式 样式 列表 2 +1 Char +"/>
    <w:basedOn w:val="1"/>
    <w:qFormat/>
    <w:uiPriority w:val="0"/>
    <w:pPr>
      <w:tabs>
        <w:tab w:val="left" w:pos="567"/>
      </w:tabs>
      <w:adjustRightInd w:val="0"/>
      <w:snapToGrid w:val="0"/>
      <w:spacing w:line="240" w:lineRule="atLeast"/>
      <w:jc w:val="center"/>
    </w:pPr>
    <w:rPr>
      <w:rFonts w:ascii="宋体" w:hAnsi="宋体"/>
      <w:color w:val="000000"/>
      <w:kern w:val="0"/>
      <w:sz w:val="15"/>
      <w:szCs w:val="15"/>
    </w:rPr>
  </w:style>
  <w:style w:type="paragraph" w:customStyle="1" w:styleId="469">
    <w:name w:val="CM81"/>
    <w:basedOn w:val="150"/>
    <w:next w:val="150"/>
    <w:qFormat/>
    <w:uiPriority w:val="0"/>
    <w:pPr>
      <w:spacing w:line="440" w:lineRule="atLeast"/>
    </w:pPr>
    <w:rPr>
      <w:rFonts w:ascii="宋体" w:hAnsi="Times New Roman"/>
      <w:color w:val="auto"/>
    </w:rPr>
  </w:style>
  <w:style w:type="paragraph" w:customStyle="1" w:styleId="470">
    <w:name w:val="默认段落字体 Para Char"/>
    <w:basedOn w:val="1"/>
    <w:qFormat/>
    <w:uiPriority w:val="0"/>
    <w:pPr>
      <w:ind w:left="263" w:hanging="135"/>
    </w:pPr>
    <w:rPr>
      <w:rFonts w:ascii="Times New Roman" w:hAnsi="Times New Roman" w:eastAsia="仿宋_GB2312" w:cs="宋体"/>
      <w:color w:val="000000"/>
      <w:sz w:val="24"/>
      <w:szCs w:val="24"/>
    </w:rPr>
  </w:style>
  <w:style w:type="paragraph" w:customStyle="1" w:styleId="471">
    <w:name w:val="CM4"/>
    <w:basedOn w:val="150"/>
    <w:next w:val="150"/>
    <w:qFormat/>
    <w:uiPriority w:val="0"/>
    <w:rPr>
      <w:rFonts w:ascii="宋体" w:hAnsi="Times New Roman"/>
      <w:color w:val="auto"/>
    </w:rPr>
  </w:style>
  <w:style w:type="paragraph" w:customStyle="1" w:styleId="472">
    <w:name w:val="CM6"/>
    <w:basedOn w:val="150"/>
    <w:next w:val="150"/>
    <w:qFormat/>
    <w:uiPriority w:val="0"/>
    <w:pPr>
      <w:spacing w:line="318" w:lineRule="atLeast"/>
    </w:pPr>
    <w:rPr>
      <w:rFonts w:ascii="宋体" w:hAnsi="Times New Roman"/>
      <w:color w:val="auto"/>
    </w:rPr>
  </w:style>
  <w:style w:type="paragraph" w:customStyle="1" w:styleId="473">
    <w:name w:val="CM47"/>
    <w:basedOn w:val="150"/>
    <w:next w:val="150"/>
    <w:qFormat/>
    <w:uiPriority w:val="0"/>
    <w:pPr>
      <w:spacing w:line="440" w:lineRule="atLeast"/>
    </w:pPr>
    <w:rPr>
      <w:rFonts w:ascii="宋体" w:hAnsi="Times New Roman"/>
      <w:color w:val="auto"/>
    </w:rPr>
  </w:style>
  <w:style w:type="paragraph" w:customStyle="1" w:styleId="474">
    <w:name w:val="xl39"/>
    <w:basedOn w:val="1"/>
    <w:semiHidden/>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kern w:val="0"/>
      <w:sz w:val="20"/>
      <w:szCs w:val="20"/>
    </w:rPr>
  </w:style>
  <w:style w:type="paragraph" w:customStyle="1" w:styleId="475">
    <w:name w:val="CM34"/>
    <w:basedOn w:val="150"/>
    <w:next w:val="150"/>
    <w:qFormat/>
    <w:uiPriority w:val="0"/>
    <w:pPr>
      <w:spacing w:line="398" w:lineRule="atLeast"/>
    </w:pPr>
    <w:rPr>
      <w:rFonts w:ascii="宋体" w:hAnsi="Times New Roman"/>
      <w:color w:val="auto"/>
    </w:rPr>
  </w:style>
  <w:style w:type="paragraph" w:customStyle="1" w:styleId="47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7">
    <w:name w:val="CM83"/>
    <w:basedOn w:val="150"/>
    <w:next w:val="150"/>
    <w:qFormat/>
    <w:uiPriority w:val="0"/>
    <w:pPr>
      <w:spacing w:line="440" w:lineRule="atLeast"/>
    </w:pPr>
    <w:rPr>
      <w:rFonts w:ascii="宋体" w:hAnsi="Times New Roman"/>
      <w:color w:val="auto"/>
    </w:rPr>
  </w:style>
  <w:style w:type="paragraph" w:customStyle="1" w:styleId="478">
    <w:name w:val="表格"/>
    <w:basedOn w:val="1"/>
    <w:qFormat/>
    <w:uiPriority w:val="0"/>
    <w:pPr>
      <w:spacing w:line="320" w:lineRule="atLeast"/>
      <w:jc w:val="left"/>
    </w:pPr>
    <w:rPr>
      <w:rFonts w:ascii="宋体" w:hAnsi="宋体" w:cs="宋体"/>
      <w:szCs w:val="21"/>
    </w:rPr>
  </w:style>
  <w:style w:type="paragraph" w:customStyle="1" w:styleId="479">
    <w:name w:val="xl42"/>
    <w:basedOn w:val="1"/>
    <w:semiHidden/>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kern w:val="0"/>
      <w:sz w:val="20"/>
      <w:szCs w:val="20"/>
    </w:rPr>
  </w:style>
  <w:style w:type="paragraph" w:customStyle="1" w:styleId="480">
    <w:name w:val="Char1 Char Char2 Char Char Char Char Char Char Char Char Char"/>
    <w:basedOn w:val="1"/>
    <w:qFormat/>
    <w:uiPriority w:val="0"/>
    <w:pPr>
      <w:tabs>
        <w:tab w:val="left" w:pos="1280"/>
      </w:tabs>
      <w:snapToGrid w:val="0"/>
      <w:spacing w:line="360" w:lineRule="auto"/>
      <w:ind w:left="200"/>
    </w:pPr>
    <w:rPr>
      <w:rFonts w:ascii="Times New Roman" w:hAnsi="Times New Roman" w:eastAsia="仿宋_GB2312" w:cs="宋体"/>
      <w:color w:val="000000"/>
      <w:sz w:val="24"/>
      <w:szCs w:val="24"/>
    </w:rPr>
  </w:style>
  <w:style w:type="paragraph" w:customStyle="1" w:styleId="481">
    <w:name w:val="xl33"/>
    <w:basedOn w:val="1"/>
    <w:qFormat/>
    <w:uiPriority w:val="0"/>
    <w:pPr>
      <w:widowControl/>
      <w:spacing w:before="100" w:beforeAutospacing="1" w:after="100" w:afterAutospacing="1"/>
      <w:jc w:val="left"/>
      <w:textAlignment w:val="center"/>
    </w:pPr>
    <w:rPr>
      <w:rFonts w:ascii="宋体" w:hAnsi="宋体" w:cs="宋体"/>
      <w:b/>
      <w:bCs/>
      <w:kern w:val="0"/>
      <w:sz w:val="36"/>
      <w:szCs w:val="36"/>
    </w:rPr>
  </w:style>
  <w:style w:type="paragraph" w:customStyle="1" w:styleId="482">
    <w:name w:val="9"/>
    <w:basedOn w:val="1"/>
    <w:next w:val="52"/>
    <w:qFormat/>
    <w:uiPriority w:val="0"/>
    <w:pPr>
      <w:spacing w:line="500" w:lineRule="exact"/>
      <w:ind w:left="480" w:leftChars="200" w:firstLine="480" w:firstLineChars="200"/>
    </w:pPr>
    <w:rPr>
      <w:rFonts w:ascii="仿宋_GB2312" w:hAnsi="Times New Roman" w:eastAsia="仿宋_GB2312"/>
      <w:sz w:val="30"/>
      <w:szCs w:val="20"/>
    </w:rPr>
  </w:style>
  <w:style w:type="paragraph" w:customStyle="1" w:styleId="483">
    <w:name w:val="CM33"/>
    <w:basedOn w:val="150"/>
    <w:next w:val="150"/>
    <w:qFormat/>
    <w:uiPriority w:val="0"/>
    <w:rPr>
      <w:rFonts w:ascii="宋体" w:hAnsi="Times New Roman"/>
      <w:color w:val="auto"/>
    </w:rPr>
  </w:style>
  <w:style w:type="character" w:customStyle="1" w:styleId="484">
    <w:name w:val="bannertitle"/>
    <w:basedOn w:val="133"/>
    <w:qFormat/>
    <w:uiPriority w:val="0"/>
    <w:rPr>
      <w:color w:val="FFFFFF"/>
    </w:rPr>
  </w:style>
  <w:style w:type="character" w:customStyle="1" w:styleId="485">
    <w:name w:val="star"/>
    <w:basedOn w:val="133"/>
    <w:qFormat/>
    <w:uiPriority w:val="0"/>
  </w:style>
  <w:style w:type="character" w:customStyle="1" w:styleId="486">
    <w:name w:val="en_title"/>
    <w:basedOn w:val="133"/>
    <w:qFormat/>
    <w:uiPriority w:val="0"/>
    <w:rPr>
      <w:sz w:val="30"/>
      <w:szCs w:val="30"/>
    </w:rPr>
  </w:style>
  <w:style w:type="character" w:customStyle="1" w:styleId="487">
    <w:name w:val="type"/>
    <w:basedOn w:val="133"/>
    <w:qFormat/>
    <w:uiPriority w:val="0"/>
    <w:rPr>
      <w:color w:val="05A4FB"/>
    </w:rPr>
  </w:style>
  <w:style w:type="character" w:customStyle="1" w:styleId="488">
    <w:name w:val="name"/>
    <w:basedOn w:val="133"/>
    <w:qFormat/>
    <w:uiPriority w:val="0"/>
    <w:rPr>
      <w:color w:val="FFFFFF"/>
    </w:rPr>
  </w:style>
  <w:style w:type="character" w:customStyle="1" w:styleId="489">
    <w:name w:val="name1"/>
    <w:basedOn w:val="133"/>
    <w:qFormat/>
    <w:uiPriority w:val="0"/>
  </w:style>
  <w:style w:type="character" w:customStyle="1" w:styleId="490">
    <w:name w:val="name2"/>
    <w:basedOn w:val="133"/>
    <w:qFormat/>
    <w:uiPriority w:val="0"/>
  </w:style>
  <w:style w:type="character" w:customStyle="1" w:styleId="491">
    <w:name w:val="icon"/>
    <w:basedOn w:val="133"/>
    <w:qFormat/>
    <w:uiPriority w:val="0"/>
  </w:style>
  <w:style w:type="character" w:customStyle="1" w:styleId="492">
    <w:name w:val="layui-layer-tabnow"/>
    <w:basedOn w:val="133"/>
    <w:qFormat/>
    <w:uiPriority w:val="0"/>
    <w:rPr>
      <w:bdr w:val="single" w:color="CCCCCC" w:sz="6" w:space="0"/>
      <w:shd w:val="clear" w:color="auto" w:fill="FFFFFF"/>
    </w:rPr>
  </w:style>
  <w:style w:type="character" w:customStyle="1" w:styleId="493">
    <w:name w:val="first-child"/>
    <w:basedOn w:val="133"/>
    <w:qFormat/>
    <w:uiPriority w:val="0"/>
  </w:style>
  <w:style w:type="character" w:customStyle="1" w:styleId="494">
    <w:name w:val="layui-laypage-curr"/>
    <w:basedOn w:val="133"/>
    <w:qFormat/>
    <w:uiPriority w:val="0"/>
  </w:style>
  <w:style w:type="paragraph" w:customStyle="1" w:styleId="495">
    <w:name w:val="正文格式"/>
    <w:basedOn w:val="34"/>
    <w:autoRedefine/>
    <w:qFormat/>
    <w:uiPriority w:val="0"/>
    <w:pPr>
      <w:widowControl/>
      <w:adjustRightInd w:val="0"/>
      <w:snapToGrid w:val="0"/>
      <w:spacing w:after="0" w:line="400" w:lineRule="atLeast"/>
      <w:ind w:firstLine="482"/>
      <w:textAlignment w:val="baseline"/>
    </w:pPr>
    <w:rPr>
      <w:rFonts w:ascii="宋体" w:hAnsi="宋体" w:cs="宋体"/>
      <w:sz w:val="24"/>
      <w:szCs w:val="2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87</Pages>
  <Words>2827</Words>
  <Characters>3236</Characters>
  <Lines>348</Lines>
  <Paragraphs>98</Paragraphs>
  <TotalTime>32</TotalTime>
  <ScaleCrop>false</ScaleCrop>
  <LinksUpToDate>false</LinksUpToDate>
  <CharactersWithSpaces>3326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2023-12-11T01:41:00Z</dcterms:created>
  <dc:creator>袁静</dc:creator>
  <cp:lastModifiedBy>月光爱琳</cp:lastModifiedBy>
  <cp:lastPrinted>2023-12-07T05:08:00Z</cp:lastPrinted>
  <dcterms:modified xsi:type="dcterms:W3CDTF">2025-01-22T06:46:26Z</dcterms:modified>
  <dc:title>中华人民共和国</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8CBD38ADAF3044019AC90EC52E8E6788_13</vt:lpwstr>
  </property>
  <property fmtid="{D5CDD505-2E9C-101B-9397-08002B2CF9AE}" pid="4" name="KSOTemplateDocerSaveRecord">
    <vt:lpwstr>eyJoZGlkIjoiYTRkYjJhMjc5ODQ2MzA4NTkxYjc4MjlkYzkyODM5NDgiLCJ1c2VySWQiOiI2OTI4OTUyNTkifQ==</vt:lpwstr>
  </property>
</Properties>
</file>