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41B934">
      <w:pPr>
        <w:jc w:val="both"/>
        <w:rPr>
          <w:rFonts w:ascii="Times New Roman" w:hAnsi="Times New Roman" w:eastAsia="黑体"/>
          <w:color w:val="auto"/>
          <w:sz w:val="28"/>
          <w:szCs w:val="28"/>
        </w:rPr>
      </w:pPr>
    </w:p>
    <w:p w14:paraId="0EDFF674">
      <w:pPr>
        <w:spacing w:before="156" w:beforeLines="50" w:line="480" w:lineRule="auto"/>
        <w:jc w:val="center"/>
        <w:rPr>
          <w:rFonts w:hint="eastAsia" w:ascii="仿宋" w:hAnsi="仿宋" w:eastAsia="仿宋" w:cs="仿宋"/>
          <w:b/>
          <w:color w:val="auto"/>
          <w:sz w:val="52"/>
          <w:szCs w:val="52"/>
          <w:lang w:eastAsia="zh-CN"/>
        </w:rPr>
      </w:pPr>
      <w:r>
        <w:rPr>
          <w:rFonts w:hint="eastAsia" w:ascii="仿宋" w:hAnsi="仿宋" w:cs="仿宋"/>
          <w:b/>
          <w:color w:val="auto"/>
          <w:sz w:val="52"/>
          <w:szCs w:val="52"/>
          <w:lang w:val="en-US" w:eastAsia="zh-CN"/>
        </w:rPr>
        <w:t>牡丹区</w:t>
      </w:r>
      <w:r>
        <w:rPr>
          <w:rFonts w:hint="eastAsia" w:ascii="仿宋" w:hAnsi="仿宋" w:eastAsia="仿宋" w:cs="仿宋"/>
          <w:b/>
          <w:color w:val="auto"/>
          <w:sz w:val="52"/>
          <w:szCs w:val="52"/>
          <w:lang w:val="en-US" w:eastAsia="zh-CN"/>
        </w:rPr>
        <w:t>大千嘉园</w:t>
      </w:r>
      <w:r>
        <w:rPr>
          <w:rFonts w:hint="eastAsia" w:ascii="仿宋" w:hAnsi="仿宋" w:cs="仿宋"/>
          <w:b/>
          <w:color w:val="auto"/>
          <w:sz w:val="52"/>
          <w:szCs w:val="52"/>
          <w:lang w:val="en-US" w:eastAsia="zh-CN"/>
        </w:rPr>
        <w:t>安置区</w:t>
      </w:r>
      <w:r>
        <w:rPr>
          <w:rFonts w:hint="eastAsia" w:ascii="仿宋" w:hAnsi="仿宋" w:eastAsia="仿宋" w:cs="仿宋"/>
          <w:b/>
          <w:color w:val="auto"/>
          <w:sz w:val="52"/>
          <w:szCs w:val="52"/>
          <w:lang w:val="en-US" w:eastAsia="zh-CN"/>
        </w:rPr>
        <w:t>项目电梯工程</w:t>
      </w:r>
    </w:p>
    <w:p w14:paraId="6F9E44F0">
      <w:pPr>
        <w:rPr>
          <w:rFonts w:hint="eastAsia" w:ascii="仿宋" w:hAnsi="仿宋" w:eastAsia="仿宋" w:cs="仿宋"/>
          <w:color w:val="auto"/>
          <w:sz w:val="28"/>
          <w:szCs w:val="28"/>
        </w:rPr>
      </w:pPr>
    </w:p>
    <w:p w14:paraId="78433957">
      <w:pPr>
        <w:rPr>
          <w:rFonts w:hint="eastAsia" w:ascii="仿宋" w:hAnsi="仿宋" w:eastAsia="仿宋" w:cs="仿宋"/>
          <w:color w:val="auto"/>
          <w:sz w:val="28"/>
        </w:rPr>
      </w:pPr>
    </w:p>
    <w:p w14:paraId="5BC6D5E7">
      <w:pPr>
        <w:spacing w:before="156" w:beforeLines="50" w:after="156" w:afterLines="50"/>
        <w:jc w:val="center"/>
        <w:rPr>
          <w:rFonts w:hint="eastAsia" w:ascii="仿宋" w:hAnsi="仿宋" w:eastAsia="仿宋" w:cs="仿宋"/>
          <w:color w:val="auto"/>
          <w:sz w:val="56"/>
          <w:szCs w:val="56"/>
        </w:rPr>
      </w:pPr>
    </w:p>
    <w:p w14:paraId="4E1D7B91">
      <w:pPr>
        <w:spacing w:before="156" w:beforeLines="50" w:after="156" w:afterLines="50"/>
        <w:jc w:val="center"/>
        <w:rPr>
          <w:rFonts w:hint="eastAsia" w:ascii="仿宋" w:hAnsi="仿宋" w:eastAsia="仿宋" w:cs="仿宋"/>
          <w:color w:val="auto"/>
          <w:sz w:val="56"/>
          <w:szCs w:val="56"/>
          <w:lang w:eastAsia="zh-CN"/>
        </w:rPr>
      </w:pPr>
      <w:r>
        <w:rPr>
          <w:rFonts w:hint="eastAsia" w:ascii="仿宋" w:hAnsi="仿宋" w:eastAsia="仿宋" w:cs="仿宋"/>
          <w:color w:val="auto"/>
          <w:sz w:val="56"/>
          <w:szCs w:val="56"/>
        </w:rPr>
        <w:t>招标文件</w:t>
      </w:r>
    </w:p>
    <w:p w14:paraId="04452759">
      <w:pPr>
        <w:spacing w:before="156" w:beforeLines="50" w:after="156" w:afterLines="50"/>
        <w:ind w:firstLine="2530" w:firstLineChars="900"/>
        <w:jc w:val="both"/>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项目编号：HZSHGCZX202600</w:t>
      </w:r>
      <w:r>
        <w:rPr>
          <w:rFonts w:hint="eastAsia" w:ascii="仿宋" w:hAnsi="仿宋" w:cs="仿宋"/>
          <w:b/>
          <w:bCs/>
          <w:color w:val="auto"/>
          <w:kern w:val="0"/>
          <w:sz w:val="28"/>
          <w:szCs w:val="28"/>
          <w:lang w:val="en-US" w:eastAsia="zh-CN"/>
        </w:rPr>
        <w:t>7</w:t>
      </w:r>
    </w:p>
    <w:p w14:paraId="4CA2F5E7">
      <w:pPr>
        <w:pStyle w:val="3"/>
        <w:jc w:val="center"/>
        <w:rPr>
          <w:rFonts w:hint="default" w:eastAsia="仿宋"/>
          <w:color w:val="auto"/>
          <w:sz w:val="40"/>
          <w:szCs w:val="22"/>
          <w:lang w:val="en-US" w:eastAsia="zh-CN"/>
        </w:rPr>
      </w:pPr>
      <w:r>
        <w:rPr>
          <w:rFonts w:hint="eastAsia" w:eastAsia="仿宋"/>
          <w:color w:val="auto"/>
          <w:sz w:val="40"/>
          <w:szCs w:val="22"/>
          <w:lang w:val="en-US" w:eastAsia="zh-CN"/>
        </w:rPr>
        <w:t>（一标段：一期工程电梯）</w:t>
      </w:r>
    </w:p>
    <w:p w14:paraId="0C78432F">
      <w:pPr>
        <w:spacing w:line="400" w:lineRule="exact"/>
        <w:rPr>
          <w:rFonts w:hint="eastAsia" w:ascii="仿宋" w:hAnsi="仿宋" w:eastAsia="仿宋" w:cs="仿宋"/>
          <w:color w:val="auto"/>
        </w:rPr>
      </w:pPr>
    </w:p>
    <w:p w14:paraId="4700F76E">
      <w:pPr>
        <w:spacing w:line="400" w:lineRule="exact"/>
        <w:rPr>
          <w:rFonts w:hint="eastAsia" w:ascii="仿宋" w:hAnsi="仿宋" w:eastAsia="仿宋" w:cs="仿宋"/>
          <w:color w:val="auto"/>
        </w:rPr>
      </w:pPr>
    </w:p>
    <w:p w14:paraId="4C78D3A9">
      <w:pPr>
        <w:spacing w:line="400" w:lineRule="exact"/>
        <w:rPr>
          <w:rFonts w:hint="eastAsia" w:ascii="仿宋" w:hAnsi="仿宋" w:eastAsia="仿宋" w:cs="仿宋"/>
          <w:color w:val="auto"/>
        </w:rPr>
      </w:pPr>
    </w:p>
    <w:p w14:paraId="221643B0">
      <w:pPr>
        <w:spacing w:line="400" w:lineRule="exact"/>
        <w:rPr>
          <w:rFonts w:hint="eastAsia" w:ascii="仿宋" w:hAnsi="仿宋" w:eastAsia="仿宋" w:cs="仿宋"/>
          <w:color w:val="auto"/>
        </w:rPr>
      </w:pPr>
    </w:p>
    <w:p w14:paraId="5FBC569D">
      <w:pPr>
        <w:spacing w:line="400" w:lineRule="exact"/>
        <w:rPr>
          <w:rFonts w:hint="eastAsia" w:ascii="仿宋" w:hAnsi="仿宋" w:eastAsia="仿宋" w:cs="仿宋"/>
          <w:color w:val="auto"/>
        </w:rPr>
      </w:pPr>
    </w:p>
    <w:p w14:paraId="33C83FE5">
      <w:pPr>
        <w:pStyle w:val="36"/>
        <w:ind w:left="0" w:leftChars="0" w:firstLine="0" w:firstLineChars="0"/>
        <w:rPr>
          <w:rFonts w:hint="eastAsia"/>
          <w:color w:val="auto"/>
        </w:rPr>
      </w:pPr>
    </w:p>
    <w:p w14:paraId="203694CA">
      <w:pPr>
        <w:rPr>
          <w:rFonts w:hint="eastAsia"/>
          <w:color w:val="auto"/>
        </w:rPr>
      </w:pPr>
    </w:p>
    <w:p w14:paraId="6576D77F">
      <w:pPr>
        <w:rPr>
          <w:rFonts w:hint="eastAsia" w:ascii="仿宋" w:hAnsi="仿宋" w:eastAsia="仿宋" w:cs="仿宋"/>
          <w:color w:val="auto"/>
        </w:rPr>
      </w:pPr>
    </w:p>
    <w:p w14:paraId="7E82B1F8">
      <w:pPr>
        <w:spacing w:line="480" w:lineRule="auto"/>
        <w:ind w:firstLine="1928" w:firstLineChars="600"/>
        <w:textAlignment w:val="baseline"/>
        <w:rPr>
          <w:rFonts w:hint="eastAsia" w:ascii="仿宋" w:hAnsi="仿宋" w:eastAsia="仿宋" w:cs="仿宋"/>
          <w:b/>
          <w:color w:val="auto"/>
          <w:sz w:val="32"/>
          <w:szCs w:val="32"/>
          <w:u w:val="none"/>
        </w:rPr>
      </w:pPr>
      <w:r>
        <w:rPr>
          <w:rFonts w:hint="eastAsia" w:ascii="仿宋" w:hAnsi="仿宋" w:eastAsia="仿宋" w:cs="仿宋"/>
          <w:b/>
          <w:color w:val="auto"/>
          <w:sz w:val="32"/>
          <w:szCs w:val="32"/>
          <w:u w:val="none"/>
        </w:rPr>
        <w:t>招 标 人：</w:t>
      </w:r>
      <w:r>
        <w:rPr>
          <w:rFonts w:hint="default" w:ascii="仿宋" w:hAnsi="仿宋" w:eastAsia="仿宋" w:cs="仿宋"/>
          <w:b/>
          <w:color w:val="auto"/>
          <w:sz w:val="32"/>
          <w:szCs w:val="32"/>
          <w:u w:val="none"/>
          <w:lang w:val="en-US" w:eastAsia="zh-CN"/>
        </w:rPr>
        <w:t>山东福亦盛建筑工程有限公司</w:t>
      </w:r>
    </w:p>
    <w:p w14:paraId="3FE503D1">
      <w:pPr>
        <w:spacing w:line="480" w:lineRule="auto"/>
        <w:ind w:firstLine="1928" w:firstLineChars="600"/>
        <w:textAlignment w:val="baseline"/>
        <w:rPr>
          <w:rFonts w:hint="eastAsia" w:ascii="仿宋" w:hAnsi="仿宋" w:eastAsia="仿宋" w:cs="仿宋"/>
          <w:b/>
          <w:color w:val="auto"/>
          <w:sz w:val="32"/>
          <w:szCs w:val="32"/>
          <w:u w:val="none"/>
          <w:lang w:eastAsia="zh-CN"/>
        </w:rPr>
      </w:pPr>
      <w:r>
        <w:rPr>
          <w:rFonts w:hint="eastAsia" w:ascii="仿宋" w:hAnsi="仿宋" w:eastAsia="仿宋" w:cs="仿宋"/>
          <w:b/>
          <w:color w:val="auto"/>
          <w:sz w:val="32"/>
          <w:szCs w:val="32"/>
          <w:u w:val="none"/>
        </w:rPr>
        <w:t>代理机构：</w:t>
      </w:r>
      <w:r>
        <w:rPr>
          <w:rFonts w:hint="eastAsia" w:ascii="仿宋" w:hAnsi="仿宋" w:eastAsia="仿宋" w:cs="仿宋"/>
          <w:b/>
          <w:bCs/>
          <w:color w:val="auto"/>
          <w:sz w:val="32"/>
          <w:szCs w:val="32"/>
          <w:u w:val="none"/>
          <w:lang w:eastAsia="zh-CN"/>
        </w:rPr>
        <w:t>菏泽圣航工程咨询管理有限公司</w:t>
      </w:r>
    </w:p>
    <w:p w14:paraId="3239AC61">
      <w:pPr>
        <w:spacing w:line="480" w:lineRule="auto"/>
        <w:ind w:firstLine="3213" w:firstLineChars="1000"/>
        <w:textAlignment w:val="baseline"/>
        <w:rPr>
          <w:rFonts w:hint="eastAsia" w:ascii="仿宋" w:hAnsi="仿宋" w:eastAsia="仿宋" w:cs="仿宋"/>
          <w:b/>
          <w:color w:val="auto"/>
          <w:sz w:val="32"/>
          <w:szCs w:val="32"/>
          <w:u w:val="none"/>
        </w:rPr>
      </w:pPr>
      <w:r>
        <w:rPr>
          <w:rFonts w:hint="eastAsia" w:ascii="仿宋" w:hAnsi="仿宋" w:eastAsia="仿宋" w:cs="仿宋"/>
          <w:b/>
          <w:color w:val="auto"/>
          <w:sz w:val="32"/>
          <w:szCs w:val="32"/>
          <w:u w:val="none"/>
        </w:rPr>
        <w:t>日    期：二〇二</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年</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月</w:t>
      </w:r>
      <w:bookmarkStart w:id="0" w:name="_Toc152045511"/>
      <w:bookmarkStart w:id="1" w:name="_Toc144974479"/>
      <w:bookmarkStart w:id="2" w:name="_Toc152042287"/>
      <w:r>
        <w:rPr>
          <w:rFonts w:hint="eastAsia" w:ascii="仿宋" w:hAnsi="仿宋" w:eastAsia="仿宋" w:cs="仿宋"/>
          <w:b/>
          <w:color w:val="auto"/>
          <w:sz w:val="32"/>
          <w:szCs w:val="32"/>
          <w:u w:val="none"/>
        </w:rPr>
        <w:t xml:space="preserve"> </w:t>
      </w:r>
    </w:p>
    <w:p w14:paraId="171939F8">
      <w:pPr>
        <w:widowControl/>
        <w:spacing w:line="360" w:lineRule="auto"/>
        <w:jc w:val="center"/>
        <w:rPr>
          <w:rFonts w:ascii="宋体" w:hAnsi="宋体"/>
          <w:color w:val="auto"/>
        </w:rPr>
        <w:sectPr>
          <w:headerReference r:id="rId3" w:type="first"/>
          <w:pgSz w:w="11905" w:h="16838"/>
          <w:pgMar w:top="1417" w:right="1417" w:bottom="1417" w:left="1417" w:header="964" w:footer="850" w:gutter="0"/>
          <w:cols w:space="0" w:num="1"/>
          <w:rtlGutter w:val="0"/>
          <w:docGrid w:type="lines" w:linePitch="318" w:charSpace="0"/>
        </w:sectPr>
      </w:pPr>
      <w:bookmarkStart w:id="3" w:name="_Toc534190067"/>
    </w:p>
    <w:sdt>
      <w:sdtPr>
        <w:rPr>
          <w:rFonts w:ascii="宋体" w:hAnsi="宋体"/>
          <w:color w:val="auto"/>
        </w:rPr>
        <w:id w:val="147468766"/>
        <w:docPartObj>
          <w:docPartGallery w:val="Table of Contents"/>
          <w:docPartUnique/>
        </w:docPartObj>
      </w:sdtPr>
      <w:sdtEndPr>
        <w:rPr>
          <w:rFonts w:ascii="宋体" w:hAnsi="宋体"/>
          <w:color w:val="auto"/>
        </w:rPr>
      </w:sdtEndPr>
      <w:sdtContent>
        <w:p w14:paraId="443F4542">
          <w:pPr>
            <w:widowControl/>
            <w:spacing w:line="360" w:lineRule="auto"/>
            <w:jc w:val="center"/>
            <w:rPr>
              <w:b/>
              <w:bCs/>
              <w:color w:val="auto"/>
              <w:sz w:val="28"/>
              <w:szCs w:val="28"/>
            </w:rPr>
          </w:pPr>
          <w:r>
            <w:rPr>
              <w:rFonts w:ascii="宋体" w:hAnsi="宋体"/>
              <w:b/>
              <w:bCs/>
              <w:color w:val="auto"/>
              <w:sz w:val="28"/>
              <w:szCs w:val="28"/>
            </w:rPr>
            <w:t>目</w:t>
          </w:r>
          <w:r>
            <w:rPr>
              <w:rFonts w:hint="eastAsia" w:ascii="宋体" w:hAnsi="宋体"/>
              <w:b/>
              <w:bCs/>
              <w:color w:val="auto"/>
              <w:sz w:val="28"/>
              <w:szCs w:val="28"/>
            </w:rPr>
            <w:t xml:space="preserve">    </w:t>
          </w:r>
          <w:r>
            <w:rPr>
              <w:rFonts w:ascii="宋体" w:hAnsi="宋体"/>
              <w:b/>
              <w:bCs/>
              <w:color w:val="auto"/>
              <w:sz w:val="28"/>
              <w:szCs w:val="28"/>
            </w:rPr>
            <w:t>录</w:t>
          </w:r>
        </w:p>
        <w:p w14:paraId="2E45C7FD">
          <w:pPr>
            <w:pStyle w:val="26"/>
            <w:tabs>
              <w:tab w:val="right" w:leader="dot" w:pos="8820"/>
            </w:tabs>
            <w:spacing w:line="480" w:lineRule="auto"/>
            <w:rPr>
              <w:color w:val="auto"/>
              <w:sz w:val="24"/>
              <w:szCs w:val="28"/>
            </w:rPr>
          </w:pPr>
          <w:r>
            <w:rPr>
              <w:b w:val="0"/>
              <w:bCs w:val="0"/>
              <w:color w:val="auto"/>
              <w:sz w:val="28"/>
              <w:szCs w:val="28"/>
            </w:rPr>
            <w:fldChar w:fldCharType="begin"/>
          </w:r>
          <w:r>
            <w:rPr>
              <w:b w:val="0"/>
              <w:bCs w:val="0"/>
              <w:color w:val="auto"/>
              <w:sz w:val="28"/>
              <w:szCs w:val="28"/>
            </w:rPr>
            <w:instrText xml:space="preserve">TOC \o "1-1" \h \u </w:instrText>
          </w:r>
          <w:r>
            <w:rPr>
              <w:b w:val="0"/>
              <w:bCs w:val="0"/>
              <w:color w:val="auto"/>
              <w:sz w:val="28"/>
              <w:szCs w:val="28"/>
            </w:rPr>
            <w:fldChar w:fldCharType="separate"/>
          </w:r>
          <w:r>
            <w:rPr>
              <w:bCs w:val="0"/>
              <w:color w:val="auto"/>
              <w:sz w:val="24"/>
              <w:szCs w:val="36"/>
            </w:rPr>
            <w:fldChar w:fldCharType="begin"/>
          </w:r>
          <w:r>
            <w:rPr>
              <w:bCs w:val="0"/>
              <w:color w:val="auto"/>
              <w:sz w:val="24"/>
              <w:szCs w:val="36"/>
            </w:rPr>
            <w:instrText xml:space="preserve"> HYPERLINK \l _Toc23224 </w:instrText>
          </w:r>
          <w:r>
            <w:rPr>
              <w:bCs w:val="0"/>
              <w:color w:val="auto"/>
              <w:sz w:val="24"/>
              <w:szCs w:val="36"/>
            </w:rPr>
            <w:fldChar w:fldCharType="separate"/>
          </w:r>
          <w:r>
            <w:rPr>
              <w:color w:val="auto"/>
              <w:sz w:val="24"/>
              <w:szCs w:val="28"/>
            </w:rPr>
            <w:t>第一章</w:t>
          </w:r>
          <w:r>
            <w:rPr>
              <w:rFonts w:hint="eastAsia"/>
              <w:color w:val="auto"/>
              <w:sz w:val="24"/>
              <w:szCs w:val="28"/>
            </w:rPr>
            <w:t xml:space="preserve"> </w:t>
          </w:r>
          <w:r>
            <w:rPr>
              <w:color w:val="auto"/>
              <w:sz w:val="24"/>
              <w:szCs w:val="28"/>
            </w:rPr>
            <w:t>招标公告</w:t>
          </w:r>
          <w:r>
            <w:rPr>
              <w:color w:val="auto"/>
              <w:sz w:val="24"/>
              <w:szCs w:val="28"/>
            </w:rPr>
            <w:tab/>
          </w:r>
          <w:r>
            <w:rPr>
              <w:color w:val="auto"/>
              <w:sz w:val="24"/>
              <w:szCs w:val="28"/>
            </w:rPr>
            <w:fldChar w:fldCharType="begin"/>
          </w:r>
          <w:r>
            <w:rPr>
              <w:color w:val="auto"/>
              <w:sz w:val="24"/>
              <w:szCs w:val="28"/>
            </w:rPr>
            <w:instrText xml:space="preserve"> PAGEREF _Toc23224 \h </w:instrText>
          </w:r>
          <w:r>
            <w:rPr>
              <w:color w:val="auto"/>
              <w:sz w:val="24"/>
              <w:szCs w:val="28"/>
            </w:rPr>
            <w:fldChar w:fldCharType="separate"/>
          </w:r>
          <w:r>
            <w:rPr>
              <w:color w:val="auto"/>
              <w:sz w:val="24"/>
              <w:szCs w:val="28"/>
            </w:rPr>
            <w:t>2</w:t>
          </w:r>
          <w:r>
            <w:rPr>
              <w:color w:val="auto"/>
              <w:sz w:val="24"/>
              <w:szCs w:val="28"/>
            </w:rPr>
            <w:fldChar w:fldCharType="end"/>
          </w:r>
          <w:r>
            <w:rPr>
              <w:bCs w:val="0"/>
              <w:color w:val="auto"/>
              <w:sz w:val="24"/>
              <w:szCs w:val="36"/>
            </w:rPr>
            <w:fldChar w:fldCharType="end"/>
          </w:r>
        </w:p>
        <w:p w14:paraId="37FA0D2E">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_Toc25076 </w:instrText>
          </w:r>
          <w:r>
            <w:rPr>
              <w:bCs w:val="0"/>
              <w:color w:val="auto"/>
              <w:sz w:val="24"/>
              <w:szCs w:val="36"/>
            </w:rPr>
            <w:fldChar w:fldCharType="separate"/>
          </w:r>
          <w:r>
            <w:rPr>
              <w:color w:val="auto"/>
              <w:sz w:val="24"/>
              <w:szCs w:val="28"/>
            </w:rPr>
            <w:t>第二章</w:t>
          </w:r>
          <w:r>
            <w:rPr>
              <w:rFonts w:hint="eastAsia"/>
              <w:color w:val="auto"/>
              <w:sz w:val="24"/>
              <w:szCs w:val="28"/>
            </w:rPr>
            <w:t xml:space="preserve"> </w:t>
          </w:r>
          <w:r>
            <w:rPr>
              <w:color w:val="auto"/>
              <w:sz w:val="24"/>
              <w:szCs w:val="28"/>
            </w:rPr>
            <w:t>投标人须知</w:t>
          </w:r>
          <w:r>
            <w:rPr>
              <w:color w:val="auto"/>
              <w:sz w:val="24"/>
              <w:szCs w:val="28"/>
            </w:rPr>
            <w:tab/>
          </w:r>
          <w:r>
            <w:rPr>
              <w:color w:val="auto"/>
              <w:sz w:val="24"/>
              <w:szCs w:val="28"/>
            </w:rPr>
            <w:fldChar w:fldCharType="begin"/>
          </w:r>
          <w:r>
            <w:rPr>
              <w:color w:val="auto"/>
              <w:sz w:val="24"/>
              <w:szCs w:val="28"/>
            </w:rPr>
            <w:instrText xml:space="preserve"> PAGEREF _Toc25076 \h </w:instrText>
          </w:r>
          <w:r>
            <w:rPr>
              <w:color w:val="auto"/>
              <w:sz w:val="24"/>
              <w:szCs w:val="28"/>
            </w:rPr>
            <w:fldChar w:fldCharType="separate"/>
          </w:r>
          <w:r>
            <w:rPr>
              <w:color w:val="auto"/>
              <w:sz w:val="24"/>
              <w:szCs w:val="28"/>
            </w:rPr>
            <w:t>9</w:t>
          </w:r>
          <w:r>
            <w:rPr>
              <w:color w:val="auto"/>
              <w:sz w:val="24"/>
              <w:szCs w:val="28"/>
            </w:rPr>
            <w:fldChar w:fldCharType="end"/>
          </w:r>
          <w:r>
            <w:rPr>
              <w:bCs w:val="0"/>
              <w:color w:val="auto"/>
              <w:sz w:val="24"/>
              <w:szCs w:val="36"/>
            </w:rPr>
            <w:fldChar w:fldCharType="end"/>
          </w:r>
        </w:p>
        <w:p w14:paraId="7A9138DB">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_Toc31451 </w:instrText>
          </w:r>
          <w:r>
            <w:rPr>
              <w:bCs w:val="0"/>
              <w:color w:val="auto"/>
              <w:sz w:val="24"/>
              <w:szCs w:val="36"/>
            </w:rPr>
            <w:fldChar w:fldCharType="separate"/>
          </w:r>
          <w:r>
            <w:rPr>
              <w:rFonts w:hint="eastAsia"/>
              <w:bCs/>
              <w:color w:val="auto"/>
              <w:sz w:val="24"/>
              <w:szCs w:val="44"/>
            </w:rPr>
            <w:t xml:space="preserve">第三章 </w:t>
          </w:r>
          <w:r>
            <w:rPr>
              <w:bCs/>
              <w:color w:val="auto"/>
              <w:sz w:val="24"/>
              <w:szCs w:val="44"/>
            </w:rPr>
            <w:t>评标办法（综合评估法）</w:t>
          </w:r>
          <w:r>
            <w:rPr>
              <w:color w:val="auto"/>
              <w:sz w:val="24"/>
              <w:szCs w:val="28"/>
            </w:rPr>
            <w:tab/>
          </w:r>
          <w:r>
            <w:rPr>
              <w:color w:val="auto"/>
              <w:sz w:val="24"/>
              <w:szCs w:val="28"/>
            </w:rPr>
            <w:fldChar w:fldCharType="begin"/>
          </w:r>
          <w:r>
            <w:rPr>
              <w:color w:val="auto"/>
              <w:sz w:val="24"/>
              <w:szCs w:val="28"/>
            </w:rPr>
            <w:instrText xml:space="preserve"> PAGEREF _Toc31451 \h </w:instrText>
          </w:r>
          <w:r>
            <w:rPr>
              <w:color w:val="auto"/>
              <w:sz w:val="24"/>
              <w:szCs w:val="28"/>
            </w:rPr>
            <w:fldChar w:fldCharType="separate"/>
          </w:r>
          <w:r>
            <w:rPr>
              <w:color w:val="auto"/>
              <w:sz w:val="24"/>
              <w:szCs w:val="28"/>
            </w:rPr>
            <w:t>32</w:t>
          </w:r>
          <w:r>
            <w:rPr>
              <w:color w:val="auto"/>
              <w:sz w:val="24"/>
              <w:szCs w:val="28"/>
            </w:rPr>
            <w:fldChar w:fldCharType="end"/>
          </w:r>
          <w:r>
            <w:rPr>
              <w:bCs w:val="0"/>
              <w:color w:val="auto"/>
              <w:sz w:val="24"/>
              <w:szCs w:val="36"/>
            </w:rPr>
            <w:fldChar w:fldCharType="end"/>
          </w:r>
        </w:p>
        <w:p w14:paraId="3EE5AD8C">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_Toc11903 </w:instrText>
          </w:r>
          <w:r>
            <w:rPr>
              <w:bCs w:val="0"/>
              <w:color w:val="auto"/>
              <w:sz w:val="24"/>
              <w:szCs w:val="36"/>
            </w:rPr>
            <w:fldChar w:fldCharType="separate"/>
          </w:r>
          <w:r>
            <w:rPr>
              <w:rFonts w:hint="eastAsia"/>
              <w:bCs/>
              <w:color w:val="auto"/>
              <w:sz w:val="24"/>
              <w:szCs w:val="44"/>
            </w:rPr>
            <w:t>第四章 定标方法</w:t>
          </w:r>
          <w:r>
            <w:rPr>
              <w:color w:val="auto"/>
              <w:sz w:val="24"/>
              <w:szCs w:val="28"/>
            </w:rPr>
            <w:tab/>
          </w:r>
          <w:r>
            <w:rPr>
              <w:color w:val="auto"/>
              <w:sz w:val="24"/>
              <w:szCs w:val="28"/>
            </w:rPr>
            <w:fldChar w:fldCharType="begin"/>
          </w:r>
          <w:r>
            <w:rPr>
              <w:color w:val="auto"/>
              <w:sz w:val="24"/>
              <w:szCs w:val="28"/>
            </w:rPr>
            <w:instrText xml:space="preserve"> PAGEREF _Toc11903 \h </w:instrText>
          </w:r>
          <w:r>
            <w:rPr>
              <w:color w:val="auto"/>
              <w:sz w:val="24"/>
              <w:szCs w:val="28"/>
            </w:rPr>
            <w:fldChar w:fldCharType="separate"/>
          </w:r>
          <w:r>
            <w:rPr>
              <w:color w:val="auto"/>
              <w:sz w:val="24"/>
              <w:szCs w:val="28"/>
            </w:rPr>
            <w:t>38</w:t>
          </w:r>
          <w:r>
            <w:rPr>
              <w:color w:val="auto"/>
              <w:sz w:val="24"/>
              <w:szCs w:val="28"/>
            </w:rPr>
            <w:fldChar w:fldCharType="end"/>
          </w:r>
          <w:r>
            <w:rPr>
              <w:bCs w:val="0"/>
              <w:color w:val="auto"/>
              <w:sz w:val="24"/>
              <w:szCs w:val="36"/>
            </w:rPr>
            <w:fldChar w:fldCharType="end"/>
          </w:r>
        </w:p>
        <w:p w14:paraId="551F9ADD">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_Toc14838 </w:instrText>
          </w:r>
          <w:r>
            <w:rPr>
              <w:bCs w:val="0"/>
              <w:color w:val="auto"/>
              <w:sz w:val="24"/>
              <w:szCs w:val="36"/>
            </w:rPr>
            <w:fldChar w:fldCharType="separate"/>
          </w:r>
          <w:r>
            <w:rPr>
              <w:rFonts w:hint="eastAsia"/>
              <w:bCs/>
              <w:color w:val="auto"/>
              <w:sz w:val="24"/>
              <w:szCs w:val="44"/>
            </w:rPr>
            <w:t>第五章 合同条款及格式（仅供参考）</w:t>
          </w:r>
          <w:r>
            <w:rPr>
              <w:color w:val="auto"/>
              <w:sz w:val="24"/>
              <w:szCs w:val="28"/>
            </w:rPr>
            <w:tab/>
          </w:r>
          <w:r>
            <w:rPr>
              <w:color w:val="auto"/>
              <w:sz w:val="24"/>
              <w:szCs w:val="28"/>
            </w:rPr>
            <w:fldChar w:fldCharType="begin"/>
          </w:r>
          <w:r>
            <w:rPr>
              <w:color w:val="auto"/>
              <w:sz w:val="24"/>
              <w:szCs w:val="28"/>
            </w:rPr>
            <w:instrText xml:space="preserve"> PAGEREF _Toc14838 \h </w:instrText>
          </w:r>
          <w:r>
            <w:rPr>
              <w:color w:val="auto"/>
              <w:sz w:val="24"/>
              <w:szCs w:val="28"/>
            </w:rPr>
            <w:fldChar w:fldCharType="separate"/>
          </w:r>
          <w:r>
            <w:rPr>
              <w:color w:val="auto"/>
              <w:sz w:val="24"/>
              <w:szCs w:val="28"/>
            </w:rPr>
            <w:t>41</w:t>
          </w:r>
          <w:r>
            <w:rPr>
              <w:color w:val="auto"/>
              <w:sz w:val="24"/>
              <w:szCs w:val="28"/>
            </w:rPr>
            <w:fldChar w:fldCharType="end"/>
          </w:r>
          <w:r>
            <w:rPr>
              <w:bCs w:val="0"/>
              <w:color w:val="auto"/>
              <w:sz w:val="24"/>
              <w:szCs w:val="36"/>
            </w:rPr>
            <w:fldChar w:fldCharType="end"/>
          </w:r>
        </w:p>
        <w:p w14:paraId="36C3B4B2">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_Toc28409 </w:instrText>
          </w:r>
          <w:r>
            <w:rPr>
              <w:bCs w:val="0"/>
              <w:color w:val="auto"/>
              <w:sz w:val="24"/>
              <w:szCs w:val="36"/>
            </w:rPr>
            <w:fldChar w:fldCharType="separate"/>
          </w:r>
          <w:r>
            <w:rPr>
              <w:rFonts w:hint="eastAsia"/>
              <w:color w:val="auto"/>
              <w:sz w:val="24"/>
              <w:szCs w:val="28"/>
            </w:rPr>
            <w:t>第六章</w:t>
          </w:r>
          <w:r>
            <w:rPr>
              <w:rFonts w:hint="eastAsia"/>
              <w:color w:val="auto"/>
              <w:sz w:val="24"/>
              <w:szCs w:val="28"/>
              <w:lang w:val="en-US" w:eastAsia="zh-CN"/>
            </w:rPr>
            <w:t xml:space="preserve"> </w:t>
          </w:r>
          <w:r>
            <w:rPr>
              <w:rFonts w:hint="eastAsia"/>
              <w:color w:val="auto"/>
              <w:sz w:val="24"/>
              <w:szCs w:val="28"/>
            </w:rPr>
            <w:t>工程量清单</w:t>
          </w:r>
          <w:r>
            <w:rPr>
              <w:rFonts w:hint="eastAsia"/>
              <w:color w:val="auto"/>
              <w:sz w:val="24"/>
              <w:szCs w:val="28"/>
              <w:lang w:val="en-US" w:eastAsia="zh-CN"/>
            </w:rPr>
            <w:t>及图纸</w:t>
          </w:r>
          <w:r>
            <w:rPr>
              <w:color w:val="auto"/>
              <w:sz w:val="24"/>
              <w:szCs w:val="28"/>
            </w:rPr>
            <w:tab/>
          </w:r>
          <w:r>
            <w:rPr>
              <w:color w:val="auto"/>
              <w:sz w:val="24"/>
              <w:szCs w:val="28"/>
            </w:rPr>
            <w:fldChar w:fldCharType="begin"/>
          </w:r>
          <w:r>
            <w:rPr>
              <w:color w:val="auto"/>
              <w:sz w:val="24"/>
              <w:szCs w:val="28"/>
            </w:rPr>
            <w:instrText xml:space="preserve"> PAGEREF _Toc28409 \h </w:instrText>
          </w:r>
          <w:r>
            <w:rPr>
              <w:color w:val="auto"/>
              <w:sz w:val="24"/>
              <w:szCs w:val="28"/>
            </w:rPr>
            <w:fldChar w:fldCharType="separate"/>
          </w:r>
          <w:r>
            <w:rPr>
              <w:color w:val="auto"/>
              <w:sz w:val="24"/>
              <w:szCs w:val="28"/>
            </w:rPr>
            <w:t>64</w:t>
          </w:r>
          <w:r>
            <w:rPr>
              <w:color w:val="auto"/>
              <w:sz w:val="24"/>
              <w:szCs w:val="28"/>
            </w:rPr>
            <w:fldChar w:fldCharType="end"/>
          </w:r>
          <w:r>
            <w:rPr>
              <w:bCs w:val="0"/>
              <w:color w:val="auto"/>
              <w:sz w:val="24"/>
              <w:szCs w:val="36"/>
            </w:rPr>
            <w:fldChar w:fldCharType="end"/>
          </w:r>
        </w:p>
        <w:p w14:paraId="71D8663E">
          <w:pPr>
            <w:pStyle w:val="26"/>
            <w:tabs>
              <w:tab w:val="right" w:leader="dot" w:pos="8820"/>
            </w:tabs>
            <w:spacing w:line="480" w:lineRule="auto"/>
            <w:rPr>
              <w:rFonts w:hint="eastAsia" w:eastAsia="仿宋"/>
              <w:color w:val="auto"/>
              <w:sz w:val="24"/>
              <w:szCs w:val="28"/>
              <w:lang w:val="en-US" w:eastAsia="zh-CN"/>
            </w:rPr>
          </w:pPr>
          <w:r>
            <w:rPr>
              <w:bCs w:val="0"/>
              <w:color w:val="auto"/>
              <w:sz w:val="24"/>
              <w:szCs w:val="36"/>
            </w:rPr>
            <w:fldChar w:fldCharType="begin"/>
          </w:r>
          <w:r>
            <w:rPr>
              <w:bCs w:val="0"/>
              <w:color w:val="auto"/>
              <w:sz w:val="24"/>
              <w:szCs w:val="36"/>
            </w:rPr>
            <w:instrText xml:space="preserve"> HYPERLINK \l _Toc24118 </w:instrText>
          </w:r>
          <w:r>
            <w:rPr>
              <w:bCs w:val="0"/>
              <w:color w:val="auto"/>
              <w:sz w:val="24"/>
              <w:szCs w:val="36"/>
            </w:rPr>
            <w:fldChar w:fldCharType="separate"/>
          </w:r>
          <w:r>
            <w:rPr>
              <w:rFonts w:hint="eastAsia"/>
              <w:color w:val="auto"/>
              <w:sz w:val="24"/>
              <w:szCs w:val="28"/>
            </w:rPr>
            <w:t>第</w:t>
          </w:r>
          <w:r>
            <w:rPr>
              <w:rFonts w:hint="eastAsia"/>
              <w:color w:val="auto"/>
              <w:sz w:val="24"/>
              <w:szCs w:val="28"/>
              <w:lang w:val="en-US" w:eastAsia="zh-CN"/>
            </w:rPr>
            <w:t>七</w:t>
          </w:r>
          <w:r>
            <w:rPr>
              <w:rFonts w:hint="eastAsia"/>
              <w:color w:val="auto"/>
              <w:sz w:val="24"/>
              <w:szCs w:val="28"/>
            </w:rPr>
            <w:t>章 技术标准和要求</w:t>
          </w:r>
          <w:r>
            <w:rPr>
              <w:color w:val="auto"/>
              <w:sz w:val="24"/>
              <w:szCs w:val="28"/>
            </w:rPr>
            <w:tab/>
          </w:r>
          <w:r>
            <w:rPr>
              <w:rFonts w:hint="eastAsia"/>
              <w:color w:val="auto"/>
              <w:sz w:val="24"/>
              <w:szCs w:val="28"/>
              <w:lang w:val="en-US" w:eastAsia="zh-CN"/>
            </w:rPr>
            <w:t>6</w:t>
          </w:r>
          <w:r>
            <w:rPr>
              <w:bCs w:val="0"/>
              <w:color w:val="auto"/>
              <w:sz w:val="24"/>
              <w:szCs w:val="36"/>
            </w:rPr>
            <w:fldChar w:fldCharType="end"/>
          </w:r>
          <w:r>
            <w:rPr>
              <w:rFonts w:hint="eastAsia"/>
              <w:bCs w:val="0"/>
              <w:color w:val="auto"/>
              <w:sz w:val="24"/>
              <w:szCs w:val="36"/>
              <w:lang w:val="en-US" w:eastAsia="zh-CN"/>
            </w:rPr>
            <w:t>4</w:t>
          </w:r>
        </w:p>
        <w:p w14:paraId="52097BC2">
          <w:pPr>
            <w:pStyle w:val="26"/>
            <w:tabs>
              <w:tab w:val="right" w:leader="dot" w:pos="8820"/>
            </w:tabs>
            <w:spacing w:line="480" w:lineRule="auto"/>
            <w:rPr>
              <w:color w:val="auto"/>
            </w:rPr>
          </w:pPr>
          <w:r>
            <w:rPr>
              <w:bCs w:val="0"/>
              <w:color w:val="auto"/>
              <w:sz w:val="24"/>
              <w:szCs w:val="36"/>
            </w:rPr>
            <w:fldChar w:fldCharType="begin"/>
          </w:r>
          <w:r>
            <w:rPr>
              <w:bCs w:val="0"/>
              <w:color w:val="auto"/>
              <w:sz w:val="24"/>
              <w:szCs w:val="36"/>
            </w:rPr>
            <w:instrText xml:space="preserve"> HYPERLINK \l _Toc5263 </w:instrText>
          </w:r>
          <w:r>
            <w:rPr>
              <w:bCs w:val="0"/>
              <w:color w:val="auto"/>
              <w:sz w:val="24"/>
              <w:szCs w:val="36"/>
            </w:rPr>
            <w:fldChar w:fldCharType="separate"/>
          </w:r>
          <w:r>
            <w:rPr>
              <w:color w:val="auto"/>
              <w:sz w:val="24"/>
              <w:szCs w:val="28"/>
            </w:rPr>
            <w:t>第</w:t>
          </w:r>
          <w:r>
            <w:rPr>
              <w:rFonts w:hint="eastAsia"/>
              <w:color w:val="auto"/>
              <w:sz w:val="24"/>
              <w:szCs w:val="28"/>
              <w:lang w:val="en-US" w:eastAsia="zh-CN"/>
            </w:rPr>
            <w:t>八</w:t>
          </w:r>
          <w:r>
            <w:rPr>
              <w:color w:val="auto"/>
              <w:sz w:val="24"/>
              <w:szCs w:val="28"/>
            </w:rPr>
            <w:t>章</w:t>
          </w:r>
          <w:r>
            <w:rPr>
              <w:rFonts w:hint="eastAsia"/>
              <w:color w:val="auto"/>
              <w:sz w:val="24"/>
              <w:szCs w:val="28"/>
            </w:rPr>
            <w:t xml:space="preserve">  </w:t>
          </w:r>
          <w:r>
            <w:rPr>
              <w:color w:val="auto"/>
              <w:sz w:val="24"/>
              <w:szCs w:val="28"/>
            </w:rPr>
            <w:t>投标文件格式</w:t>
          </w:r>
          <w:r>
            <w:rPr>
              <w:color w:val="auto"/>
              <w:sz w:val="24"/>
              <w:szCs w:val="28"/>
            </w:rPr>
            <w:tab/>
          </w:r>
          <w:r>
            <w:rPr>
              <w:color w:val="auto"/>
              <w:sz w:val="24"/>
              <w:szCs w:val="28"/>
            </w:rPr>
            <w:fldChar w:fldCharType="begin"/>
          </w:r>
          <w:r>
            <w:rPr>
              <w:color w:val="auto"/>
              <w:sz w:val="24"/>
              <w:szCs w:val="28"/>
            </w:rPr>
            <w:instrText xml:space="preserve"> PAGEREF _Toc5263 \h </w:instrText>
          </w:r>
          <w:r>
            <w:rPr>
              <w:color w:val="auto"/>
              <w:sz w:val="24"/>
              <w:szCs w:val="28"/>
            </w:rPr>
            <w:fldChar w:fldCharType="separate"/>
          </w:r>
          <w:r>
            <w:rPr>
              <w:color w:val="auto"/>
              <w:sz w:val="24"/>
              <w:szCs w:val="28"/>
            </w:rPr>
            <w:t>72</w:t>
          </w:r>
          <w:r>
            <w:rPr>
              <w:color w:val="auto"/>
              <w:sz w:val="24"/>
              <w:szCs w:val="28"/>
            </w:rPr>
            <w:fldChar w:fldCharType="end"/>
          </w:r>
          <w:r>
            <w:rPr>
              <w:bCs w:val="0"/>
              <w:color w:val="auto"/>
              <w:sz w:val="24"/>
              <w:szCs w:val="36"/>
            </w:rPr>
            <w:fldChar w:fldCharType="end"/>
          </w:r>
        </w:p>
        <w:p w14:paraId="291874A2">
          <w:pPr>
            <w:spacing w:line="480" w:lineRule="auto"/>
            <w:rPr>
              <w:color w:val="auto"/>
            </w:rPr>
          </w:pPr>
          <w:r>
            <w:rPr>
              <w:bCs w:val="0"/>
              <w:color w:val="auto"/>
              <w:szCs w:val="28"/>
            </w:rPr>
            <w:fldChar w:fldCharType="end"/>
          </w:r>
        </w:p>
      </w:sdtContent>
    </w:sdt>
    <w:p w14:paraId="18B86304">
      <w:pPr>
        <w:widowControl/>
        <w:jc w:val="left"/>
        <w:rPr>
          <w:rFonts w:ascii="Times New Roman" w:hAnsi="Times New Roman"/>
          <w:b/>
          <w:color w:val="auto"/>
          <w:kern w:val="44"/>
          <w:sz w:val="44"/>
          <w:szCs w:val="20"/>
        </w:rPr>
      </w:pPr>
      <w:r>
        <w:rPr>
          <w:color w:val="auto"/>
        </w:rPr>
        <w:br w:type="page"/>
      </w:r>
    </w:p>
    <w:p w14:paraId="001CB6EE">
      <w:pPr>
        <w:pStyle w:val="2"/>
        <w:rPr>
          <w:color w:val="auto"/>
        </w:rPr>
      </w:pPr>
      <w:bookmarkStart w:id="4" w:name="_Toc23224"/>
      <w:r>
        <w:rPr>
          <w:color w:val="auto"/>
        </w:rPr>
        <w:t>第一章</w:t>
      </w:r>
      <w:r>
        <w:rPr>
          <w:rFonts w:hint="eastAsia"/>
          <w:color w:val="auto"/>
        </w:rPr>
        <w:t xml:space="preserve"> </w:t>
      </w:r>
      <w:r>
        <w:rPr>
          <w:color w:val="auto"/>
        </w:rPr>
        <w:t>招标公告</w:t>
      </w:r>
      <w:bookmarkEnd w:id="3"/>
      <w:bookmarkEnd w:id="4"/>
    </w:p>
    <w:bookmarkEnd w:id="0"/>
    <w:bookmarkEnd w:id="1"/>
    <w:bookmarkEnd w:id="2"/>
    <w:p w14:paraId="5D9621CD">
      <w:pPr>
        <w:widowControl/>
        <w:adjustRightInd w:val="0"/>
        <w:snapToGrid w:val="0"/>
        <w:spacing w:line="360" w:lineRule="auto"/>
        <w:jc w:val="left"/>
        <w:rPr>
          <w:rFonts w:ascii="黑体" w:hAnsi="黑体" w:eastAsia="黑体" w:cs="黑体"/>
          <w:b/>
          <w:color w:val="auto"/>
          <w:kern w:val="0"/>
          <w:sz w:val="24"/>
        </w:rPr>
      </w:pPr>
      <w:bookmarkStart w:id="5" w:name="_Toc534190075"/>
      <w:r>
        <w:rPr>
          <w:rFonts w:hint="eastAsia" w:ascii="黑体" w:hAnsi="黑体" w:eastAsia="黑体" w:cs="黑体"/>
          <w:color w:val="auto"/>
          <w:kern w:val="0"/>
          <w:sz w:val="28"/>
          <w:szCs w:val="28"/>
        </w:rPr>
        <w:t>一</w:t>
      </w:r>
      <w:r>
        <w:rPr>
          <w:rFonts w:hint="eastAsia" w:ascii="黑体" w:hAnsi="黑体" w:eastAsia="黑体" w:cs="黑体"/>
          <w:b/>
          <w:color w:val="auto"/>
          <w:kern w:val="0"/>
          <w:sz w:val="28"/>
          <w:szCs w:val="28"/>
        </w:rPr>
        <w:t>、</w:t>
      </w:r>
      <w:r>
        <w:rPr>
          <w:rFonts w:hint="eastAsia" w:ascii="黑体" w:hAnsi="黑体" w:eastAsia="黑体" w:cs="黑体"/>
          <w:color w:val="auto"/>
          <w:kern w:val="0"/>
          <w:sz w:val="28"/>
          <w:szCs w:val="28"/>
        </w:rPr>
        <w:t xml:space="preserve">项目概况与招标范围： </w:t>
      </w:r>
      <w:r>
        <w:rPr>
          <w:rFonts w:hint="eastAsia" w:ascii="黑体" w:hAnsi="黑体" w:eastAsia="黑体" w:cs="黑体"/>
          <w:color w:val="auto"/>
          <w:kern w:val="0"/>
          <w:sz w:val="24"/>
        </w:rPr>
        <w:t xml:space="preserve">   </w:t>
      </w:r>
    </w:p>
    <w:p w14:paraId="46CD6EAE">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zh-CN"/>
        </w:rPr>
        <w:t>1、招标项目编号：HZSHGCZX2026007</w:t>
      </w:r>
    </w:p>
    <w:p w14:paraId="518BFD0F">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2、项目名称：</w:t>
      </w:r>
      <w:r>
        <w:rPr>
          <w:rFonts w:hint="eastAsia" w:ascii="仿宋" w:hAnsi="仿宋" w:cs="仿宋"/>
          <w:color w:val="auto"/>
          <w:kern w:val="0"/>
          <w:sz w:val="28"/>
          <w:szCs w:val="28"/>
          <w:lang w:val="en-US" w:eastAsia="zh-CN"/>
        </w:rPr>
        <w:t>牡丹区</w:t>
      </w:r>
      <w:r>
        <w:rPr>
          <w:rFonts w:hint="eastAsia" w:ascii="仿宋" w:hAnsi="仿宋" w:cs="仿宋"/>
          <w:color w:val="auto"/>
          <w:kern w:val="0"/>
          <w:sz w:val="28"/>
          <w:szCs w:val="28"/>
          <w:lang w:val="zh-CN"/>
        </w:rPr>
        <w:t>大千嘉园</w:t>
      </w:r>
      <w:r>
        <w:rPr>
          <w:rFonts w:hint="eastAsia" w:ascii="仿宋" w:hAnsi="仿宋" w:cs="仿宋"/>
          <w:color w:val="auto"/>
          <w:kern w:val="0"/>
          <w:sz w:val="28"/>
          <w:szCs w:val="28"/>
          <w:lang w:val="en-US" w:eastAsia="zh-CN"/>
        </w:rPr>
        <w:t>安置区</w:t>
      </w:r>
      <w:r>
        <w:rPr>
          <w:rFonts w:hint="eastAsia" w:ascii="仿宋" w:hAnsi="仿宋" w:cs="仿宋"/>
          <w:color w:val="auto"/>
          <w:kern w:val="0"/>
          <w:sz w:val="28"/>
          <w:szCs w:val="28"/>
          <w:lang w:val="zh-CN"/>
        </w:rPr>
        <w:t>项目电梯工程</w:t>
      </w:r>
      <w:r>
        <w:rPr>
          <w:rFonts w:hint="eastAsia" w:ascii="仿宋" w:hAnsi="仿宋" w:eastAsia="仿宋" w:cs="仿宋"/>
          <w:color w:val="auto"/>
          <w:kern w:val="0"/>
          <w:sz w:val="28"/>
          <w:szCs w:val="28"/>
          <w:lang w:val="zh-CN"/>
        </w:rPr>
        <w:t>；</w:t>
      </w:r>
    </w:p>
    <w:p w14:paraId="0FE88C97">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3、项目地点：菏泽市牡丹区，南邻长江路、东临点将台路；</w:t>
      </w:r>
    </w:p>
    <w:p w14:paraId="0BB130E9">
      <w:pPr>
        <w:widowControl/>
        <w:adjustRightInd w:val="0"/>
        <w:snapToGrid w:val="0"/>
        <w:spacing w:line="360" w:lineRule="auto"/>
        <w:jc w:val="left"/>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4、项目规模：</w:t>
      </w:r>
      <w:r>
        <w:rPr>
          <w:rFonts w:hint="eastAsia" w:ascii="仿宋" w:hAnsi="仿宋" w:eastAsia="仿宋" w:cs="仿宋"/>
          <w:color w:val="auto"/>
          <w:kern w:val="0"/>
          <w:sz w:val="28"/>
          <w:szCs w:val="28"/>
          <w:lang w:val="zh-CN" w:eastAsia="zh-CN"/>
        </w:rPr>
        <w:t>牡丹区</w:t>
      </w:r>
      <w:r>
        <w:rPr>
          <w:rFonts w:hint="eastAsia" w:ascii="仿宋" w:hAnsi="仿宋" w:eastAsia="仿宋" w:cs="仿宋"/>
          <w:color w:val="auto"/>
          <w:kern w:val="0"/>
          <w:sz w:val="28"/>
          <w:szCs w:val="28"/>
          <w:lang w:val="en-US" w:eastAsia="zh-CN"/>
        </w:rPr>
        <w:t>大千</w:t>
      </w:r>
      <w:r>
        <w:rPr>
          <w:rFonts w:hint="eastAsia" w:ascii="仿宋" w:hAnsi="仿宋" w:eastAsia="仿宋" w:cs="仿宋"/>
          <w:color w:val="auto"/>
          <w:kern w:val="0"/>
          <w:sz w:val="28"/>
          <w:szCs w:val="28"/>
          <w:lang w:val="zh-CN" w:eastAsia="zh-CN"/>
        </w:rPr>
        <w:t>嘉园项目</w:t>
      </w:r>
      <w:r>
        <w:rPr>
          <w:rFonts w:hint="eastAsia" w:ascii="仿宋" w:hAnsi="仿宋" w:eastAsia="仿宋" w:cs="仿宋"/>
          <w:color w:val="auto"/>
          <w:kern w:val="0"/>
          <w:sz w:val="28"/>
          <w:szCs w:val="28"/>
          <w:lang w:val="en-US" w:eastAsia="zh-CN"/>
        </w:rPr>
        <w:t>位于</w:t>
      </w:r>
      <w:r>
        <w:rPr>
          <w:rFonts w:hint="eastAsia" w:ascii="仿宋" w:hAnsi="仿宋" w:eastAsia="仿宋" w:cs="仿宋"/>
          <w:color w:val="auto"/>
          <w:kern w:val="0"/>
          <w:sz w:val="28"/>
          <w:szCs w:val="28"/>
          <w:lang w:val="zh-CN" w:eastAsia="zh-CN"/>
        </w:rPr>
        <w:t>菏泽市牡丹区</w:t>
      </w:r>
      <w:r>
        <w:rPr>
          <w:rFonts w:hint="eastAsia" w:ascii="仿宋" w:hAnsi="仿宋" w:eastAsia="仿宋" w:cs="仿宋"/>
          <w:color w:val="auto"/>
          <w:kern w:val="0"/>
          <w:sz w:val="28"/>
          <w:szCs w:val="28"/>
          <w:lang w:val="en-US" w:eastAsia="zh-CN"/>
        </w:rPr>
        <w:t>长江</w:t>
      </w:r>
      <w:r>
        <w:rPr>
          <w:rFonts w:hint="eastAsia" w:ascii="仿宋" w:hAnsi="仿宋" w:eastAsia="仿宋" w:cs="仿宋"/>
          <w:color w:val="auto"/>
          <w:kern w:val="0"/>
          <w:sz w:val="28"/>
          <w:szCs w:val="28"/>
          <w:lang w:val="zh-CN" w:eastAsia="zh-CN"/>
        </w:rPr>
        <w:t>路以北、</w:t>
      </w:r>
      <w:r>
        <w:rPr>
          <w:rFonts w:hint="eastAsia" w:ascii="仿宋" w:hAnsi="仿宋" w:eastAsia="仿宋" w:cs="仿宋"/>
          <w:color w:val="auto"/>
          <w:kern w:val="0"/>
          <w:sz w:val="28"/>
          <w:szCs w:val="28"/>
          <w:lang w:val="en-US" w:eastAsia="zh-CN"/>
        </w:rPr>
        <w:t>点将台</w:t>
      </w:r>
      <w:r>
        <w:rPr>
          <w:rFonts w:hint="eastAsia" w:ascii="仿宋" w:hAnsi="仿宋" w:eastAsia="仿宋" w:cs="仿宋"/>
          <w:color w:val="auto"/>
          <w:kern w:val="0"/>
          <w:sz w:val="28"/>
          <w:szCs w:val="28"/>
          <w:lang w:val="zh-CN" w:eastAsia="zh-CN"/>
        </w:rPr>
        <w:t>路以西；用地面积约</w:t>
      </w:r>
      <w:r>
        <w:rPr>
          <w:rFonts w:hint="eastAsia" w:ascii="仿宋" w:hAnsi="仿宋" w:eastAsia="仿宋" w:cs="仿宋"/>
          <w:color w:val="auto"/>
          <w:kern w:val="0"/>
          <w:sz w:val="28"/>
          <w:szCs w:val="28"/>
          <w:lang w:val="en-US" w:eastAsia="zh-CN"/>
        </w:rPr>
        <w:t>78268.71</w:t>
      </w:r>
      <w:r>
        <w:rPr>
          <w:rFonts w:hint="eastAsia" w:ascii="仿宋" w:hAnsi="仿宋" w:eastAsia="仿宋" w:cs="仿宋"/>
          <w:color w:val="auto"/>
          <w:kern w:val="0"/>
          <w:sz w:val="28"/>
          <w:szCs w:val="28"/>
          <w:lang w:val="zh-CN" w:eastAsia="zh-CN"/>
        </w:rPr>
        <w:t>㎡ ，总建筑面积约</w:t>
      </w:r>
      <w:r>
        <w:rPr>
          <w:rFonts w:hint="eastAsia" w:ascii="仿宋" w:hAnsi="仿宋" w:eastAsia="仿宋" w:cs="仿宋"/>
          <w:color w:val="auto"/>
          <w:kern w:val="0"/>
          <w:sz w:val="28"/>
          <w:szCs w:val="28"/>
          <w:lang w:val="en-US" w:eastAsia="zh-CN"/>
        </w:rPr>
        <w:t>301107.22</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共规划设计建设1#-19#楼</w:t>
      </w:r>
      <w:r>
        <w:rPr>
          <w:rFonts w:hint="eastAsia" w:ascii="仿宋" w:hAnsi="仿宋" w:eastAsia="仿宋" w:cs="仿宋"/>
          <w:color w:val="auto"/>
          <w:kern w:val="0"/>
          <w:sz w:val="28"/>
          <w:szCs w:val="28"/>
          <w:lang w:val="zh-CN" w:eastAsia="zh-CN"/>
        </w:rPr>
        <w:t>及地下车库</w:t>
      </w:r>
      <w:r>
        <w:rPr>
          <w:rFonts w:hint="eastAsia" w:ascii="仿宋" w:hAnsi="仿宋" w:eastAsia="仿宋" w:cs="仿宋"/>
          <w:color w:val="auto"/>
          <w:kern w:val="0"/>
          <w:sz w:val="28"/>
          <w:szCs w:val="28"/>
          <w:lang w:val="en-US" w:eastAsia="zh-CN"/>
        </w:rPr>
        <w:t>及人防车库</w:t>
      </w:r>
      <w:r>
        <w:rPr>
          <w:rFonts w:hint="eastAsia" w:ascii="仿宋" w:hAnsi="仿宋" w:eastAsia="仿宋" w:cs="仿宋"/>
          <w:color w:val="auto"/>
          <w:kern w:val="0"/>
          <w:sz w:val="28"/>
          <w:szCs w:val="28"/>
          <w:lang w:val="zh-CN" w:eastAsia="zh-CN"/>
        </w:rPr>
        <w:t>一处，其中1#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6</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7#</w:t>
      </w:r>
      <w:r>
        <w:rPr>
          <w:rFonts w:hint="eastAsia" w:ascii="仿宋" w:hAnsi="仿宋" w:eastAsia="仿宋" w:cs="仿宋"/>
          <w:color w:val="auto"/>
          <w:kern w:val="0"/>
          <w:sz w:val="28"/>
          <w:szCs w:val="28"/>
          <w:lang w:val="zh-CN" w:eastAsia="zh-CN"/>
        </w:rPr>
        <w:t>楼为2</w:t>
      </w:r>
      <w:r>
        <w:rPr>
          <w:rFonts w:hint="eastAsia" w:ascii="仿宋" w:hAnsi="仿宋" w:eastAsia="仿宋" w:cs="仿宋"/>
          <w:color w:val="auto"/>
          <w:kern w:val="0"/>
          <w:sz w:val="28"/>
          <w:szCs w:val="28"/>
          <w:lang w:val="en-US" w:eastAsia="zh-CN"/>
        </w:rPr>
        <w:t>0</w:t>
      </w:r>
      <w:r>
        <w:rPr>
          <w:rFonts w:hint="eastAsia" w:ascii="仿宋" w:hAnsi="仿宋" w:eastAsia="仿宋" w:cs="仿宋"/>
          <w:color w:val="auto"/>
          <w:kern w:val="0"/>
          <w:sz w:val="28"/>
          <w:szCs w:val="28"/>
          <w:lang w:val="zh-CN" w:eastAsia="zh-CN"/>
        </w:rPr>
        <w:t>层，</w:t>
      </w:r>
      <w:r>
        <w:rPr>
          <w:rFonts w:hint="eastAsia" w:ascii="仿宋" w:hAnsi="仿宋" w:eastAsia="仿宋" w:cs="仿宋"/>
          <w:color w:val="auto"/>
          <w:kern w:val="0"/>
          <w:sz w:val="28"/>
          <w:szCs w:val="28"/>
          <w:lang w:val="en-US" w:eastAsia="zh-CN"/>
        </w:rPr>
        <w:t>2#3#4#9#11#12#15</w:t>
      </w:r>
      <w:r>
        <w:rPr>
          <w:rFonts w:hint="eastAsia" w:ascii="仿宋" w:hAnsi="仿宋" w:eastAsia="仿宋" w:cs="仿宋"/>
          <w:color w:val="auto"/>
          <w:kern w:val="0"/>
          <w:sz w:val="28"/>
          <w:szCs w:val="28"/>
          <w:lang w:val="zh-CN" w:eastAsia="zh-CN"/>
        </w:rPr>
        <w:t>#楼为2</w:t>
      </w:r>
      <w:r>
        <w:rPr>
          <w:rFonts w:hint="eastAsia" w:ascii="仿宋" w:hAnsi="仿宋" w:eastAsia="仿宋" w:cs="仿宋"/>
          <w:color w:val="auto"/>
          <w:kern w:val="0"/>
          <w:sz w:val="28"/>
          <w:szCs w:val="28"/>
          <w:lang w:val="en-US" w:eastAsia="zh-CN"/>
        </w:rPr>
        <w:t>7</w:t>
      </w:r>
      <w:r>
        <w:rPr>
          <w:rFonts w:hint="eastAsia" w:ascii="仿宋" w:hAnsi="仿宋" w:eastAsia="仿宋" w:cs="仿宋"/>
          <w:color w:val="auto"/>
          <w:kern w:val="0"/>
          <w:sz w:val="28"/>
          <w:szCs w:val="28"/>
          <w:lang w:val="zh-CN" w:eastAsia="zh-CN"/>
        </w:rPr>
        <w:t>层、</w:t>
      </w: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lang w:val="zh-CN" w:eastAsia="zh-CN"/>
        </w:rPr>
        <w:t>#楼为23层、</w:t>
      </w:r>
      <w:r>
        <w:rPr>
          <w:rFonts w:hint="eastAsia" w:ascii="仿宋" w:hAnsi="仿宋" w:eastAsia="仿宋" w:cs="仿宋"/>
          <w:color w:val="auto"/>
          <w:kern w:val="0"/>
          <w:sz w:val="28"/>
          <w:szCs w:val="28"/>
          <w:lang w:val="en-US" w:eastAsia="zh-CN"/>
        </w:rPr>
        <w:t>10</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13#14#</w:t>
      </w:r>
      <w:r>
        <w:rPr>
          <w:rFonts w:hint="eastAsia" w:ascii="仿宋" w:hAnsi="仿宋" w:eastAsia="仿宋" w:cs="仿宋"/>
          <w:color w:val="auto"/>
          <w:kern w:val="0"/>
          <w:sz w:val="28"/>
          <w:szCs w:val="28"/>
          <w:lang w:val="zh-CN" w:eastAsia="zh-CN"/>
        </w:rPr>
        <w:t>楼为</w:t>
      </w:r>
      <w:r>
        <w:rPr>
          <w:rFonts w:hint="eastAsia" w:ascii="仿宋" w:hAnsi="仿宋" w:eastAsia="仿宋" w:cs="仿宋"/>
          <w:color w:val="auto"/>
          <w:kern w:val="0"/>
          <w:sz w:val="28"/>
          <w:szCs w:val="28"/>
          <w:lang w:val="en-US" w:eastAsia="zh-CN"/>
        </w:rPr>
        <w:t>26层、16#17#18#楼为2层商业、19#楼为</w:t>
      </w:r>
      <w:r>
        <w:rPr>
          <w:rFonts w:hint="eastAsia" w:ascii="仿宋" w:hAnsi="仿宋" w:eastAsia="仿宋" w:cs="仿宋"/>
          <w:color w:val="auto"/>
          <w:kern w:val="0"/>
          <w:sz w:val="28"/>
          <w:szCs w:val="28"/>
          <w:lang w:val="zh-CN" w:eastAsia="zh-CN"/>
        </w:rPr>
        <w:t>3层幼儿园，地下车库为</w:t>
      </w:r>
      <w:r>
        <w:rPr>
          <w:rFonts w:hint="eastAsia" w:ascii="仿宋" w:hAnsi="仿宋" w:eastAsia="仿宋" w:cs="仿宋"/>
          <w:color w:val="auto"/>
          <w:kern w:val="0"/>
          <w:sz w:val="28"/>
          <w:szCs w:val="28"/>
          <w:lang w:val="en-US" w:eastAsia="zh-CN"/>
        </w:rPr>
        <w:t>地下1层，储藏室为</w:t>
      </w:r>
      <w:r>
        <w:rPr>
          <w:rFonts w:hint="eastAsia" w:ascii="仿宋" w:hAnsi="仿宋" w:eastAsia="仿宋" w:cs="仿宋"/>
          <w:color w:val="auto"/>
          <w:kern w:val="0"/>
          <w:sz w:val="28"/>
          <w:szCs w:val="28"/>
          <w:lang w:val="zh-CN" w:eastAsia="zh-CN"/>
        </w:rPr>
        <w:t>地下2层。</w:t>
      </w:r>
    </w:p>
    <w:p w14:paraId="200F6E06">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zh-CN"/>
        </w:rPr>
        <w:t>5、计划工期：</w:t>
      </w:r>
      <w:r>
        <w:rPr>
          <w:rFonts w:hint="eastAsia" w:ascii="仿宋" w:hAnsi="仿宋" w:cs="仿宋"/>
          <w:color w:val="auto"/>
          <w:kern w:val="0"/>
          <w:sz w:val="28"/>
          <w:szCs w:val="28"/>
          <w:lang w:val="en-US" w:eastAsia="zh-CN"/>
        </w:rPr>
        <w:t>电梯工程计划工期为100天，其中制造45天、按装45天，每期</w:t>
      </w:r>
      <w:r>
        <w:rPr>
          <w:rFonts w:hint="eastAsia" w:ascii="仿宋" w:hAnsi="仿宋" w:cs="仿宋"/>
          <w:color w:val="auto"/>
          <w:kern w:val="0"/>
          <w:sz w:val="28"/>
          <w:szCs w:val="28"/>
          <w:highlight w:val="none"/>
          <w:lang w:val="en-US" w:eastAsia="zh-CN"/>
        </w:rPr>
        <w:t>电梯工程不超过100日历天</w:t>
      </w:r>
      <w:r>
        <w:rPr>
          <w:rFonts w:hint="eastAsia" w:ascii="仿宋" w:hAnsi="仿宋" w:cs="仿宋"/>
          <w:color w:val="auto"/>
          <w:kern w:val="0"/>
          <w:sz w:val="28"/>
          <w:szCs w:val="28"/>
          <w:lang w:val="en-US" w:eastAsia="zh-CN"/>
        </w:rPr>
        <w:t>。本工程的电梯工程，依据整体的施工进度及交房要求，进行分期交房。</w:t>
      </w:r>
    </w:p>
    <w:p w14:paraId="41A85ED2">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en-US" w:eastAsia="zh-CN"/>
        </w:rPr>
        <w:t>6、</w:t>
      </w:r>
      <w:r>
        <w:rPr>
          <w:rFonts w:hint="eastAsia" w:ascii="仿宋" w:hAnsi="仿宋" w:eastAsia="仿宋" w:cs="仿宋"/>
          <w:color w:val="auto"/>
          <w:kern w:val="0"/>
          <w:sz w:val="28"/>
          <w:szCs w:val="28"/>
          <w:lang w:val="zh-CN"/>
        </w:rPr>
        <w:t>招标范围：</w:t>
      </w:r>
    </w:p>
    <w:p w14:paraId="4D82D156">
      <w:pPr>
        <w:keepNext w:val="0"/>
        <w:keepLines w:val="0"/>
        <w:pageBreakBefore w:val="0"/>
        <w:widowControl/>
        <w:kinsoku/>
        <w:wordWrap w:val="0"/>
        <w:overflowPunct/>
        <w:topLinePunct w:val="0"/>
        <w:autoSpaceDE/>
        <w:autoSpaceDN/>
        <w:bidi w:val="0"/>
        <w:adjustRightInd w:val="0"/>
        <w:snapToGrid w:val="0"/>
        <w:spacing w:line="420" w:lineRule="auto"/>
        <w:ind w:firstLine="560" w:firstLineChars="200"/>
        <w:jc w:val="left"/>
        <w:textAlignment w:val="auto"/>
        <w:rPr>
          <w:rFonts w:hint="eastAsia" w:ascii="仿宋" w:hAnsi="仿宋" w:cs="Times New Roman"/>
          <w:color w:val="auto"/>
          <w:kern w:val="0"/>
          <w:sz w:val="28"/>
          <w:szCs w:val="28"/>
          <w:lang w:val="zh-CN" w:eastAsia="zh-CN"/>
        </w:rPr>
      </w:pPr>
      <w:r>
        <w:rPr>
          <w:rFonts w:hint="eastAsia" w:ascii="仿宋" w:hAnsi="仿宋" w:eastAsia="仿宋"/>
          <w:color w:val="auto"/>
          <w:kern w:val="0"/>
          <w:sz w:val="28"/>
          <w:szCs w:val="28"/>
          <w:lang w:val="en-US" w:eastAsia="zh-CN"/>
        </w:rPr>
        <w:t>6.</w:t>
      </w:r>
      <w:r>
        <w:rPr>
          <w:rFonts w:hint="eastAsia" w:ascii="仿宋" w:hAnsi="仿宋"/>
          <w:color w:val="auto"/>
          <w:kern w:val="0"/>
          <w:sz w:val="28"/>
          <w:szCs w:val="28"/>
          <w:lang w:val="en-US" w:eastAsia="zh-CN"/>
        </w:rPr>
        <w:t>1</w:t>
      </w:r>
      <w:r>
        <w:rPr>
          <w:rFonts w:hint="eastAsia" w:ascii="仿宋" w:hAnsi="仿宋" w:eastAsia="仿宋"/>
          <w:color w:val="auto"/>
          <w:kern w:val="0"/>
          <w:sz w:val="28"/>
          <w:szCs w:val="28"/>
          <w:lang w:val="en-US" w:eastAsia="zh-CN"/>
        </w:rPr>
        <w:t>、</w:t>
      </w:r>
      <w:r>
        <w:rPr>
          <w:rFonts w:hint="eastAsia" w:ascii="仿宋" w:hAnsi="仿宋"/>
          <w:color w:val="auto"/>
          <w:kern w:val="0"/>
          <w:sz w:val="28"/>
          <w:szCs w:val="28"/>
          <w:lang w:val="en-US" w:eastAsia="zh-CN"/>
        </w:rPr>
        <w:t>一期</w:t>
      </w:r>
      <w:r>
        <w:rPr>
          <w:rFonts w:hint="eastAsia" w:ascii="仿宋" w:hAnsi="仿宋" w:eastAsia="仿宋"/>
          <w:color w:val="auto"/>
          <w:kern w:val="0"/>
          <w:sz w:val="28"/>
          <w:szCs w:val="28"/>
          <w:lang w:val="en-US" w:eastAsia="zh-CN"/>
        </w:rPr>
        <w:t>电梯工程：大千嘉园建筑项目</w:t>
      </w:r>
      <w:r>
        <w:rPr>
          <w:rFonts w:hint="eastAsia" w:ascii="仿宋" w:hAnsi="仿宋"/>
          <w:color w:val="auto"/>
          <w:kern w:val="0"/>
          <w:sz w:val="28"/>
          <w:szCs w:val="28"/>
          <w:lang w:val="en-US" w:eastAsia="zh-CN"/>
        </w:rPr>
        <w:t>一期</w:t>
      </w:r>
      <w:r>
        <w:rPr>
          <w:rFonts w:hint="eastAsia" w:ascii="仿宋" w:hAnsi="仿宋" w:eastAsia="仿宋"/>
          <w:color w:val="auto"/>
          <w:kern w:val="0"/>
          <w:sz w:val="28"/>
          <w:szCs w:val="28"/>
          <w:lang w:val="en-US" w:eastAsia="zh-CN"/>
        </w:rPr>
        <w:t>电梯工程，主要包括共1#2#3#4#5#6#7#8#9#19#楼</w:t>
      </w:r>
      <w:r>
        <w:rPr>
          <w:rFonts w:hint="eastAsia" w:ascii="仿宋" w:hAnsi="仿宋" w:eastAsia="仿宋" w:cs="Times New Roman"/>
          <w:color w:val="auto"/>
          <w:kern w:val="0"/>
          <w:sz w:val="28"/>
          <w:szCs w:val="28"/>
          <w:lang w:val="zh-CN" w:eastAsia="zh-CN"/>
        </w:rPr>
        <w:t>的电梯，共</w:t>
      </w:r>
      <w:r>
        <w:rPr>
          <w:rFonts w:hint="eastAsia" w:ascii="仿宋" w:hAnsi="仿宋" w:cs="Times New Roman"/>
          <w:color w:val="auto"/>
          <w:kern w:val="0"/>
          <w:sz w:val="28"/>
          <w:szCs w:val="28"/>
          <w:lang w:val="en-US" w:eastAsia="zh-CN"/>
        </w:rPr>
        <w:t>26</w:t>
      </w:r>
      <w:r>
        <w:rPr>
          <w:rFonts w:hint="eastAsia" w:ascii="仿宋" w:hAnsi="仿宋" w:eastAsia="仿宋" w:cs="Times New Roman"/>
          <w:color w:val="auto"/>
          <w:kern w:val="0"/>
          <w:sz w:val="28"/>
          <w:szCs w:val="28"/>
          <w:lang w:val="zh-CN" w:eastAsia="zh-CN"/>
        </w:rPr>
        <w:t>部</w:t>
      </w:r>
      <w:r>
        <w:rPr>
          <w:rFonts w:hint="eastAsia" w:ascii="仿宋" w:hAnsi="仿宋" w:cs="Times New Roman"/>
          <w:color w:val="auto"/>
          <w:kern w:val="0"/>
          <w:sz w:val="28"/>
          <w:szCs w:val="28"/>
          <w:lang w:val="zh-CN" w:eastAsia="zh-CN"/>
        </w:rPr>
        <w:t>。包括所有电梯设备采购、运输、保管、</w:t>
      </w:r>
      <w:r>
        <w:rPr>
          <w:rFonts w:hint="eastAsia" w:ascii="仿宋" w:hAnsi="仿宋" w:cs="Times New Roman"/>
          <w:color w:val="auto"/>
          <w:kern w:val="0"/>
          <w:sz w:val="28"/>
          <w:szCs w:val="28"/>
          <w:lang w:val="en-US" w:eastAsia="zh-CN"/>
        </w:rPr>
        <w:t>电梯井的改造、</w:t>
      </w:r>
      <w:r>
        <w:rPr>
          <w:rFonts w:hint="eastAsia" w:ascii="仿宋" w:hAnsi="仿宋" w:cs="Times New Roman"/>
          <w:color w:val="auto"/>
          <w:kern w:val="0"/>
          <w:sz w:val="28"/>
          <w:szCs w:val="28"/>
          <w:lang w:val="zh-CN" w:eastAsia="zh-CN"/>
        </w:rPr>
        <w:t>安装及调试等。包括电梯施工全部内容，包含但不限于设备采购、加工生产、运输、保管、装卸、</w:t>
      </w:r>
      <w:r>
        <w:rPr>
          <w:rFonts w:hint="eastAsia" w:ascii="仿宋" w:hAnsi="仿宋" w:cs="Times New Roman"/>
          <w:color w:val="auto"/>
          <w:kern w:val="0"/>
          <w:sz w:val="28"/>
          <w:szCs w:val="28"/>
          <w:lang w:val="en-US" w:eastAsia="zh-CN"/>
        </w:rPr>
        <w:t>井道的改造、</w:t>
      </w:r>
      <w:r>
        <w:rPr>
          <w:rFonts w:hint="eastAsia" w:ascii="仿宋" w:hAnsi="仿宋" w:cs="Times New Roman"/>
          <w:color w:val="auto"/>
          <w:kern w:val="0"/>
          <w:sz w:val="28"/>
          <w:szCs w:val="28"/>
          <w:lang w:val="zh-CN" w:eastAsia="zh-CN"/>
        </w:rPr>
        <w:t>安装、调试、试运行、检测、验收（包括商检部门、技术监督局检验）、培训、技术服务、税金，直到取得电梯运行许可证交给招标人使用以及在质量保证期内发生的任何缺陷修复。</w:t>
      </w:r>
    </w:p>
    <w:p w14:paraId="60CEF6BF">
      <w:pPr>
        <w:keepNext w:val="0"/>
        <w:keepLines w:val="0"/>
        <w:pageBreakBefore w:val="0"/>
        <w:widowControl/>
        <w:kinsoku/>
        <w:wordWrap w:val="0"/>
        <w:overflowPunct/>
        <w:topLinePunct w:val="0"/>
        <w:autoSpaceDE/>
        <w:autoSpaceDN/>
        <w:bidi w:val="0"/>
        <w:adjustRightInd w:val="0"/>
        <w:snapToGrid w:val="0"/>
        <w:spacing w:line="420" w:lineRule="auto"/>
        <w:ind w:firstLine="560" w:firstLineChars="200"/>
        <w:jc w:val="left"/>
        <w:textAlignment w:val="auto"/>
        <w:rPr>
          <w:rFonts w:hint="eastAsia" w:ascii="仿宋" w:hAnsi="仿宋" w:cs="Times New Roman"/>
          <w:color w:val="auto"/>
          <w:kern w:val="0"/>
          <w:sz w:val="28"/>
          <w:szCs w:val="28"/>
          <w:lang w:val="zh-CN" w:eastAsia="zh-CN"/>
        </w:rPr>
      </w:pPr>
      <w:r>
        <w:rPr>
          <w:rFonts w:hint="eastAsia" w:ascii="仿宋" w:hAnsi="仿宋" w:cs="Times New Roman"/>
          <w:color w:val="auto"/>
          <w:kern w:val="0"/>
          <w:sz w:val="28"/>
          <w:szCs w:val="28"/>
          <w:lang w:val="en-US" w:eastAsia="zh-CN"/>
        </w:rPr>
        <w:t>6.2、</w:t>
      </w:r>
      <w:r>
        <w:rPr>
          <w:rFonts w:hint="eastAsia" w:ascii="仿宋" w:hAnsi="仿宋"/>
          <w:color w:val="auto"/>
          <w:kern w:val="0"/>
          <w:sz w:val="28"/>
          <w:szCs w:val="28"/>
          <w:lang w:val="en-US" w:eastAsia="zh-CN"/>
        </w:rPr>
        <w:t>二期</w:t>
      </w:r>
      <w:r>
        <w:rPr>
          <w:rFonts w:hint="eastAsia" w:ascii="仿宋" w:hAnsi="仿宋" w:eastAsia="仿宋"/>
          <w:color w:val="auto"/>
          <w:kern w:val="0"/>
          <w:sz w:val="28"/>
          <w:szCs w:val="28"/>
          <w:lang w:val="en-US" w:eastAsia="zh-CN"/>
        </w:rPr>
        <w:t>电梯工程：大千嘉园建筑项目</w:t>
      </w:r>
      <w:r>
        <w:rPr>
          <w:rFonts w:hint="eastAsia" w:ascii="仿宋" w:hAnsi="仿宋"/>
          <w:color w:val="auto"/>
          <w:kern w:val="0"/>
          <w:sz w:val="28"/>
          <w:szCs w:val="28"/>
          <w:lang w:val="en-US" w:eastAsia="zh-CN"/>
        </w:rPr>
        <w:t>二期</w:t>
      </w:r>
      <w:r>
        <w:rPr>
          <w:rFonts w:hint="eastAsia" w:ascii="仿宋" w:hAnsi="仿宋" w:eastAsia="仿宋"/>
          <w:color w:val="auto"/>
          <w:kern w:val="0"/>
          <w:sz w:val="28"/>
          <w:szCs w:val="28"/>
          <w:lang w:val="en-US" w:eastAsia="zh-CN"/>
        </w:rPr>
        <w:t>电梯工程，主要包括共</w:t>
      </w:r>
      <w:r>
        <w:rPr>
          <w:rFonts w:hint="eastAsia" w:ascii="仿宋" w:hAnsi="仿宋"/>
          <w:color w:val="auto"/>
          <w:kern w:val="0"/>
          <w:sz w:val="28"/>
          <w:szCs w:val="28"/>
          <w:lang w:val="en-US" w:eastAsia="zh-CN"/>
        </w:rPr>
        <w:t>10#</w:t>
      </w:r>
      <w:r>
        <w:rPr>
          <w:rFonts w:hint="eastAsia" w:ascii="仿宋" w:hAnsi="仿宋" w:eastAsia="仿宋"/>
          <w:color w:val="auto"/>
          <w:kern w:val="0"/>
          <w:sz w:val="28"/>
          <w:szCs w:val="28"/>
          <w:lang w:val="en-US" w:eastAsia="zh-CN"/>
        </w:rPr>
        <w:t>11#12#13#14#15#楼</w:t>
      </w:r>
      <w:r>
        <w:rPr>
          <w:rFonts w:hint="eastAsia" w:ascii="仿宋" w:hAnsi="仿宋" w:eastAsia="仿宋" w:cs="Times New Roman"/>
          <w:color w:val="auto"/>
          <w:kern w:val="0"/>
          <w:sz w:val="28"/>
          <w:szCs w:val="28"/>
          <w:lang w:val="zh-CN" w:eastAsia="zh-CN"/>
        </w:rPr>
        <w:t>的电梯，共</w:t>
      </w:r>
      <w:r>
        <w:rPr>
          <w:rFonts w:hint="eastAsia" w:ascii="仿宋" w:hAnsi="仿宋" w:cs="Times New Roman"/>
          <w:color w:val="auto"/>
          <w:kern w:val="0"/>
          <w:sz w:val="28"/>
          <w:szCs w:val="28"/>
          <w:lang w:val="en-US" w:eastAsia="zh-CN"/>
        </w:rPr>
        <w:t>17</w:t>
      </w:r>
      <w:r>
        <w:rPr>
          <w:rFonts w:hint="eastAsia" w:ascii="仿宋" w:hAnsi="仿宋" w:eastAsia="仿宋" w:cs="Times New Roman"/>
          <w:color w:val="auto"/>
          <w:kern w:val="0"/>
          <w:sz w:val="28"/>
          <w:szCs w:val="28"/>
          <w:lang w:val="zh-CN" w:eastAsia="zh-CN"/>
        </w:rPr>
        <w:t>部</w:t>
      </w:r>
      <w:r>
        <w:rPr>
          <w:rFonts w:hint="eastAsia" w:ascii="仿宋" w:hAnsi="仿宋" w:cs="Times New Roman"/>
          <w:color w:val="auto"/>
          <w:kern w:val="0"/>
          <w:sz w:val="28"/>
          <w:szCs w:val="28"/>
          <w:lang w:val="zh-CN" w:eastAsia="zh-CN"/>
        </w:rPr>
        <w:t>。包括所有电梯设备采购、运输、保管、</w:t>
      </w:r>
      <w:r>
        <w:rPr>
          <w:rFonts w:hint="eastAsia" w:ascii="仿宋" w:hAnsi="仿宋" w:cs="Times New Roman"/>
          <w:color w:val="auto"/>
          <w:kern w:val="0"/>
          <w:sz w:val="28"/>
          <w:szCs w:val="28"/>
          <w:lang w:val="en-US" w:eastAsia="zh-CN"/>
        </w:rPr>
        <w:t>电梯井的改造、</w:t>
      </w:r>
      <w:r>
        <w:rPr>
          <w:rFonts w:hint="eastAsia" w:ascii="仿宋" w:hAnsi="仿宋" w:cs="Times New Roman"/>
          <w:color w:val="auto"/>
          <w:kern w:val="0"/>
          <w:sz w:val="28"/>
          <w:szCs w:val="28"/>
          <w:lang w:val="zh-CN" w:eastAsia="zh-CN"/>
        </w:rPr>
        <w:t>安装及调试等。包括电梯施工全部内容，包含但不限于设备采购、加工生产、运输、保管、装卸、</w:t>
      </w:r>
      <w:r>
        <w:rPr>
          <w:rFonts w:hint="eastAsia" w:ascii="仿宋" w:hAnsi="仿宋" w:cs="Times New Roman"/>
          <w:color w:val="auto"/>
          <w:kern w:val="0"/>
          <w:sz w:val="28"/>
          <w:szCs w:val="28"/>
          <w:lang w:val="en-US" w:eastAsia="zh-CN"/>
        </w:rPr>
        <w:t>井道的改造、</w:t>
      </w:r>
      <w:r>
        <w:rPr>
          <w:rFonts w:hint="eastAsia" w:ascii="仿宋" w:hAnsi="仿宋" w:cs="Times New Roman"/>
          <w:color w:val="auto"/>
          <w:kern w:val="0"/>
          <w:sz w:val="28"/>
          <w:szCs w:val="28"/>
          <w:lang w:val="zh-CN" w:eastAsia="zh-CN"/>
        </w:rPr>
        <w:t>安装、调试、试运行、检测、验收（包括商检部门、技术监督局检验）、培训、技术服务、税金，直到取得电梯运行许可证交给招标人使用以及在质量保证期内发生的任何缺陷修复。</w:t>
      </w:r>
    </w:p>
    <w:p w14:paraId="42D0CCA5">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7、资金来源：</w:t>
      </w:r>
      <w:r>
        <w:rPr>
          <w:rFonts w:hint="eastAsia" w:ascii="仿宋" w:hAnsi="仿宋" w:eastAsia="仿宋" w:cs="仿宋"/>
          <w:color w:val="auto"/>
          <w:kern w:val="0"/>
          <w:sz w:val="28"/>
          <w:szCs w:val="28"/>
          <w:highlight w:val="none"/>
          <w:lang w:val="en-US" w:eastAsia="zh-CN"/>
        </w:rPr>
        <w:t>自筹</w:t>
      </w:r>
      <w:r>
        <w:rPr>
          <w:rFonts w:hint="eastAsia" w:ascii="仿宋" w:hAnsi="仿宋" w:eastAsia="仿宋" w:cs="仿宋"/>
          <w:color w:val="auto"/>
          <w:kern w:val="0"/>
          <w:sz w:val="28"/>
          <w:szCs w:val="28"/>
          <w:highlight w:val="none"/>
          <w:lang w:val="zh-CN"/>
        </w:rPr>
        <w:t>资金；</w:t>
      </w:r>
    </w:p>
    <w:p w14:paraId="37DE21B8">
      <w:pPr>
        <w:widowControl/>
        <w:adjustRightInd w:val="0"/>
        <w:snapToGrid w:val="0"/>
        <w:spacing w:line="360" w:lineRule="auto"/>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8、标段划分：本项目共</w:t>
      </w:r>
      <w:r>
        <w:rPr>
          <w:rFonts w:hint="eastAsia" w:ascii="仿宋" w:hAnsi="仿宋" w:cs="仿宋"/>
          <w:color w:val="auto"/>
          <w:kern w:val="0"/>
          <w:sz w:val="28"/>
          <w:szCs w:val="28"/>
          <w:lang w:val="en-US" w:eastAsia="zh-CN"/>
        </w:rPr>
        <w:t>2</w:t>
      </w:r>
      <w:r>
        <w:rPr>
          <w:rFonts w:hint="eastAsia" w:ascii="仿宋" w:hAnsi="仿宋" w:eastAsia="仿宋" w:cs="仿宋"/>
          <w:color w:val="auto"/>
          <w:kern w:val="0"/>
          <w:sz w:val="28"/>
          <w:szCs w:val="28"/>
        </w:rPr>
        <w:t>个标段，采用“评定分离”方式确定中标人。</w:t>
      </w:r>
    </w:p>
    <w:p w14:paraId="4FBAAA93">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二、项目分标段情况：</w:t>
      </w:r>
    </w:p>
    <w:tbl>
      <w:tblPr>
        <w:tblStyle w:val="37"/>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1003"/>
        <w:gridCol w:w="6647"/>
        <w:gridCol w:w="1017"/>
      </w:tblGrid>
      <w:tr w14:paraId="1FB7A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DFE1D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标段编 号</w:t>
            </w:r>
          </w:p>
        </w:tc>
        <w:tc>
          <w:tcPr>
            <w:tcW w:w="1003" w:type="dxa"/>
            <w:tcBorders>
              <w:top w:val="single" w:color="auto" w:sz="4" w:space="0"/>
              <w:left w:val="single" w:color="auto" w:sz="4" w:space="0"/>
              <w:bottom w:val="single" w:color="auto" w:sz="4" w:space="0"/>
              <w:right w:val="single" w:color="auto" w:sz="4" w:space="0"/>
            </w:tcBorders>
            <w:vAlign w:val="center"/>
          </w:tcPr>
          <w:p w14:paraId="7BAADA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名称</w:t>
            </w:r>
          </w:p>
        </w:tc>
        <w:tc>
          <w:tcPr>
            <w:tcW w:w="6647" w:type="dxa"/>
            <w:tcBorders>
              <w:top w:val="single" w:color="auto" w:sz="4" w:space="0"/>
              <w:left w:val="single" w:color="auto" w:sz="4" w:space="0"/>
              <w:bottom w:val="single" w:color="auto" w:sz="4" w:space="0"/>
              <w:right w:val="single" w:color="auto" w:sz="4" w:space="0"/>
            </w:tcBorders>
            <w:vAlign w:val="center"/>
          </w:tcPr>
          <w:p w14:paraId="219DA3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投标人资格要求</w:t>
            </w:r>
          </w:p>
        </w:tc>
        <w:tc>
          <w:tcPr>
            <w:tcW w:w="1017" w:type="dxa"/>
            <w:tcBorders>
              <w:top w:val="single" w:color="auto" w:sz="4" w:space="0"/>
              <w:left w:val="single" w:color="auto" w:sz="4" w:space="0"/>
              <w:bottom w:val="single" w:color="auto" w:sz="4" w:space="0"/>
              <w:right w:val="single" w:color="auto" w:sz="4" w:space="0"/>
            </w:tcBorders>
            <w:vAlign w:val="center"/>
          </w:tcPr>
          <w:p w14:paraId="52310C64">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控制价</w:t>
            </w:r>
          </w:p>
          <w:p w14:paraId="0B96F7B6">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（元）</w:t>
            </w:r>
          </w:p>
        </w:tc>
      </w:tr>
      <w:tr w14:paraId="0F9DA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0F6241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一</w:t>
            </w:r>
          </w:p>
        </w:tc>
        <w:tc>
          <w:tcPr>
            <w:tcW w:w="1003" w:type="dxa"/>
            <w:tcBorders>
              <w:top w:val="single" w:color="auto" w:sz="4" w:space="0"/>
              <w:left w:val="single" w:color="auto" w:sz="4" w:space="0"/>
              <w:bottom w:val="single" w:color="auto" w:sz="4" w:space="0"/>
              <w:right w:val="single" w:color="auto" w:sz="4" w:space="0"/>
            </w:tcBorders>
            <w:vAlign w:val="center"/>
          </w:tcPr>
          <w:p w14:paraId="500552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一期</w:t>
            </w:r>
            <w:r>
              <w:rPr>
                <w:rFonts w:hint="eastAsia" w:ascii="仿宋" w:hAnsi="仿宋" w:eastAsia="仿宋" w:cs="仿宋"/>
                <w:color w:val="auto"/>
                <w:kern w:val="0"/>
                <w:sz w:val="28"/>
                <w:szCs w:val="24"/>
                <w:lang w:val="en-US" w:eastAsia="zh-CN"/>
              </w:rPr>
              <w:t>电梯工程</w:t>
            </w:r>
          </w:p>
        </w:tc>
        <w:tc>
          <w:tcPr>
            <w:tcW w:w="6647" w:type="dxa"/>
            <w:tcBorders>
              <w:top w:val="single" w:color="auto" w:sz="4" w:space="0"/>
              <w:left w:val="single" w:color="auto" w:sz="4" w:space="0"/>
              <w:bottom w:val="single" w:color="auto" w:sz="4" w:space="0"/>
              <w:right w:val="single" w:color="auto" w:sz="4" w:space="0"/>
            </w:tcBorders>
            <w:vAlign w:val="center"/>
          </w:tcPr>
          <w:p w14:paraId="14529DE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rPr>
            </w:pPr>
            <w:r>
              <w:rPr>
                <w:rFonts w:hint="eastAsia" w:ascii="仿宋" w:hAnsi="仿宋" w:cs="仿宋"/>
                <w:color w:val="auto"/>
                <w:kern w:val="0"/>
                <w:sz w:val="28"/>
                <w:szCs w:val="24"/>
                <w:lang w:val="en-US" w:eastAsia="zh-CN"/>
              </w:rPr>
              <w:t>1.</w:t>
            </w:r>
            <w:r>
              <w:rPr>
                <w:rFonts w:hint="eastAsia" w:ascii="仿宋" w:hAnsi="仿宋" w:eastAsia="仿宋" w:cs="仿宋"/>
                <w:color w:val="auto"/>
                <w:kern w:val="0"/>
                <w:sz w:val="28"/>
                <w:szCs w:val="24"/>
              </w:rPr>
              <w:t>国内注册的独立企业法人，并在人员、设备、资金等方面具有承担本项目的能力和经验</w:t>
            </w:r>
            <w:r>
              <w:rPr>
                <w:rFonts w:hint="eastAsia" w:ascii="仿宋" w:hAnsi="仿宋" w:eastAsia="仿宋" w:cs="仿宋"/>
                <w:color w:val="auto"/>
                <w:kern w:val="0"/>
                <w:sz w:val="28"/>
                <w:szCs w:val="24"/>
                <w:lang w:eastAsia="zh-CN"/>
              </w:rPr>
              <w:t>；</w:t>
            </w:r>
          </w:p>
          <w:p w14:paraId="75E527F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2.投标人</w:t>
            </w:r>
            <w:r>
              <w:rPr>
                <w:rFonts w:hint="default" w:ascii="仿宋" w:hAnsi="仿宋" w:eastAsia="仿宋" w:cs="仿宋"/>
                <w:color w:val="auto"/>
                <w:kern w:val="0"/>
                <w:sz w:val="28"/>
                <w:szCs w:val="24"/>
                <w:lang w:val="en-US" w:eastAsia="zh-CN"/>
              </w:rPr>
              <w:t>为电梯制造商的，须满足以下条件之一:</w:t>
            </w:r>
          </w:p>
          <w:p w14:paraId="7BBFB84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（1）旧证:具有相关行政主管部门颁发的《中华人民共和国特种设备制造许可证》(电梯 B级及以上)和《中华人民共和国特种设备安装改造维修许可证》（电梯B级及以上）；</w:t>
            </w:r>
          </w:p>
          <w:p w14:paraId="6025C90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（2）新证:具有相关行政主管部门颁发的《中华人民共和国特种设备生产许可证》【许可项目：电梯制造（含安装、修理、改造），许可子项目含曳引驱动乘客电梯】；</w:t>
            </w:r>
          </w:p>
          <w:p w14:paraId="304CEBE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为电梯代理商的，应具备以下条件：</w:t>
            </w:r>
          </w:p>
          <w:p w14:paraId="0608651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（1）所代理设备的制造商须具备上述第2款规定的资格要求；</w:t>
            </w:r>
          </w:p>
          <w:p w14:paraId="41514B6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（2）具备电梯制造商的授权委托书；</w:t>
            </w:r>
          </w:p>
          <w:p w14:paraId="01A7008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本身须具备以下条件之一：</w:t>
            </w:r>
          </w:p>
          <w:p w14:paraId="65E2AB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①旧证:并具备有效的《中华人民共和国特种设备安装改造维修许可证》（电梯B级及以上）；</w:t>
            </w:r>
          </w:p>
          <w:p w14:paraId="574A28B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②新证:《中华人民共和国特种设备生产许可证》【许可项目：电梯安装（含修理），许可子项目含曳引驱动乘客电梯）】；</w:t>
            </w:r>
          </w:p>
          <w:p w14:paraId="45D48B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4.</w:t>
            </w:r>
            <w:r>
              <w:rPr>
                <w:rFonts w:hint="eastAsia" w:ascii="仿宋" w:hAnsi="仿宋" w:eastAsia="仿宋" w:cs="仿宋"/>
                <w:color w:val="auto"/>
                <w:kern w:val="0"/>
                <w:sz w:val="28"/>
                <w:szCs w:val="24"/>
                <w:lang w:val="en-US" w:eastAsia="zh-CN"/>
              </w:rPr>
              <w:t>在“中国执行信息公开网”或“信用中国”中被列入失信被执行人</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经营（活动）异常名录、重大税收违法失信主体以及严重失信主体名单</w:t>
            </w:r>
            <w:r>
              <w:rPr>
                <w:rFonts w:hint="eastAsia" w:ascii="仿宋" w:hAnsi="仿宋" w:cs="仿宋"/>
                <w:color w:val="auto"/>
                <w:kern w:val="0"/>
                <w:sz w:val="28"/>
                <w:szCs w:val="24"/>
                <w:lang w:val="en-US" w:eastAsia="zh-CN"/>
              </w:rPr>
              <w:t>的</w:t>
            </w:r>
            <w:r>
              <w:rPr>
                <w:rFonts w:hint="eastAsia" w:ascii="仿宋" w:hAnsi="仿宋" w:eastAsia="仿宋" w:cs="仿宋"/>
                <w:color w:val="auto"/>
                <w:kern w:val="0"/>
                <w:sz w:val="28"/>
                <w:szCs w:val="24"/>
                <w:lang w:val="en-US" w:eastAsia="zh-CN"/>
              </w:rPr>
              <w:t>投标人</w:t>
            </w:r>
            <w:r>
              <w:rPr>
                <w:rFonts w:hint="eastAsia" w:ascii="仿宋" w:hAnsi="仿宋" w:eastAsia="仿宋" w:cs="仿宋"/>
                <w:color w:val="auto"/>
                <w:kern w:val="0"/>
                <w:sz w:val="28"/>
                <w:szCs w:val="24"/>
              </w:rPr>
              <w:t>；不得参与本项目的投标</w:t>
            </w:r>
            <w:r>
              <w:rPr>
                <w:rFonts w:hint="default" w:ascii="仿宋" w:hAnsi="仿宋" w:eastAsia="仿宋" w:cs="仿宋"/>
                <w:color w:val="auto"/>
                <w:kern w:val="0"/>
                <w:sz w:val="28"/>
                <w:szCs w:val="24"/>
              </w:rPr>
              <w:t>；</w:t>
            </w:r>
          </w:p>
          <w:p w14:paraId="2A70DB7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5.本项目资格审查方式：资格后审。</w:t>
            </w:r>
          </w:p>
          <w:p w14:paraId="1B24441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6.不接受联合体投标</w:t>
            </w:r>
            <w:r>
              <w:rPr>
                <w:rFonts w:hint="eastAsia" w:ascii="仿宋" w:hAnsi="仿宋" w:cs="仿宋"/>
                <w:color w:val="auto"/>
                <w:kern w:val="0"/>
                <w:sz w:val="28"/>
                <w:szCs w:val="24"/>
                <w:lang w:val="en-US" w:eastAsia="zh-CN"/>
              </w:rPr>
              <w:t>。</w:t>
            </w:r>
          </w:p>
        </w:tc>
        <w:tc>
          <w:tcPr>
            <w:tcW w:w="1017" w:type="dxa"/>
            <w:tcBorders>
              <w:top w:val="single" w:color="auto" w:sz="4" w:space="0"/>
              <w:left w:val="single" w:color="auto" w:sz="4" w:space="0"/>
              <w:bottom w:val="single" w:color="auto" w:sz="4" w:space="0"/>
              <w:right w:val="single" w:color="auto" w:sz="4" w:space="0"/>
            </w:tcBorders>
            <w:vAlign w:val="center"/>
          </w:tcPr>
          <w:p w14:paraId="0CB5A6B6">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lang w:val="en-US" w:eastAsia="zh-CN"/>
              </w:rPr>
            </w:pPr>
            <w:r>
              <w:rPr>
                <w:rFonts w:hint="eastAsia" w:ascii="仿宋" w:hAnsi="仿宋" w:eastAsia="仿宋" w:cs="仿宋"/>
                <w:color w:val="auto"/>
                <w:kern w:val="0"/>
                <w:sz w:val="28"/>
                <w:szCs w:val="24"/>
                <w:lang w:val="en-US" w:eastAsia="zh-CN"/>
              </w:rPr>
              <w:t>50</w:t>
            </w:r>
            <w:r>
              <w:rPr>
                <w:rFonts w:hint="eastAsia" w:ascii="仿宋" w:hAnsi="仿宋" w:cs="仿宋"/>
                <w:color w:val="auto"/>
                <w:kern w:val="0"/>
                <w:sz w:val="28"/>
                <w:szCs w:val="24"/>
                <w:lang w:val="en-US" w:eastAsia="zh-CN"/>
              </w:rPr>
              <w:t>17</w:t>
            </w:r>
            <w:r>
              <w:rPr>
                <w:rFonts w:hint="eastAsia" w:ascii="仿宋" w:hAnsi="仿宋" w:eastAsia="仿宋" w:cs="仿宋"/>
                <w:color w:val="auto"/>
                <w:kern w:val="0"/>
                <w:sz w:val="28"/>
                <w:szCs w:val="24"/>
                <w:lang w:val="en-US" w:eastAsia="zh-CN"/>
              </w:rPr>
              <w:t>000.00</w:t>
            </w:r>
          </w:p>
        </w:tc>
      </w:tr>
      <w:tr w14:paraId="0B064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69D8E6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cs="仿宋"/>
                <w:color w:val="auto"/>
                <w:kern w:val="0"/>
                <w:sz w:val="28"/>
                <w:szCs w:val="24"/>
                <w:lang w:val="en-US" w:eastAsia="zh-CN"/>
              </w:rPr>
            </w:pPr>
          </w:p>
          <w:p w14:paraId="725E8B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cs="仿宋"/>
                <w:color w:val="auto"/>
                <w:kern w:val="0"/>
                <w:sz w:val="28"/>
                <w:szCs w:val="24"/>
                <w:lang w:val="en-US" w:eastAsia="zh-CN"/>
              </w:rPr>
            </w:pPr>
          </w:p>
          <w:p w14:paraId="399F8D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二</w:t>
            </w:r>
          </w:p>
        </w:tc>
        <w:tc>
          <w:tcPr>
            <w:tcW w:w="1003" w:type="dxa"/>
            <w:tcBorders>
              <w:top w:val="single" w:color="auto" w:sz="4" w:space="0"/>
              <w:left w:val="single" w:color="auto" w:sz="4" w:space="0"/>
              <w:bottom w:val="single" w:color="auto" w:sz="4" w:space="0"/>
              <w:right w:val="single" w:color="auto" w:sz="4" w:space="0"/>
            </w:tcBorders>
            <w:vAlign w:val="center"/>
          </w:tcPr>
          <w:p w14:paraId="756328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cs="仿宋"/>
                <w:color w:val="auto"/>
                <w:kern w:val="0"/>
                <w:sz w:val="28"/>
                <w:szCs w:val="24"/>
                <w:lang w:val="en-US" w:eastAsia="zh-CN"/>
              </w:rPr>
            </w:pPr>
          </w:p>
          <w:p w14:paraId="023CBF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p>
          <w:p w14:paraId="3593B4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r>
              <w:rPr>
                <w:rFonts w:hint="eastAsia" w:ascii="仿宋" w:hAnsi="仿宋" w:cs="仿宋"/>
                <w:color w:val="auto"/>
                <w:kern w:val="0"/>
                <w:sz w:val="28"/>
                <w:szCs w:val="24"/>
                <w:lang w:val="en-US" w:eastAsia="zh-CN"/>
              </w:rPr>
              <w:t>二期</w:t>
            </w:r>
            <w:r>
              <w:rPr>
                <w:rFonts w:hint="eastAsia" w:ascii="仿宋" w:hAnsi="仿宋" w:eastAsia="仿宋" w:cs="仿宋"/>
                <w:color w:val="auto"/>
                <w:kern w:val="0"/>
                <w:sz w:val="28"/>
                <w:szCs w:val="24"/>
                <w:lang w:val="en-US" w:eastAsia="zh-CN"/>
              </w:rPr>
              <w:t>电梯工程</w:t>
            </w:r>
          </w:p>
        </w:tc>
        <w:tc>
          <w:tcPr>
            <w:tcW w:w="6647" w:type="dxa"/>
            <w:tcBorders>
              <w:top w:val="single" w:color="auto" w:sz="4" w:space="0"/>
              <w:left w:val="single" w:color="auto" w:sz="4" w:space="0"/>
              <w:bottom w:val="single" w:color="auto" w:sz="4" w:space="0"/>
              <w:right w:val="single" w:color="auto" w:sz="4" w:space="0"/>
            </w:tcBorders>
            <w:vAlign w:val="center"/>
          </w:tcPr>
          <w:p w14:paraId="468C11F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rPr>
            </w:pPr>
            <w:r>
              <w:rPr>
                <w:rFonts w:hint="eastAsia" w:ascii="仿宋" w:hAnsi="仿宋" w:cs="仿宋"/>
                <w:color w:val="auto"/>
                <w:kern w:val="0"/>
                <w:sz w:val="28"/>
                <w:szCs w:val="24"/>
                <w:lang w:val="en-US" w:eastAsia="zh-CN"/>
              </w:rPr>
              <w:t>1.</w:t>
            </w:r>
            <w:r>
              <w:rPr>
                <w:rFonts w:hint="eastAsia" w:ascii="仿宋" w:hAnsi="仿宋" w:eastAsia="仿宋" w:cs="仿宋"/>
                <w:color w:val="auto"/>
                <w:kern w:val="0"/>
                <w:sz w:val="28"/>
                <w:szCs w:val="24"/>
              </w:rPr>
              <w:t>国内注册的独立企业法人，并在人员、设备、资金等方面具有承担本项目的能力和经验</w:t>
            </w:r>
            <w:r>
              <w:rPr>
                <w:rFonts w:hint="eastAsia" w:ascii="仿宋" w:hAnsi="仿宋" w:eastAsia="仿宋" w:cs="仿宋"/>
                <w:color w:val="auto"/>
                <w:kern w:val="0"/>
                <w:sz w:val="28"/>
                <w:szCs w:val="24"/>
                <w:lang w:eastAsia="zh-CN"/>
              </w:rPr>
              <w:t>；</w:t>
            </w:r>
          </w:p>
          <w:p w14:paraId="7E24A1D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2.投标人</w:t>
            </w:r>
            <w:r>
              <w:rPr>
                <w:rFonts w:hint="default" w:ascii="仿宋" w:hAnsi="仿宋" w:eastAsia="仿宋" w:cs="仿宋"/>
                <w:color w:val="auto"/>
                <w:kern w:val="0"/>
                <w:sz w:val="28"/>
                <w:szCs w:val="24"/>
                <w:lang w:val="en-US" w:eastAsia="zh-CN"/>
              </w:rPr>
              <w:t>为电梯制造商的，须满足以下条件之一:</w:t>
            </w:r>
          </w:p>
          <w:p w14:paraId="2D400C5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（1）旧证:具有相关行政主管部门颁发的《中华人民共和国特种设备制造许可证》(电梯 B级及以上)和《中华人民共和国特种设备安装改造维修许可证》（电梯B级及以上）；</w:t>
            </w:r>
          </w:p>
          <w:p w14:paraId="5FABB03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（2）新证:具有相关行政主管部门颁发的《中华人民共和国特种设备生产许可证》【许可项目：电梯制造（含安装、修理、改造），许可子项目含曳引驱动乘客电梯】；</w:t>
            </w:r>
          </w:p>
          <w:p w14:paraId="0AE3532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为电梯代理商的，应具备以下条件：</w:t>
            </w:r>
          </w:p>
          <w:p w14:paraId="7D2DF4C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（1）所代理设备的制造商须具备上述第2款规定的资格要求；</w:t>
            </w:r>
          </w:p>
          <w:p w14:paraId="2959C87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（2）具备电梯制造商的授权委托书；</w:t>
            </w:r>
          </w:p>
          <w:p w14:paraId="296F07C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本身须具备以下条件之一：</w:t>
            </w:r>
          </w:p>
          <w:p w14:paraId="670F19D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①旧证:并具备有效的《中华人民共和国特种设备安装改造维修许可证》（电梯B级及以上）；</w:t>
            </w:r>
          </w:p>
          <w:p w14:paraId="4CFC1F3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②新证:《中华人民共和国特种设备生产许可证》【许可项目：电梯安装（含修理），许可子项目含曳引驱动乘客电梯）】；</w:t>
            </w:r>
          </w:p>
          <w:p w14:paraId="3E66CF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4.</w:t>
            </w:r>
            <w:r>
              <w:rPr>
                <w:rFonts w:hint="eastAsia" w:ascii="仿宋" w:hAnsi="仿宋" w:eastAsia="仿宋" w:cs="仿宋"/>
                <w:color w:val="auto"/>
                <w:kern w:val="0"/>
                <w:sz w:val="28"/>
                <w:szCs w:val="24"/>
                <w:lang w:val="en-US" w:eastAsia="zh-CN"/>
              </w:rPr>
              <w:t>在“中国执行信息公开网”或“信用中国”中被列入失信被执行人</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经营（活动）异常名录、重大税收违法失信主体以及严重失信主体名单</w:t>
            </w:r>
            <w:r>
              <w:rPr>
                <w:rFonts w:hint="eastAsia" w:ascii="仿宋" w:hAnsi="仿宋" w:cs="仿宋"/>
                <w:color w:val="auto"/>
                <w:kern w:val="0"/>
                <w:sz w:val="28"/>
                <w:szCs w:val="24"/>
                <w:lang w:val="en-US" w:eastAsia="zh-CN"/>
              </w:rPr>
              <w:t>的</w:t>
            </w:r>
            <w:r>
              <w:rPr>
                <w:rFonts w:hint="eastAsia" w:ascii="仿宋" w:hAnsi="仿宋" w:eastAsia="仿宋" w:cs="仿宋"/>
                <w:color w:val="auto"/>
                <w:kern w:val="0"/>
                <w:sz w:val="28"/>
                <w:szCs w:val="24"/>
                <w:lang w:val="en-US" w:eastAsia="zh-CN"/>
              </w:rPr>
              <w:t>投标人</w:t>
            </w:r>
            <w:r>
              <w:rPr>
                <w:rFonts w:hint="eastAsia" w:ascii="仿宋" w:hAnsi="仿宋" w:eastAsia="仿宋" w:cs="仿宋"/>
                <w:color w:val="auto"/>
                <w:kern w:val="0"/>
                <w:sz w:val="28"/>
                <w:szCs w:val="24"/>
              </w:rPr>
              <w:t>；不得参与本项目的投标</w:t>
            </w:r>
            <w:r>
              <w:rPr>
                <w:rFonts w:hint="default" w:ascii="仿宋" w:hAnsi="仿宋" w:eastAsia="仿宋" w:cs="仿宋"/>
                <w:color w:val="auto"/>
                <w:kern w:val="0"/>
                <w:sz w:val="28"/>
                <w:szCs w:val="24"/>
              </w:rPr>
              <w:t>；</w:t>
            </w:r>
          </w:p>
          <w:p w14:paraId="7F84C4C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5.本项目资格审查方式：资格后审。</w:t>
            </w:r>
          </w:p>
          <w:p w14:paraId="0253021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6.不接受联合体投标</w:t>
            </w:r>
            <w:r>
              <w:rPr>
                <w:rFonts w:hint="eastAsia" w:ascii="仿宋" w:hAnsi="仿宋" w:cs="仿宋"/>
                <w:color w:val="auto"/>
                <w:kern w:val="0"/>
                <w:sz w:val="28"/>
                <w:szCs w:val="24"/>
                <w:lang w:val="en-US" w:eastAsia="zh-CN"/>
              </w:rPr>
              <w:t>。</w:t>
            </w:r>
          </w:p>
        </w:tc>
        <w:tc>
          <w:tcPr>
            <w:tcW w:w="1017" w:type="dxa"/>
            <w:tcBorders>
              <w:top w:val="single" w:color="auto" w:sz="4" w:space="0"/>
              <w:left w:val="single" w:color="auto" w:sz="4" w:space="0"/>
              <w:bottom w:val="single" w:color="auto" w:sz="4" w:space="0"/>
              <w:right w:val="single" w:color="auto" w:sz="4" w:space="0"/>
            </w:tcBorders>
            <w:vAlign w:val="center"/>
          </w:tcPr>
          <w:p w14:paraId="41D2C62C">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CFAEE3C">
            <w:pPr>
              <w:keepNext w:val="0"/>
              <w:keepLines w:val="0"/>
              <w:widowControl/>
              <w:suppressLineNumbers w:val="0"/>
              <w:adjustRightInd w:val="0"/>
              <w:snapToGrid w:val="0"/>
              <w:spacing w:before="0" w:beforeAutospacing="0" w:after="0" w:afterAutospacing="0"/>
              <w:ind w:left="0" w:right="0"/>
              <w:jc w:val="both"/>
              <w:rPr>
                <w:rFonts w:hint="eastAsia" w:ascii="宋体" w:hAnsi="宋体" w:eastAsia="宋体" w:cs="宋体"/>
                <w:i w:val="0"/>
                <w:iCs w:val="0"/>
                <w:caps w:val="0"/>
                <w:color w:val="auto"/>
                <w:spacing w:val="0"/>
                <w:sz w:val="28"/>
                <w:szCs w:val="28"/>
                <w:highlight w:val="none"/>
                <w:shd w:val="clear" w:color="auto" w:fill="FFFFFF"/>
                <w:lang w:val="en-US" w:eastAsia="zh-CN"/>
              </w:rPr>
            </w:pPr>
          </w:p>
          <w:p w14:paraId="2DD11DFF">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05324AE">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530055DE">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color w:val="auto"/>
                <w:kern w:val="0"/>
                <w:sz w:val="28"/>
                <w:szCs w:val="28"/>
                <w:highlight w:val="none"/>
                <w:lang w:val="en-US" w:eastAsia="zh-CN"/>
              </w:rPr>
            </w:pPr>
            <w:r>
              <w:rPr>
                <w:rFonts w:hint="eastAsia" w:ascii="仿宋" w:hAnsi="仿宋" w:eastAsia="仿宋" w:cs="仿宋"/>
                <w:color w:val="auto"/>
                <w:kern w:val="0"/>
                <w:sz w:val="28"/>
                <w:szCs w:val="24"/>
                <w:lang w:val="en-US" w:eastAsia="zh-CN"/>
              </w:rPr>
              <w:t>3662000.00</w:t>
            </w:r>
          </w:p>
        </w:tc>
      </w:tr>
    </w:tbl>
    <w:p w14:paraId="2DD593A7">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default" w:ascii="仿宋" w:hAnsi="仿宋" w:eastAsia="仿宋" w:cs="仿宋"/>
          <w:b/>
          <w:bCs/>
          <w:color w:val="auto"/>
          <w:kern w:val="0"/>
          <w:sz w:val="28"/>
          <w:szCs w:val="24"/>
          <w:lang w:val="en-US" w:eastAsia="zh-CN"/>
        </w:rPr>
      </w:pPr>
      <w:r>
        <w:rPr>
          <w:rFonts w:hint="eastAsia" w:ascii="仿宋" w:hAnsi="仿宋" w:eastAsia="仿宋" w:cs="仿宋"/>
          <w:b/>
          <w:bCs/>
          <w:color w:val="auto"/>
          <w:kern w:val="0"/>
          <w:sz w:val="28"/>
          <w:szCs w:val="24"/>
          <w:lang w:val="en-US" w:eastAsia="zh-CN"/>
        </w:rPr>
        <w:t>备注:本项目兼投兼中。</w:t>
      </w:r>
    </w:p>
    <w:p w14:paraId="5B58FAB2">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三、电子招标文件获取：</w:t>
      </w:r>
    </w:p>
    <w:p w14:paraId="0A788A58">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1、时间：</w:t>
      </w:r>
      <w:r>
        <w:rPr>
          <w:rFonts w:hint="eastAsia" w:ascii="仿宋" w:hAnsi="仿宋" w:eastAsia="仿宋" w:cs="仿宋"/>
          <w:color w:val="auto"/>
          <w:kern w:val="0"/>
          <w:sz w:val="28"/>
          <w:szCs w:val="24"/>
          <w:lang w:val="en-US" w:eastAsia="zh-CN"/>
        </w:rPr>
        <w:t>投标截止时间前均可获取</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 xml:space="preserve"> </w:t>
      </w:r>
    </w:p>
    <w:p w14:paraId="169D7941">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2、方式：（1）潜在投标人请于</w:t>
      </w:r>
      <w:r>
        <w:rPr>
          <w:rFonts w:hint="eastAsia" w:ascii="仿宋" w:hAnsi="仿宋" w:eastAsia="仿宋" w:cs="仿宋"/>
          <w:color w:val="auto"/>
          <w:kern w:val="0"/>
          <w:sz w:val="28"/>
          <w:szCs w:val="24"/>
          <w:lang w:eastAsia="zh-CN"/>
        </w:rPr>
        <w:t>规定时间</w:t>
      </w:r>
      <w:r>
        <w:rPr>
          <w:rFonts w:hint="eastAsia" w:ascii="仿宋" w:hAnsi="仿宋" w:eastAsia="仿宋" w:cs="仿宋"/>
          <w:color w:val="auto"/>
          <w:kern w:val="0"/>
          <w:sz w:val="28"/>
          <w:szCs w:val="24"/>
        </w:rPr>
        <w:t>登录“赢标电子招标采购交易系统（http://hzsjyzx.cn:50000）”进行注册并下载招标文件。</w:t>
      </w:r>
    </w:p>
    <w:p w14:paraId="23D9197A">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（2）本项目为网上交易，编制投标文件需使用企业CA，投标人在获取招标文件后应进行企业CA注册。CA注册有一定周期，请及时办理以免影响本次项目，企业CA办理请前往菏泽市公共资源交易中心一楼大厅办理。</w:t>
      </w:r>
    </w:p>
    <w:p w14:paraId="1A8642F8">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3、关于本项目的变更、修改、澄清、补充内容及对项目的暂停、延期通知等情况均在发布公告的媒介发布，一经网上发布，视作已发放给所有投标人（发布时间即为发出招标资料的时间），不再予以书面回复通知。投标人自行查阅网站信息，或于开标时间前向招标代理机构电话询问确认，未按要求查阅或询问确认者自行承担相应后果，恕不予单独告知。</w:t>
      </w:r>
    </w:p>
    <w:p w14:paraId="5D7C5CFA">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4、逾期未按要求操作的投标人，投标无效。</w:t>
      </w:r>
    </w:p>
    <w:p w14:paraId="0B8B1268">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rPr>
        <w:t>四、投标文件递</w:t>
      </w:r>
      <w:r>
        <w:rPr>
          <w:rFonts w:hint="eastAsia" w:ascii="黑体" w:hAnsi="黑体" w:eastAsia="黑体" w:cs="黑体"/>
          <w:color w:val="auto"/>
          <w:kern w:val="0"/>
          <w:sz w:val="28"/>
          <w:szCs w:val="24"/>
          <w:highlight w:val="none"/>
        </w:rPr>
        <w:t>交：</w:t>
      </w:r>
    </w:p>
    <w:p w14:paraId="160F7BE9">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highlight w:val="none"/>
        </w:rPr>
      </w:pPr>
      <w:r>
        <w:rPr>
          <w:rFonts w:hint="eastAsia" w:ascii="仿宋" w:hAnsi="仿宋" w:eastAsia="仿宋" w:cs="仿宋"/>
          <w:color w:val="auto"/>
          <w:kern w:val="0"/>
          <w:sz w:val="28"/>
          <w:szCs w:val="24"/>
          <w:highlight w:val="none"/>
        </w:rPr>
        <w:t>1.截止</w:t>
      </w:r>
      <w:r>
        <w:rPr>
          <w:rFonts w:hint="eastAsia" w:ascii="仿宋" w:hAnsi="仿宋" w:eastAsia="仿宋" w:cs="仿宋"/>
          <w:color w:val="auto"/>
          <w:kern w:val="0"/>
          <w:sz w:val="28"/>
          <w:szCs w:val="24"/>
          <w:highlight w:val="none"/>
          <w:lang w:val="zh-CN"/>
        </w:rPr>
        <w:t>时间：202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29</w:t>
      </w:r>
      <w:r>
        <w:rPr>
          <w:rFonts w:hint="eastAsia" w:ascii="仿宋" w:hAnsi="仿宋" w:eastAsia="仿宋" w:cs="仿宋"/>
          <w:color w:val="auto"/>
          <w:kern w:val="0"/>
          <w:sz w:val="28"/>
          <w:szCs w:val="24"/>
          <w:highlight w:val="none"/>
          <w:lang w:val="zh-CN"/>
        </w:rPr>
        <w:t>日</w:t>
      </w:r>
      <w:r>
        <w:rPr>
          <w:rFonts w:hint="eastAsia" w:ascii="仿宋" w:hAnsi="仿宋" w:cs="仿宋"/>
          <w:color w:val="auto"/>
          <w:kern w:val="0"/>
          <w:sz w:val="28"/>
          <w:szCs w:val="24"/>
          <w:highlight w:val="none"/>
          <w:lang w:val="en-US" w:eastAsia="zh-CN"/>
        </w:rPr>
        <w:t>14</w:t>
      </w:r>
      <w:r>
        <w:rPr>
          <w:rFonts w:hint="eastAsia" w:ascii="仿宋" w:hAnsi="仿宋" w:eastAsia="仿宋" w:cs="仿宋"/>
          <w:color w:val="auto"/>
          <w:kern w:val="0"/>
          <w:sz w:val="28"/>
          <w:szCs w:val="24"/>
          <w:highlight w:val="none"/>
          <w:lang w:val="zh-CN"/>
        </w:rPr>
        <w:t>时</w:t>
      </w:r>
      <w:r>
        <w:rPr>
          <w:rFonts w:hint="eastAsia" w:ascii="仿宋" w:hAnsi="仿宋" w:cs="仿宋"/>
          <w:color w:val="auto"/>
          <w:kern w:val="0"/>
          <w:sz w:val="28"/>
          <w:szCs w:val="24"/>
          <w:highlight w:val="none"/>
          <w:lang w:val="en-US" w:eastAsia="zh-CN"/>
        </w:rPr>
        <w:t>3</w:t>
      </w:r>
      <w:r>
        <w:rPr>
          <w:rFonts w:hint="eastAsia" w:ascii="仿宋" w:hAnsi="仿宋" w:eastAsia="仿宋" w:cs="仿宋"/>
          <w:color w:val="auto"/>
          <w:kern w:val="0"/>
          <w:sz w:val="28"/>
          <w:szCs w:val="24"/>
          <w:highlight w:val="none"/>
          <w:lang w:val="zh-CN"/>
        </w:rPr>
        <w:t>0分（北京时间）</w:t>
      </w:r>
    </w:p>
    <w:p w14:paraId="287EE914">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highlight w:val="none"/>
        </w:rPr>
      </w:pPr>
      <w:r>
        <w:rPr>
          <w:rFonts w:hint="eastAsia" w:ascii="仿宋" w:hAnsi="仿宋" w:eastAsia="仿宋" w:cs="仿宋"/>
          <w:color w:val="auto"/>
          <w:kern w:val="0"/>
          <w:sz w:val="28"/>
          <w:szCs w:val="24"/>
          <w:highlight w:val="none"/>
        </w:rPr>
        <w:t>2.递交方式：赢标电子招标采购交易系（http://hzsjyzx.cn:50000）。</w:t>
      </w:r>
    </w:p>
    <w:p w14:paraId="5D83308E">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highlight w:val="none"/>
        </w:rPr>
        <w:t>五、开标时间及地点：</w:t>
      </w:r>
    </w:p>
    <w:p w14:paraId="253E14AF">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rPr>
      </w:pPr>
      <w:r>
        <w:rPr>
          <w:rFonts w:hint="eastAsia" w:ascii="仿宋" w:hAnsi="仿宋" w:eastAsia="仿宋" w:cs="仿宋"/>
          <w:color w:val="auto"/>
          <w:kern w:val="0"/>
          <w:sz w:val="28"/>
          <w:szCs w:val="24"/>
          <w:highlight w:val="none"/>
        </w:rPr>
        <w:t>1.时间：</w:t>
      </w:r>
      <w:r>
        <w:rPr>
          <w:rFonts w:hint="eastAsia" w:ascii="仿宋" w:hAnsi="仿宋" w:eastAsia="仿宋" w:cs="仿宋"/>
          <w:color w:val="auto"/>
          <w:kern w:val="0"/>
          <w:sz w:val="28"/>
          <w:szCs w:val="24"/>
          <w:highlight w:val="none"/>
          <w:lang w:val="zh-CN"/>
        </w:rPr>
        <w:t>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29</w:t>
      </w:r>
      <w:r>
        <w:rPr>
          <w:rFonts w:hint="eastAsia" w:ascii="仿宋" w:hAnsi="仿宋" w:eastAsia="仿宋" w:cs="仿宋"/>
          <w:color w:val="auto"/>
          <w:kern w:val="0"/>
          <w:sz w:val="28"/>
          <w:szCs w:val="24"/>
          <w:highlight w:val="none"/>
          <w:lang w:val="zh-CN"/>
        </w:rPr>
        <w:t>日</w:t>
      </w:r>
      <w:r>
        <w:rPr>
          <w:rFonts w:hint="eastAsia" w:ascii="仿宋" w:hAnsi="仿宋" w:cs="仿宋"/>
          <w:color w:val="auto"/>
          <w:kern w:val="0"/>
          <w:sz w:val="28"/>
          <w:szCs w:val="24"/>
          <w:highlight w:val="none"/>
          <w:lang w:val="en-US" w:eastAsia="zh-CN"/>
        </w:rPr>
        <w:t>14</w:t>
      </w:r>
      <w:r>
        <w:rPr>
          <w:rFonts w:hint="eastAsia" w:ascii="仿宋" w:hAnsi="仿宋" w:eastAsia="仿宋" w:cs="仿宋"/>
          <w:color w:val="auto"/>
          <w:kern w:val="0"/>
          <w:sz w:val="28"/>
          <w:szCs w:val="24"/>
          <w:highlight w:val="none"/>
          <w:lang w:val="zh-CN"/>
        </w:rPr>
        <w:t>时</w:t>
      </w:r>
      <w:r>
        <w:rPr>
          <w:rFonts w:hint="eastAsia" w:ascii="仿宋" w:hAnsi="仿宋" w:cs="仿宋"/>
          <w:color w:val="auto"/>
          <w:kern w:val="0"/>
          <w:sz w:val="28"/>
          <w:szCs w:val="24"/>
          <w:highlight w:val="none"/>
          <w:lang w:val="en-US" w:eastAsia="zh-CN"/>
        </w:rPr>
        <w:t>3</w:t>
      </w:r>
      <w:r>
        <w:rPr>
          <w:rFonts w:hint="eastAsia" w:ascii="仿宋" w:hAnsi="仿宋" w:eastAsia="仿宋" w:cs="仿宋"/>
          <w:color w:val="auto"/>
          <w:kern w:val="0"/>
          <w:sz w:val="28"/>
          <w:szCs w:val="24"/>
          <w:highlight w:val="none"/>
          <w:lang w:val="zh-CN"/>
        </w:rPr>
        <w:t>0分</w:t>
      </w:r>
      <w:r>
        <w:rPr>
          <w:rFonts w:hint="eastAsia" w:ascii="仿宋" w:hAnsi="仿宋" w:eastAsia="仿宋" w:cs="仿宋"/>
          <w:color w:val="auto"/>
          <w:sz w:val="28"/>
          <w:szCs w:val="24"/>
          <w:highlight w:val="none"/>
        </w:rPr>
        <w:t xml:space="preserve">（北京时间）   </w:t>
      </w:r>
      <w:r>
        <w:rPr>
          <w:rFonts w:hint="eastAsia" w:ascii="仿宋" w:hAnsi="仿宋" w:eastAsia="仿宋" w:cs="仿宋"/>
          <w:color w:val="auto"/>
          <w:sz w:val="28"/>
          <w:szCs w:val="24"/>
        </w:rPr>
        <w:t xml:space="preserve"> </w:t>
      </w:r>
    </w:p>
    <w:p w14:paraId="4BE4C943">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lang w:val="zh-CN"/>
        </w:rPr>
      </w:pPr>
      <w:r>
        <w:rPr>
          <w:rFonts w:hint="eastAsia" w:ascii="仿宋" w:hAnsi="仿宋" w:eastAsia="仿宋" w:cs="仿宋"/>
          <w:color w:val="auto"/>
          <w:kern w:val="0"/>
          <w:sz w:val="28"/>
          <w:szCs w:val="24"/>
        </w:rPr>
        <w:t>2.地点</w:t>
      </w:r>
      <w:r>
        <w:rPr>
          <w:rFonts w:hint="eastAsia" w:ascii="仿宋" w:hAnsi="仿宋" w:eastAsia="仿宋" w:cs="仿宋"/>
          <w:color w:val="auto"/>
          <w:kern w:val="0"/>
          <w:sz w:val="28"/>
          <w:szCs w:val="24"/>
          <w:lang w:val="zh-CN"/>
        </w:rPr>
        <w:t>：菏泽市公共资源交易中心（菏泽市中华路426号）不见面开标室（206）</w:t>
      </w:r>
      <w:r>
        <w:rPr>
          <w:rFonts w:hint="eastAsia" w:ascii="仿宋" w:hAnsi="仿宋" w:eastAsia="仿宋" w:cs="仿宋"/>
          <w:color w:val="auto"/>
          <w:sz w:val="28"/>
          <w:szCs w:val="24"/>
        </w:rPr>
        <w:t>。</w:t>
      </w:r>
    </w:p>
    <w:p w14:paraId="1F91D69C">
      <w:pPr>
        <w:widowControl/>
        <w:adjustRightInd w:val="0"/>
        <w:snapToGrid w:val="0"/>
        <w:spacing w:line="360" w:lineRule="auto"/>
        <w:jc w:val="left"/>
        <w:rPr>
          <w:rFonts w:ascii="仿宋" w:hAnsi="仿宋" w:eastAsia="仿宋" w:cs="仿宋"/>
          <w:color w:val="auto"/>
          <w:kern w:val="0"/>
          <w:sz w:val="28"/>
          <w:szCs w:val="24"/>
          <w:lang w:val="zh-CN"/>
        </w:rPr>
      </w:pPr>
      <w:r>
        <w:rPr>
          <w:rFonts w:hint="eastAsia" w:ascii="黑体" w:hAnsi="黑体" w:eastAsia="黑体" w:cs="黑体"/>
          <w:color w:val="auto"/>
          <w:kern w:val="0"/>
          <w:sz w:val="28"/>
          <w:szCs w:val="24"/>
        </w:rPr>
        <w:t>六、</w:t>
      </w:r>
      <w:r>
        <w:rPr>
          <w:rFonts w:hint="eastAsia" w:ascii="黑体" w:hAnsi="黑体" w:eastAsia="黑体" w:cs="黑体"/>
          <w:color w:val="auto"/>
          <w:kern w:val="0"/>
          <w:sz w:val="28"/>
          <w:szCs w:val="24"/>
          <w:lang w:eastAsia="zh-CN"/>
        </w:rPr>
        <w:t>接受异议的</w:t>
      </w:r>
      <w:r>
        <w:rPr>
          <w:rFonts w:hint="eastAsia" w:ascii="黑体" w:hAnsi="黑体" w:eastAsia="黑体" w:cs="黑体"/>
          <w:color w:val="auto"/>
          <w:kern w:val="0"/>
          <w:sz w:val="28"/>
          <w:szCs w:val="24"/>
        </w:rPr>
        <w:t>联系人和联系方式：</w:t>
      </w:r>
      <w:r>
        <w:rPr>
          <w:rFonts w:hint="eastAsia" w:ascii="仿宋" w:hAnsi="仿宋" w:eastAsia="仿宋" w:cs="仿宋"/>
          <w:color w:val="auto"/>
          <w:kern w:val="0"/>
          <w:sz w:val="28"/>
          <w:szCs w:val="24"/>
        </w:rPr>
        <w:tab/>
      </w:r>
    </w:p>
    <w:p w14:paraId="037C964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eastAsia" w:ascii="仿宋" w:hAnsi="仿宋" w:eastAsia="仿宋" w:cs="仿宋"/>
          <w:color w:val="auto"/>
          <w:kern w:val="0"/>
          <w:sz w:val="28"/>
          <w:szCs w:val="28"/>
        </w:rPr>
        <w:t>1.</w:t>
      </w:r>
      <w:r>
        <w:rPr>
          <w:rFonts w:hint="eastAsia"/>
          <w:color w:val="auto"/>
          <w:sz w:val="28"/>
          <w:szCs w:val="28"/>
        </w:rPr>
        <w:t xml:space="preserve"> </w:t>
      </w: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4"/>
        </w:rPr>
        <w:t xml:space="preserve"> </w:t>
      </w:r>
      <w:r>
        <w:rPr>
          <w:rFonts w:hint="default" w:ascii="仿宋" w:hAnsi="仿宋" w:cs="仿宋"/>
          <w:color w:val="auto"/>
          <w:kern w:val="0"/>
          <w:sz w:val="28"/>
          <w:szCs w:val="28"/>
          <w:highlight w:val="none"/>
          <w:lang w:val="en-US" w:eastAsia="zh-CN"/>
        </w:rPr>
        <w:t>招标人</w:t>
      </w:r>
      <w:r>
        <w:rPr>
          <w:rFonts w:hint="eastAsia" w:ascii="仿宋" w:hAnsi="仿宋" w:cs="仿宋"/>
          <w:color w:val="auto"/>
          <w:kern w:val="0"/>
          <w:sz w:val="28"/>
          <w:szCs w:val="28"/>
          <w:highlight w:val="none"/>
          <w:lang w:val="en-US" w:eastAsia="zh-CN"/>
        </w:rPr>
        <w:t>（一期电梯）：</w:t>
      </w:r>
      <w:r>
        <w:rPr>
          <w:rFonts w:hint="default" w:ascii="仿宋" w:hAnsi="仿宋" w:cs="仿宋"/>
          <w:color w:val="auto"/>
          <w:kern w:val="0"/>
          <w:sz w:val="28"/>
          <w:szCs w:val="28"/>
          <w:highlight w:val="none"/>
          <w:lang w:val="en-US" w:eastAsia="zh-CN"/>
        </w:rPr>
        <w:t>山东福亦盛建筑工程有限公司</w:t>
      </w:r>
    </w:p>
    <w:p w14:paraId="1B1412E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default" w:ascii="仿宋" w:hAnsi="仿宋" w:cs="仿宋"/>
          <w:color w:val="auto"/>
          <w:kern w:val="0"/>
          <w:sz w:val="28"/>
          <w:szCs w:val="28"/>
          <w:highlight w:val="none"/>
          <w:lang w:val="en-US" w:eastAsia="zh-CN"/>
        </w:rPr>
        <w:t>地 址：菏泽市牡丹区欧亚达商场金二街北货梯4楼04005</w:t>
      </w:r>
    </w:p>
    <w:p w14:paraId="42FB22DF">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eastAsia" w:ascii="仿宋" w:hAnsi="仿宋" w:eastAsia="仿宋" w:cs="仿宋"/>
          <w:color w:val="auto"/>
          <w:kern w:val="0"/>
          <w:sz w:val="28"/>
          <w:szCs w:val="24"/>
          <w:highlight w:val="none"/>
        </w:rPr>
      </w:pPr>
      <w:r>
        <w:rPr>
          <w:rFonts w:hint="eastAsia" w:ascii="仿宋" w:hAnsi="仿宋" w:cs="仿宋"/>
          <w:color w:val="auto"/>
          <w:kern w:val="0"/>
          <w:sz w:val="28"/>
          <w:szCs w:val="28"/>
          <w:highlight w:val="none"/>
          <w:lang w:val="en-US" w:eastAsia="zh-CN"/>
        </w:rPr>
        <w:t>联系人：董安利              电话：17653008848</w:t>
      </w:r>
    </w:p>
    <w:p w14:paraId="1FA6AC0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lang w:val="en-US" w:eastAsia="zh-CN"/>
        </w:rPr>
      </w:pPr>
      <w:r>
        <w:rPr>
          <w:rFonts w:hint="default" w:ascii="仿宋" w:hAnsi="仿宋" w:cs="仿宋"/>
          <w:color w:val="auto"/>
          <w:kern w:val="0"/>
          <w:sz w:val="28"/>
          <w:szCs w:val="28"/>
          <w:lang w:val="en-US" w:eastAsia="zh-CN"/>
        </w:rPr>
        <w:t>招标人</w:t>
      </w:r>
      <w:r>
        <w:rPr>
          <w:rFonts w:hint="eastAsia" w:ascii="仿宋" w:hAnsi="仿宋" w:cs="仿宋"/>
          <w:color w:val="auto"/>
          <w:kern w:val="0"/>
          <w:sz w:val="28"/>
          <w:szCs w:val="28"/>
          <w:lang w:val="en-US" w:eastAsia="zh-CN"/>
        </w:rPr>
        <w:t>（二期电梯）</w:t>
      </w:r>
      <w:r>
        <w:rPr>
          <w:rFonts w:hint="default" w:ascii="仿宋" w:hAnsi="仿宋" w:cs="仿宋"/>
          <w:color w:val="auto"/>
          <w:kern w:val="0"/>
          <w:sz w:val="28"/>
          <w:szCs w:val="28"/>
          <w:lang w:val="en-US" w:eastAsia="zh-CN"/>
        </w:rPr>
        <w:t>：菏泽远衡越达建设工程有限公司</w:t>
      </w:r>
    </w:p>
    <w:p w14:paraId="7641A6FA">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lang w:val="en-US" w:eastAsia="zh-CN"/>
        </w:rPr>
      </w:pPr>
      <w:r>
        <w:rPr>
          <w:rFonts w:hint="default" w:ascii="仿宋" w:hAnsi="仿宋" w:cs="仿宋"/>
          <w:color w:val="auto"/>
          <w:kern w:val="0"/>
          <w:sz w:val="28"/>
          <w:szCs w:val="28"/>
          <w:lang w:val="en-US" w:eastAsia="zh-CN"/>
        </w:rPr>
        <w:t>地 址：菏泽市牡丹区重庆路现代城18号楼1单元301室</w:t>
      </w:r>
    </w:p>
    <w:p w14:paraId="5E5CAE7C">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eastAsia" w:ascii="仿宋" w:hAnsi="仿宋" w:cs="仿宋"/>
          <w:color w:val="auto"/>
          <w:kern w:val="0"/>
          <w:sz w:val="28"/>
          <w:szCs w:val="28"/>
          <w:highlight w:val="none"/>
          <w:lang w:val="en-US" w:eastAsia="zh-CN"/>
        </w:rPr>
        <w:t>联系人：郝晨光              电话：17686520272</w:t>
      </w:r>
    </w:p>
    <w:p w14:paraId="444F9FA2">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rPr>
        <w:t>2.代理机构：</w:t>
      </w:r>
      <w:r>
        <w:rPr>
          <w:rFonts w:hint="eastAsia" w:ascii="仿宋" w:hAnsi="仿宋" w:eastAsia="仿宋" w:cs="仿宋"/>
          <w:color w:val="auto"/>
          <w:kern w:val="0"/>
          <w:sz w:val="28"/>
          <w:szCs w:val="28"/>
          <w:highlight w:val="none"/>
          <w:lang w:val="en-US" w:eastAsia="zh-CN"/>
        </w:rPr>
        <w:t>菏泽圣航工程咨询管理有限公司</w:t>
      </w:r>
      <w:r>
        <w:rPr>
          <w:rFonts w:hint="eastAsia" w:ascii="仿宋" w:hAnsi="仿宋" w:eastAsia="仿宋" w:cs="仿宋"/>
          <w:color w:val="auto"/>
          <w:kern w:val="0"/>
          <w:sz w:val="28"/>
          <w:szCs w:val="28"/>
          <w:highlight w:val="none"/>
        </w:rPr>
        <w:t xml:space="preserve"> </w:t>
      </w:r>
    </w:p>
    <w:p w14:paraId="6DD869AF">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地    址：</w:t>
      </w:r>
      <w:r>
        <w:rPr>
          <w:rFonts w:hint="eastAsia" w:ascii="仿宋" w:hAnsi="仿宋" w:eastAsia="仿宋" w:cs="仿宋"/>
          <w:color w:val="auto"/>
          <w:kern w:val="0"/>
          <w:sz w:val="28"/>
          <w:szCs w:val="28"/>
          <w:highlight w:val="none"/>
          <w:lang w:val="en-US" w:eastAsia="zh-CN"/>
        </w:rPr>
        <w:t>菏泽市牡丹区八一路与太原路交叉口西南角</w:t>
      </w:r>
      <w:r>
        <w:rPr>
          <w:rFonts w:hint="eastAsia" w:ascii="仿宋" w:hAnsi="仿宋" w:eastAsia="仿宋" w:cs="仿宋"/>
          <w:bCs/>
          <w:color w:val="auto"/>
          <w:spacing w:val="-10"/>
          <w:kern w:val="0"/>
          <w:sz w:val="28"/>
          <w:szCs w:val="28"/>
          <w:highlight w:val="none"/>
        </w:rPr>
        <w:t xml:space="preserve"> </w:t>
      </w:r>
    </w:p>
    <w:p w14:paraId="1E2260B3">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u w:val="single"/>
        </w:rPr>
      </w:pPr>
      <w:r>
        <w:rPr>
          <w:rFonts w:hint="eastAsia" w:ascii="仿宋" w:hAnsi="仿宋" w:cs="仿宋"/>
          <w:color w:val="auto"/>
          <w:kern w:val="0"/>
          <w:sz w:val="28"/>
          <w:szCs w:val="28"/>
          <w:highlight w:val="none"/>
          <w:lang w:val="en-US" w:eastAsia="zh-CN"/>
        </w:rPr>
        <w:t>项目负责人</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rPr>
        <w:fldChar w:fldCharType="begin"/>
      </w:r>
      <w:r>
        <w:rPr>
          <w:rFonts w:hint="eastAsia" w:ascii="仿宋" w:hAnsi="仿宋" w:eastAsia="仿宋" w:cs="仿宋"/>
          <w:color w:val="auto"/>
          <w:kern w:val="0"/>
          <w:sz w:val="28"/>
          <w:szCs w:val="28"/>
          <w:highlight w:val="none"/>
        </w:rPr>
        <w:instrText xml:space="preserve"> HYPERLINK "https://jzsc.mohurd.gov.cn/data/person/detail?id=002303160131965587" \t "https://jzsc.mohurd.gov.cn/data/company/_blank" </w:instrText>
      </w:r>
      <w:r>
        <w:rPr>
          <w:rFonts w:hint="eastAsia" w:ascii="仿宋" w:hAnsi="仿宋" w:eastAsia="仿宋" w:cs="仿宋"/>
          <w:color w:val="auto"/>
          <w:kern w:val="0"/>
          <w:sz w:val="28"/>
          <w:szCs w:val="28"/>
          <w:highlight w:val="none"/>
        </w:rPr>
        <w:fldChar w:fldCharType="separate"/>
      </w:r>
      <w:r>
        <w:rPr>
          <w:rFonts w:hint="eastAsia" w:ascii="仿宋" w:hAnsi="仿宋" w:eastAsia="仿宋" w:cs="仿宋"/>
          <w:color w:val="auto"/>
          <w:kern w:val="0"/>
          <w:sz w:val="28"/>
          <w:szCs w:val="28"/>
          <w:highlight w:val="none"/>
        </w:rPr>
        <w:t>闫胜舜</w:t>
      </w:r>
      <w:r>
        <w:rPr>
          <w:rFonts w:hint="eastAsia" w:ascii="仿宋" w:hAnsi="仿宋" w:eastAsia="仿宋" w:cs="仿宋"/>
          <w:color w:val="auto"/>
          <w:kern w:val="0"/>
          <w:sz w:val="28"/>
          <w:szCs w:val="28"/>
          <w:highlight w:val="none"/>
        </w:rPr>
        <w:fldChar w:fldCharType="end"/>
      </w:r>
      <w:r>
        <w:rPr>
          <w:rFonts w:hint="eastAsia" w:ascii="仿宋" w:hAnsi="仿宋" w:eastAsia="仿宋" w:cs="仿宋"/>
          <w:color w:val="auto"/>
          <w:kern w:val="0"/>
          <w:sz w:val="28"/>
          <w:szCs w:val="28"/>
          <w:highlight w:val="none"/>
        </w:rPr>
        <w:t xml:space="preserve"> </w:t>
      </w:r>
      <w:r>
        <w:rPr>
          <w:rFonts w:hint="eastAsia" w:ascii="仿宋" w:hAnsi="仿宋" w:eastAsia="仿宋" w:cs="仿宋"/>
          <w:bCs/>
          <w:color w:val="auto"/>
          <w:spacing w:val="-10"/>
          <w:kern w:val="0"/>
          <w:sz w:val="28"/>
          <w:szCs w:val="28"/>
          <w:highlight w:val="none"/>
        </w:rPr>
        <w:t xml:space="preserve">    </w:t>
      </w:r>
      <w:r>
        <w:rPr>
          <w:rFonts w:hint="eastAsia" w:ascii="仿宋" w:hAnsi="仿宋" w:eastAsia="仿宋" w:cs="仿宋"/>
          <w:color w:val="auto"/>
          <w:kern w:val="0"/>
          <w:sz w:val="28"/>
          <w:szCs w:val="28"/>
          <w:highlight w:val="none"/>
          <w:lang w:val="zh-CN"/>
        </w:rPr>
        <w:t>联系方式：</w:t>
      </w:r>
      <w:r>
        <w:rPr>
          <w:rFonts w:hint="eastAsia" w:ascii="仿宋" w:hAnsi="仿宋" w:eastAsia="仿宋" w:cs="仿宋"/>
          <w:color w:val="auto"/>
          <w:kern w:val="0"/>
          <w:sz w:val="28"/>
          <w:szCs w:val="28"/>
          <w:highlight w:val="none"/>
          <w:lang w:val="zh-CN" w:eastAsia="zh-CN"/>
        </w:rPr>
        <w:t>15053017352</w:t>
      </w:r>
    </w:p>
    <w:p w14:paraId="50AEC102">
      <w:pPr>
        <w:widowControl/>
        <w:adjustRightInd w:val="0"/>
        <w:snapToGrid w:val="0"/>
        <w:spacing w:line="360" w:lineRule="auto"/>
        <w:jc w:val="left"/>
        <w:rPr>
          <w:rFonts w:ascii="黑体" w:hAnsi="黑体" w:eastAsia="黑体" w:cs="黑体"/>
          <w:color w:val="auto"/>
          <w:kern w:val="0"/>
          <w:sz w:val="28"/>
          <w:szCs w:val="24"/>
          <w:lang w:val="zh-CN"/>
        </w:rPr>
      </w:pPr>
      <w:r>
        <w:rPr>
          <w:rFonts w:hint="eastAsia" w:ascii="黑体" w:hAnsi="黑体" w:eastAsia="黑体" w:cs="黑体"/>
          <w:color w:val="auto"/>
          <w:kern w:val="0"/>
          <w:sz w:val="28"/>
          <w:szCs w:val="24"/>
        </w:rPr>
        <w:t>七、发布公告媒介:</w:t>
      </w:r>
    </w:p>
    <w:p w14:paraId="3087907F">
      <w:pPr>
        <w:keepNext w:val="0"/>
        <w:keepLines w:val="0"/>
        <w:pageBreakBefore w:val="0"/>
        <w:widowControl w:val="0"/>
        <w:kinsoku/>
        <w:wordWrap/>
        <w:overflowPunct/>
        <w:topLinePunct w:val="0"/>
        <w:autoSpaceDE/>
        <w:autoSpaceDN/>
        <w:bidi w:val="0"/>
        <w:adjustRightInd w:val="0"/>
        <w:snapToGrid w:val="0"/>
        <w:spacing w:line="420" w:lineRule="auto"/>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本次公告在中国招标投标公共服务平台</w:t>
      </w:r>
      <w:r>
        <w:rPr>
          <w:rFonts w:hint="eastAsia" w:ascii="仿宋" w:hAnsi="仿宋" w:eastAsia="仿宋" w:cs="仿宋"/>
          <w:bCs/>
          <w:color w:val="auto"/>
          <w:spacing w:val="-10"/>
          <w:kern w:val="0"/>
          <w:sz w:val="28"/>
          <w:szCs w:val="24"/>
        </w:rPr>
        <w:t>、菏泽</w:t>
      </w:r>
      <w:r>
        <w:rPr>
          <w:rFonts w:hint="eastAsia" w:ascii="仿宋" w:hAnsi="仿宋" w:eastAsia="仿宋" w:cs="仿宋"/>
          <w:color w:val="auto"/>
          <w:kern w:val="0"/>
          <w:sz w:val="28"/>
          <w:szCs w:val="24"/>
        </w:rPr>
        <w:t>市公共资源交易网、</w:t>
      </w:r>
      <w:r>
        <w:rPr>
          <w:rFonts w:hint="eastAsia" w:ascii="仿宋" w:hAnsi="仿宋" w:eastAsia="仿宋" w:cs="仿宋"/>
          <w:color w:val="auto"/>
          <w:sz w:val="28"/>
          <w:szCs w:val="24"/>
        </w:rPr>
        <w:t>菏泽市牡丹区人民政府网同时发布。</w:t>
      </w:r>
    </w:p>
    <w:p w14:paraId="67886312">
      <w:pPr>
        <w:keepNext w:val="0"/>
        <w:keepLines w:val="0"/>
        <w:pageBreakBefore w:val="0"/>
        <w:widowControl w:val="0"/>
        <w:kinsoku/>
        <w:wordWrap/>
        <w:overflowPunct/>
        <w:topLinePunct w:val="0"/>
        <w:autoSpaceDE/>
        <w:autoSpaceDN/>
        <w:bidi w:val="0"/>
        <w:adjustRightInd w:val="0"/>
        <w:snapToGrid w:val="0"/>
        <w:spacing w:line="420" w:lineRule="auto"/>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八、监督机构：菏泽市牡丹区住房和城乡建设局</w:t>
      </w:r>
    </w:p>
    <w:p w14:paraId="2947BF24">
      <w:pPr>
        <w:keepNext w:val="0"/>
        <w:keepLines w:val="0"/>
        <w:pageBreakBefore w:val="0"/>
        <w:widowControl w:val="0"/>
        <w:kinsoku/>
        <w:wordWrap/>
        <w:overflowPunct/>
        <w:topLinePunct w:val="0"/>
        <w:autoSpaceDE/>
        <w:autoSpaceDN/>
        <w:bidi w:val="0"/>
        <w:adjustRightInd w:val="0"/>
        <w:snapToGrid w:val="0"/>
        <w:spacing w:line="420" w:lineRule="auto"/>
        <w:ind w:firstLine="562" w:firstLineChars="200"/>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监督电话：0530</w:t>
      </w:r>
      <w:r>
        <w:rPr>
          <w:rFonts w:hint="eastAsia" w:ascii="仿宋" w:hAnsi="仿宋" w:cs="仿宋"/>
          <w:b/>
          <w:bCs/>
          <w:color w:val="auto"/>
          <w:sz w:val="28"/>
          <w:szCs w:val="24"/>
          <w:lang w:val="en-US" w:eastAsia="zh-CN"/>
        </w:rPr>
        <w:t>-7586688</w:t>
      </w:r>
    </w:p>
    <w:p w14:paraId="4E721CB6">
      <w:pPr>
        <w:widowControl/>
        <w:adjustRightInd w:val="0"/>
        <w:snapToGrid w:val="0"/>
        <w:spacing w:line="420" w:lineRule="auto"/>
        <w:jc w:val="left"/>
        <w:rPr>
          <w:rFonts w:hint="default" w:ascii="仿宋" w:hAnsi="仿宋" w:eastAsia="仿宋" w:cs="仿宋"/>
          <w:b/>
          <w:bCs/>
          <w:color w:val="auto"/>
          <w:sz w:val="28"/>
          <w:szCs w:val="24"/>
          <w:lang w:val="en-US" w:eastAsia="zh-CN"/>
        </w:rPr>
      </w:pPr>
      <w:r>
        <w:rPr>
          <w:rFonts w:hint="eastAsia" w:ascii="黑体" w:hAnsi="黑体" w:eastAsia="黑体" w:cs="宋体"/>
          <w:color w:val="auto"/>
          <w:kern w:val="0"/>
          <w:sz w:val="28"/>
          <w:szCs w:val="28"/>
          <w:lang w:val="en-US" w:eastAsia="zh-CN"/>
        </w:rPr>
        <w:t xml:space="preserve">    </w:t>
      </w:r>
      <w:r>
        <w:rPr>
          <w:rFonts w:hint="eastAsia" w:ascii="仿宋" w:hAnsi="仿宋" w:eastAsia="仿宋" w:cs="仿宋"/>
          <w:b/>
          <w:bCs/>
          <w:color w:val="auto"/>
          <w:sz w:val="28"/>
          <w:szCs w:val="24"/>
          <w:lang w:val="en-US" w:eastAsia="zh-CN"/>
        </w:rPr>
        <w:t xml:space="preserve">菏泽鼎顺高速公路产业有限公司   监督电话：0530-3186660 </w:t>
      </w:r>
    </w:p>
    <w:p w14:paraId="0F3288A1">
      <w:pPr>
        <w:widowControl/>
        <w:adjustRightInd w:val="0"/>
        <w:snapToGrid w:val="0"/>
        <w:spacing w:line="420" w:lineRule="auto"/>
        <w:jc w:val="left"/>
        <w:rPr>
          <w:rFonts w:hint="eastAsia" w:ascii="黑体" w:hAnsi="黑体" w:eastAsia="黑体" w:cs="宋体"/>
          <w:color w:val="auto"/>
          <w:kern w:val="0"/>
          <w:sz w:val="28"/>
          <w:szCs w:val="28"/>
        </w:rPr>
      </w:pPr>
      <w:r>
        <w:rPr>
          <w:rFonts w:hint="eastAsia" w:ascii="黑体" w:hAnsi="黑体" w:eastAsia="黑体" w:cs="宋体"/>
          <w:color w:val="auto"/>
          <w:kern w:val="0"/>
          <w:sz w:val="28"/>
          <w:szCs w:val="28"/>
          <w:lang w:val="en-US" w:eastAsia="zh-CN"/>
        </w:rPr>
        <w:t>九、</w:t>
      </w:r>
      <w:r>
        <w:rPr>
          <w:rFonts w:hint="eastAsia" w:ascii="黑体" w:hAnsi="黑体" w:eastAsia="黑体" w:cs="宋体"/>
          <w:color w:val="auto"/>
          <w:kern w:val="0"/>
          <w:sz w:val="28"/>
          <w:szCs w:val="28"/>
        </w:rPr>
        <w:t>提出异议的渠道和方式：</w:t>
      </w:r>
    </w:p>
    <w:p w14:paraId="4AB390B2">
      <w:pPr>
        <w:numPr>
          <w:ilvl w:val="0"/>
          <w:numId w:val="0"/>
        </w:numPr>
        <w:adjustRightInd w:val="0"/>
        <w:snapToGrid w:val="0"/>
        <w:spacing w:line="420" w:lineRule="auto"/>
        <w:ind w:firstLine="560" w:firstLineChars="200"/>
        <w:rPr>
          <w:rFonts w:hint="default"/>
          <w:color w:val="auto"/>
          <w:lang w:val="en-US" w:eastAsia="zh-CN"/>
        </w:rPr>
      </w:pPr>
      <w:r>
        <w:rPr>
          <w:rFonts w:hint="eastAsia" w:ascii="仿宋" w:hAnsi="仿宋" w:eastAsia="仿宋" w:cs="宋体"/>
          <w:color w:val="auto"/>
          <w:kern w:val="0"/>
          <w:sz w:val="28"/>
          <w:szCs w:val="28"/>
        </w:rPr>
        <w:t>潜在投标人或者其他利害关系人对招标文件有异议的，在投标截止时间10日前可通过</w:t>
      </w:r>
      <w:r>
        <w:rPr>
          <w:rFonts w:hint="eastAsia" w:ascii="仿宋" w:hAnsi="仿宋" w:eastAsia="仿宋" w:cs="宋体"/>
          <w:color w:val="auto"/>
          <w:kern w:val="0"/>
          <w:sz w:val="28"/>
          <w:szCs w:val="28"/>
          <w:lang w:val="en-US" w:eastAsia="zh-CN"/>
        </w:rPr>
        <w:t>菏泽</w:t>
      </w:r>
      <w:r>
        <w:rPr>
          <w:rFonts w:hint="eastAsia" w:ascii="仿宋" w:hAnsi="仿宋" w:eastAsia="仿宋" w:cs="宋体"/>
          <w:color w:val="auto"/>
          <w:kern w:val="0"/>
          <w:sz w:val="28"/>
          <w:szCs w:val="28"/>
        </w:rPr>
        <w:t>市公共资源交易系统或以书面形式向招标人提出。</w:t>
      </w:r>
    </w:p>
    <w:p w14:paraId="5A190A39">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lang w:val="en-US" w:eastAsia="zh-CN"/>
        </w:rPr>
        <w:t>十、</w:t>
      </w:r>
      <w:r>
        <w:rPr>
          <w:rFonts w:hint="eastAsia" w:ascii="黑体" w:hAnsi="黑体" w:eastAsia="黑体" w:cs="黑体"/>
          <w:color w:val="auto"/>
          <w:kern w:val="0"/>
          <w:sz w:val="28"/>
          <w:szCs w:val="24"/>
        </w:rPr>
        <w:t>重要说明：</w:t>
      </w:r>
    </w:p>
    <w:p w14:paraId="47A42E84">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1.本次招标为电子系统,投标人应通过赢标电子招标采购交易系统（http://hzsjyzx.cn:50000）上传经 CA 加密的电子投标文件。</w:t>
      </w:r>
    </w:p>
    <w:p w14:paraId="2A2A7099">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2.在线递交电子投标文件前，投标人应当使用投标客户端</w:t>
      </w:r>
      <w:r>
        <w:rPr>
          <w:rFonts w:hint="eastAsia" w:ascii="仿宋" w:hAnsi="仿宋" w:eastAsia="仿宋" w:cs="仿宋"/>
          <w:color w:val="auto"/>
          <w:sz w:val="28"/>
          <w:szCs w:val="24"/>
          <w:lang w:eastAsia="zh-CN"/>
        </w:rPr>
        <w:t>及</w:t>
      </w:r>
      <w:r>
        <w:rPr>
          <w:rFonts w:hint="eastAsia" w:ascii="仿宋" w:hAnsi="仿宋" w:eastAsia="仿宋" w:cs="仿宋"/>
          <w:color w:val="auto"/>
          <w:sz w:val="28"/>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8"/>
          <w:szCs w:val="24"/>
          <w:lang w:eastAsia="zh-CN"/>
        </w:rPr>
        <w:t>登录</w:t>
      </w:r>
      <w:r>
        <w:rPr>
          <w:rFonts w:hint="eastAsia" w:ascii="仿宋" w:hAnsi="仿宋" w:eastAsia="仿宋" w:cs="仿宋"/>
          <w:color w:val="auto"/>
          <w:sz w:val="28"/>
          <w:szCs w:val="24"/>
        </w:rPr>
        <w:t>赢标电子招标采购交易系统（http://hzsjyzx.cn:50000）递交电子投标文件。</w:t>
      </w:r>
    </w:p>
    <w:p w14:paraId="7A037087">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1ABCAF0A">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4C36FE4D">
      <w:pPr>
        <w:pStyle w:val="89"/>
        <w:keepNext w:val="0"/>
        <w:keepLines w:val="0"/>
        <w:pageBreakBefore w:val="0"/>
        <w:widowControl w:val="0"/>
        <w:kinsoku/>
        <w:wordWrap w:val="0"/>
        <w:overflowPunct/>
        <w:topLinePunct w:val="0"/>
        <w:autoSpaceDE/>
        <w:autoSpaceDN/>
        <w:bidi w:val="0"/>
        <w:adjustRightInd/>
        <w:snapToGrid/>
        <w:spacing w:line="420" w:lineRule="auto"/>
        <w:ind w:firstLine="480"/>
        <w:jc w:val="left"/>
        <w:textAlignment w:val="auto"/>
        <w:rPr>
          <w:rFonts w:ascii="仿宋" w:hAnsi="仿宋" w:eastAsia="仿宋" w:cs="仿宋"/>
          <w:color w:val="auto"/>
          <w:sz w:val="28"/>
          <w:szCs w:val="24"/>
        </w:rPr>
      </w:pPr>
      <w:r>
        <w:rPr>
          <w:rFonts w:hint="eastAsia" w:ascii="仿宋" w:hAnsi="仿宋" w:eastAsia="仿宋" w:cs="仿宋"/>
          <w:color w:val="auto"/>
          <w:sz w:val="28"/>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3D97F171">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6.投标人在使用电子招投标平台时，如有任何疑问，请咨询系统技术支持：李经理 15020110313。</w:t>
      </w:r>
    </w:p>
    <w:p w14:paraId="5F1FB5FD">
      <w:pPr>
        <w:keepNext w:val="0"/>
        <w:keepLines w:val="0"/>
        <w:pageBreakBefore w:val="0"/>
        <w:widowControl w:val="0"/>
        <w:kinsoku/>
        <w:wordWrap/>
        <w:overflowPunct/>
        <w:topLinePunct w:val="0"/>
        <w:autoSpaceDE/>
        <w:autoSpaceDN/>
        <w:bidi w:val="0"/>
        <w:adjustRightInd w:val="0"/>
        <w:snapToGrid w:val="0"/>
        <w:spacing w:line="420" w:lineRule="auto"/>
        <w:jc w:val="right"/>
        <w:textAlignment w:val="auto"/>
        <w:rPr>
          <w:rFonts w:hint="eastAsia" w:ascii="仿宋" w:hAnsi="仿宋" w:eastAsia="仿宋" w:cs="仿宋"/>
          <w:color w:val="auto"/>
          <w:kern w:val="0"/>
          <w:sz w:val="28"/>
          <w:szCs w:val="24"/>
          <w:lang w:val="zh-CN"/>
        </w:rPr>
      </w:pPr>
    </w:p>
    <w:p w14:paraId="4CB2D22C">
      <w:pPr>
        <w:keepNext w:val="0"/>
        <w:keepLines w:val="0"/>
        <w:pageBreakBefore w:val="0"/>
        <w:widowControl w:val="0"/>
        <w:kinsoku/>
        <w:wordWrap/>
        <w:overflowPunct/>
        <w:topLinePunct w:val="0"/>
        <w:autoSpaceDE/>
        <w:autoSpaceDN/>
        <w:bidi w:val="0"/>
        <w:adjustRightInd w:val="0"/>
        <w:snapToGrid w:val="0"/>
        <w:spacing w:line="420" w:lineRule="auto"/>
        <w:jc w:val="right"/>
        <w:textAlignment w:val="auto"/>
        <w:rPr>
          <w:color w:val="auto"/>
        </w:rPr>
      </w:pPr>
      <w:r>
        <w:rPr>
          <w:rFonts w:hint="eastAsia" w:ascii="仿宋" w:hAnsi="仿宋" w:eastAsia="仿宋" w:cs="仿宋"/>
          <w:color w:val="auto"/>
          <w:kern w:val="0"/>
          <w:sz w:val="28"/>
          <w:szCs w:val="24"/>
          <w:highlight w:val="none"/>
          <w:lang w:val="zh-CN"/>
        </w:rPr>
        <w:t>发布时间 ：</w:t>
      </w:r>
      <w:r>
        <w:rPr>
          <w:rFonts w:hint="eastAsia" w:ascii="仿宋" w:hAnsi="仿宋" w:eastAsia="仿宋" w:cs="仿宋"/>
          <w:color w:val="auto"/>
          <w:kern w:val="2"/>
          <w:sz w:val="28"/>
          <w:szCs w:val="28"/>
          <w:highlight w:val="none"/>
          <w:lang w:val="en-US" w:eastAsia="zh-CN" w:bidi="ar-SA"/>
        </w:rPr>
        <w:t>202</w:t>
      </w:r>
      <w:r>
        <w:rPr>
          <w:rFonts w:hint="eastAsia" w:ascii="仿宋" w:hAnsi="仿宋" w:cs="仿宋"/>
          <w:color w:val="auto"/>
          <w:kern w:val="2"/>
          <w:sz w:val="28"/>
          <w:szCs w:val="28"/>
          <w:highlight w:val="none"/>
          <w:lang w:val="en-US" w:eastAsia="zh-CN" w:bidi="ar-SA"/>
        </w:rPr>
        <w:t>6</w:t>
      </w:r>
      <w:r>
        <w:rPr>
          <w:rFonts w:hint="eastAsia" w:ascii="仿宋" w:hAnsi="仿宋" w:eastAsia="仿宋" w:cs="仿宋"/>
          <w:color w:val="auto"/>
          <w:kern w:val="2"/>
          <w:sz w:val="28"/>
          <w:szCs w:val="28"/>
          <w:highlight w:val="none"/>
          <w:lang w:val="en-US" w:eastAsia="zh-CN" w:bidi="ar-SA"/>
        </w:rPr>
        <w:t>年</w:t>
      </w:r>
      <w:r>
        <w:rPr>
          <w:rFonts w:hint="eastAsia" w:ascii="仿宋" w:hAnsi="仿宋" w:cs="仿宋"/>
          <w:color w:val="auto"/>
          <w:kern w:val="2"/>
          <w:sz w:val="28"/>
          <w:szCs w:val="28"/>
          <w:highlight w:val="none"/>
          <w:lang w:val="en-US" w:eastAsia="zh-CN" w:bidi="ar-SA"/>
        </w:rPr>
        <w:t>06</w:t>
      </w:r>
      <w:r>
        <w:rPr>
          <w:rFonts w:hint="eastAsia" w:ascii="仿宋" w:hAnsi="仿宋" w:eastAsia="仿宋" w:cs="仿宋"/>
          <w:color w:val="auto"/>
          <w:kern w:val="2"/>
          <w:sz w:val="28"/>
          <w:szCs w:val="28"/>
          <w:highlight w:val="none"/>
          <w:lang w:val="en-US" w:eastAsia="zh-CN" w:bidi="ar-SA"/>
        </w:rPr>
        <w:t>月</w:t>
      </w:r>
      <w:r>
        <w:rPr>
          <w:rFonts w:hint="eastAsia" w:ascii="仿宋" w:hAnsi="仿宋" w:cs="仿宋"/>
          <w:color w:val="auto"/>
          <w:kern w:val="2"/>
          <w:sz w:val="28"/>
          <w:szCs w:val="28"/>
          <w:highlight w:val="none"/>
          <w:lang w:val="en-US" w:eastAsia="zh-CN" w:bidi="ar-SA"/>
        </w:rPr>
        <w:t>05</w:t>
      </w:r>
      <w:bookmarkStart w:id="284" w:name="_GoBack"/>
      <w:bookmarkEnd w:id="284"/>
      <w:r>
        <w:rPr>
          <w:rFonts w:hint="eastAsia" w:ascii="仿宋" w:hAnsi="仿宋" w:eastAsia="仿宋" w:cs="仿宋"/>
          <w:color w:val="auto"/>
          <w:kern w:val="2"/>
          <w:sz w:val="28"/>
          <w:szCs w:val="28"/>
          <w:highlight w:val="none"/>
          <w:lang w:val="en-US" w:eastAsia="zh-CN" w:bidi="ar-SA"/>
        </w:rPr>
        <w:t>日</w:t>
      </w:r>
    </w:p>
    <w:p w14:paraId="195CACA4">
      <w:pPr>
        <w:pStyle w:val="2"/>
        <w:rPr>
          <w:color w:val="auto"/>
        </w:rPr>
      </w:pPr>
      <w:bookmarkStart w:id="6" w:name="_Toc25076"/>
      <w:r>
        <w:rPr>
          <w:color w:val="auto"/>
        </w:rPr>
        <w:t>第二章</w:t>
      </w:r>
      <w:r>
        <w:rPr>
          <w:rFonts w:hint="eastAsia"/>
          <w:color w:val="auto"/>
        </w:rPr>
        <w:t xml:space="preserve"> </w:t>
      </w:r>
      <w:r>
        <w:rPr>
          <w:color w:val="auto"/>
        </w:rPr>
        <w:t>投标人须知</w:t>
      </w:r>
      <w:bookmarkEnd w:id="5"/>
      <w:bookmarkEnd w:id="6"/>
    </w:p>
    <w:p w14:paraId="03D71554">
      <w:pPr>
        <w:pStyle w:val="3"/>
        <w:spacing w:before="0" w:after="0" w:line="240" w:lineRule="auto"/>
        <w:jc w:val="center"/>
        <w:rPr>
          <w:rFonts w:ascii="Times New Roman" w:hAnsi="Times New Roman"/>
          <w:color w:val="auto"/>
        </w:rPr>
      </w:pPr>
      <w:bookmarkStart w:id="7" w:name="_Toc534190076"/>
      <w:r>
        <w:rPr>
          <w:rFonts w:ascii="Times New Roman" w:hAnsi="Times New Roman"/>
          <w:color w:val="auto"/>
        </w:rPr>
        <w:t>投标人须知前附表</w:t>
      </w:r>
      <w:bookmarkEnd w:id="7"/>
    </w:p>
    <w:tbl>
      <w:tblPr>
        <w:tblStyle w:val="37"/>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2234"/>
        <w:gridCol w:w="6777"/>
      </w:tblGrid>
      <w:tr w14:paraId="3478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blHeader/>
          <w:jc w:val="center"/>
        </w:trPr>
        <w:tc>
          <w:tcPr>
            <w:tcW w:w="1167" w:type="dxa"/>
            <w:tcBorders>
              <w:tl2br w:val="nil"/>
              <w:tr2bl w:val="nil"/>
            </w:tcBorders>
            <w:vAlign w:val="center"/>
          </w:tcPr>
          <w:p w14:paraId="41A3D467">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条款号</w:t>
            </w:r>
          </w:p>
        </w:tc>
        <w:tc>
          <w:tcPr>
            <w:tcW w:w="2234" w:type="dxa"/>
            <w:tcBorders>
              <w:tl2br w:val="nil"/>
              <w:tr2bl w:val="nil"/>
            </w:tcBorders>
            <w:vAlign w:val="center"/>
          </w:tcPr>
          <w:p w14:paraId="3FB81D5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条款名称</w:t>
            </w:r>
          </w:p>
        </w:tc>
        <w:tc>
          <w:tcPr>
            <w:tcW w:w="6777" w:type="dxa"/>
            <w:tcBorders>
              <w:tl2br w:val="nil"/>
              <w:tr2bl w:val="nil"/>
            </w:tcBorders>
            <w:vAlign w:val="center"/>
          </w:tcPr>
          <w:p w14:paraId="5A52EB4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编列内容</w:t>
            </w:r>
          </w:p>
        </w:tc>
      </w:tr>
      <w:tr w14:paraId="23E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167" w:type="dxa"/>
            <w:tcBorders>
              <w:tl2br w:val="nil"/>
              <w:tr2bl w:val="nil"/>
            </w:tcBorders>
            <w:vAlign w:val="center"/>
          </w:tcPr>
          <w:p w14:paraId="31E6AB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4709D4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招标人</w:t>
            </w:r>
          </w:p>
        </w:tc>
        <w:tc>
          <w:tcPr>
            <w:tcW w:w="6777" w:type="dxa"/>
            <w:tcBorders>
              <w:tl2br w:val="nil"/>
              <w:tr2bl w:val="nil"/>
            </w:tcBorders>
            <w:vAlign w:val="center"/>
          </w:tcPr>
          <w:p w14:paraId="3F7CFBB3">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招标人：山东福亦盛建筑工程有限公司</w:t>
            </w:r>
          </w:p>
          <w:p w14:paraId="64CF45D4">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 址：菏泽市牡丹区欧亚达商场金二街北货梯4楼04005</w:t>
            </w:r>
          </w:p>
          <w:p w14:paraId="55BAD37C">
            <w:pPr>
              <w:keepNext w:val="0"/>
              <w:keepLines w:val="0"/>
              <w:suppressLineNumbers w:val="0"/>
              <w:tabs>
                <w:tab w:val="left" w:pos="840"/>
              </w:tabs>
              <w:autoSpaceDE w:val="0"/>
              <w:autoSpaceDN w:val="0"/>
              <w:spacing w:before="0" w:beforeAutospacing="0" w:after="0" w:afterAutospacing="0" w:line="420" w:lineRule="exact"/>
              <w:ind w:left="0" w:right="0"/>
              <w:jc w:val="left"/>
              <w:rPr>
                <w:rFonts w:hint="default" w:ascii="仿宋" w:hAnsi="仿宋" w:eastAsia="仿宋" w:cs="仿宋"/>
                <w:color w:val="auto"/>
                <w:sz w:val="24"/>
                <w:szCs w:val="24"/>
                <w:highlight w:val="yellow"/>
                <w:lang w:val="en-US" w:eastAsia="zh-CN"/>
              </w:rPr>
            </w:pPr>
            <w:r>
              <w:rPr>
                <w:rFonts w:hint="eastAsia" w:ascii="仿宋" w:hAnsi="仿宋" w:cs="仿宋"/>
                <w:color w:val="auto"/>
                <w:sz w:val="24"/>
                <w:szCs w:val="24"/>
                <w:highlight w:val="none"/>
                <w:lang w:val="en-US" w:eastAsia="zh-CN"/>
              </w:rPr>
              <w:t>联系人：董安利         电话：17653008848</w:t>
            </w:r>
          </w:p>
        </w:tc>
      </w:tr>
      <w:tr w14:paraId="5EF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1167" w:type="dxa"/>
            <w:tcBorders>
              <w:tl2br w:val="nil"/>
              <w:tr2bl w:val="nil"/>
            </w:tcBorders>
            <w:vAlign w:val="center"/>
          </w:tcPr>
          <w:p w14:paraId="05C9AF7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1785F4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招标代理机构</w:t>
            </w:r>
          </w:p>
        </w:tc>
        <w:tc>
          <w:tcPr>
            <w:tcW w:w="6777" w:type="dxa"/>
            <w:tcBorders>
              <w:tl2br w:val="nil"/>
              <w:tr2bl w:val="nil"/>
            </w:tcBorders>
            <w:vAlign w:val="center"/>
          </w:tcPr>
          <w:p w14:paraId="7968F514">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招标代理机构：</w:t>
            </w:r>
            <w:r>
              <w:rPr>
                <w:rFonts w:hint="eastAsia" w:ascii="仿宋" w:hAnsi="仿宋" w:eastAsia="仿宋" w:cs="仿宋"/>
                <w:bCs/>
                <w:color w:val="auto"/>
                <w:sz w:val="24"/>
                <w:szCs w:val="24"/>
                <w:lang w:val="zh-CN"/>
              </w:rPr>
              <w:t>菏泽圣航工程咨询管理有限公司</w:t>
            </w:r>
          </w:p>
          <w:p w14:paraId="11ED771A">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地址： 菏泽市牡丹区八一路与太原路交叉口西南角</w:t>
            </w:r>
          </w:p>
          <w:p w14:paraId="44BABDD2">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项目负责人</w:t>
            </w:r>
            <w:r>
              <w:rPr>
                <w:rFonts w:hint="eastAsia" w:ascii="仿宋" w:hAnsi="仿宋" w:eastAsia="仿宋" w:cs="仿宋"/>
                <w:bCs/>
                <w:color w:val="auto"/>
                <w:sz w:val="24"/>
                <w:szCs w:val="24"/>
              </w:rPr>
              <w:t>：</w:t>
            </w:r>
            <w:r>
              <w:rPr>
                <w:rFonts w:hint="eastAsia" w:ascii="仿宋" w:hAnsi="仿宋" w:eastAsia="仿宋" w:cs="仿宋"/>
                <w:bCs/>
                <w:color w:val="auto"/>
                <w:sz w:val="24"/>
                <w:szCs w:val="24"/>
              </w:rPr>
              <w:fldChar w:fldCharType="begin"/>
            </w:r>
            <w:r>
              <w:rPr>
                <w:rFonts w:hint="eastAsia" w:ascii="仿宋" w:hAnsi="仿宋" w:eastAsia="仿宋" w:cs="仿宋"/>
                <w:bCs/>
                <w:color w:val="auto"/>
                <w:sz w:val="24"/>
                <w:szCs w:val="24"/>
              </w:rPr>
              <w:instrText xml:space="preserve"> HYPERLINK "https://jzsc.mohurd.gov.cn/data/person/detail?id=002303160131965587" \t "https://jzsc.mohurd.gov.cn/data/company/_blank" </w:instrText>
            </w:r>
            <w:r>
              <w:rPr>
                <w:rFonts w:hint="eastAsia" w:ascii="仿宋" w:hAnsi="仿宋" w:eastAsia="仿宋" w:cs="仿宋"/>
                <w:bCs/>
                <w:color w:val="auto"/>
                <w:sz w:val="24"/>
                <w:szCs w:val="24"/>
              </w:rPr>
              <w:fldChar w:fldCharType="separate"/>
            </w:r>
            <w:r>
              <w:rPr>
                <w:rFonts w:hint="eastAsia" w:ascii="仿宋" w:hAnsi="仿宋" w:eastAsia="仿宋" w:cs="仿宋"/>
                <w:bCs/>
                <w:color w:val="auto"/>
                <w:sz w:val="24"/>
                <w:szCs w:val="24"/>
              </w:rPr>
              <w:t>闫胜舜</w:t>
            </w:r>
            <w:r>
              <w:rPr>
                <w:rFonts w:hint="eastAsia" w:ascii="仿宋" w:hAnsi="仿宋" w:eastAsia="仿宋" w:cs="仿宋"/>
                <w:bCs/>
                <w:color w:val="auto"/>
                <w:sz w:val="24"/>
                <w:szCs w:val="24"/>
              </w:rPr>
              <w:fldChar w:fldCharType="end"/>
            </w:r>
            <w:r>
              <w:rPr>
                <w:rFonts w:hint="eastAsia" w:ascii="仿宋" w:hAnsi="仿宋" w:eastAsia="仿宋" w:cs="仿宋"/>
                <w:bCs/>
                <w:color w:val="auto"/>
                <w:sz w:val="24"/>
                <w:szCs w:val="24"/>
              </w:rPr>
              <w:t xml:space="preserve">    </w:t>
            </w:r>
          </w:p>
          <w:p w14:paraId="0D8CC2E3">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zh-CN"/>
              </w:rPr>
              <w:t>联系方式：</w:t>
            </w:r>
            <w:r>
              <w:rPr>
                <w:rFonts w:hint="eastAsia" w:ascii="仿宋" w:hAnsi="仿宋" w:eastAsia="仿宋" w:cs="仿宋"/>
                <w:bCs/>
                <w:color w:val="auto"/>
                <w:sz w:val="24"/>
                <w:szCs w:val="24"/>
                <w:lang w:val="zh-CN" w:eastAsia="zh-CN"/>
              </w:rPr>
              <w:t>15053017352</w:t>
            </w:r>
          </w:p>
        </w:tc>
      </w:tr>
      <w:tr w14:paraId="521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67" w:type="dxa"/>
            <w:tcBorders>
              <w:tl2br w:val="nil"/>
              <w:tr2bl w:val="nil"/>
            </w:tcBorders>
            <w:vAlign w:val="center"/>
          </w:tcPr>
          <w:p w14:paraId="52C4D06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3</w:t>
            </w:r>
          </w:p>
        </w:tc>
        <w:tc>
          <w:tcPr>
            <w:tcW w:w="2234" w:type="dxa"/>
            <w:tcBorders>
              <w:tl2br w:val="nil"/>
              <w:tr2bl w:val="nil"/>
            </w:tcBorders>
            <w:vAlign w:val="center"/>
          </w:tcPr>
          <w:p w14:paraId="3BF7AE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6777" w:type="dxa"/>
            <w:tcBorders>
              <w:tl2br w:val="nil"/>
              <w:tr2bl w:val="nil"/>
            </w:tcBorders>
            <w:vAlign w:val="center"/>
          </w:tcPr>
          <w:p w14:paraId="50AFA96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val="en-US" w:eastAsia="zh-CN"/>
              </w:rPr>
            </w:pPr>
            <w:r>
              <w:rPr>
                <w:rFonts w:hint="eastAsia" w:ascii="仿宋" w:hAnsi="仿宋" w:cs="仿宋"/>
                <w:color w:val="auto"/>
                <w:sz w:val="24"/>
                <w:szCs w:val="24"/>
                <w:lang w:val="en-US" w:eastAsia="zh-CN"/>
              </w:rPr>
              <w:t>牡丹区</w:t>
            </w:r>
            <w:r>
              <w:rPr>
                <w:rFonts w:hint="eastAsia" w:ascii="仿宋" w:hAnsi="仿宋" w:cs="仿宋"/>
                <w:color w:val="auto"/>
                <w:sz w:val="24"/>
                <w:szCs w:val="24"/>
                <w:lang w:eastAsia="zh-CN"/>
              </w:rPr>
              <w:t>大千嘉园</w:t>
            </w:r>
            <w:r>
              <w:rPr>
                <w:rFonts w:hint="eastAsia" w:ascii="仿宋" w:hAnsi="仿宋" w:cs="仿宋"/>
                <w:color w:val="auto"/>
                <w:sz w:val="24"/>
                <w:szCs w:val="24"/>
                <w:lang w:val="en-US" w:eastAsia="zh-CN"/>
              </w:rPr>
              <w:t>安置区</w:t>
            </w:r>
            <w:r>
              <w:rPr>
                <w:rFonts w:hint="eastAsia" w:ascii="仿宋" w:hAnsi="仿宋" w:cs="仿宋"/>
                <w:color w:val="auto"/>
                <w:sz w:val="24"/>
                <w:szCs w:val="24"/>
                <w:lang w:eastAsia="zh-CN"/>
              </w:rPr>
              <w:t>项目电梯工程</w:t>
            </w:r>
          </w:p>
        </w:tc>
      </w:tr>
      <w:tr w14:paraId="4447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167" w:type="dxa"/>
            <w:tcBorders>
              <w:tl2br w:val="nil"/>
              <w:tr2bl w:val="nil"/>
            </w:tcBorders>
            <w:vAlign w:val="center"/>
          </w:tcPr>
          <w:p w14:paraId="7D707BB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4</w:t>
            </w:r>
          </w:p>
        </w:tc>
        <w:tc>
          <w:tcPr>
            <w:tcW w:w="2234" w:type="dxa"/>
            <w:tcBorders>
              <w:tl2br w:val="nil"/>
              <w:tr2bl w:val="nil"/>
            </w:tcBorders>
            <w:vAlign w:val="center"/>
          </w:tcPr>
          <w:p w14:paraId="0D470E0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建设地点</w:t>
            </w:r>
          </w:p>
        </w:tc>
        <w:tc>
          <w:tcPr>
            <w:tcW w:w="6777" w:type="dxa"/>
            <w:tcBorders>
              <w:tl2br w:val="nil"/>
              <w:tr2bl w:val="nil"/>
            </w:tcBorders>
            <w:vAlign w:val="center"/>
          </w:tcPr>
          <w:p w14:paraId="46F2893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菏泽市牡丹区，南邻长江路、东临点将台路</w:t>
            </w:r>
          </w:p>
        </w:tc>
      </w:tr>
      <w:tr w14:paraId="26D6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7FD4F9A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1.1.</w:t>
            </w:r>
            <w:r>
              <w:rPr>
                <w:rFonts w:hint="eastAsia" w:ascii="仿宋" w:hAnsi="仿宋" w:cs="仿宋"/>
                <w:color w:val="auto"/>
                <w:sz w:val="24"/>
                <w:szCs w:val="24"/>
                <w:lang w:val="en-US" w:bidi="zh-CN"/>
              </w:rPr>
              <w:t>5</w:t>
            </w:r>
          </w:p>
        </w:tc>
        <w:tc>
          <w:tcPr>
            <w:tcW w:w="2234" w:type="dxa"/>
            <w:tcBorders>
              <w:tl2br w:val="nil"/>
              <w:tr2bl w:val="nil"/>
            </w:tcBorders>
            <w:vAlign w:val="center"/>
          </w:tcPr>
          <w:p w14:paraId="1DE8FAF5">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项目规模</w:t>
            </w:r>
          </w:p>
        </w:tc>
        <w:tc>
          <w:tcPr>
            <w:tcW w:w="6777" w:type="dxa"/>
            <w:tcBorders>
              <w:tl2br w:val="nil"/>
              <w:tr2bl w:val="nil"/>
            </w:tcBorders>
            <w:vAlign w:val="center"/>
          </w:tcPr>
          <w:p w14:paraId="16F6D6F3">
            <w:pPr>
              <w:keepNext w:val="0"/>
              <w:keepLines w:val="0"/>
              <w:suppressLineNumbers w:val="0"/>
              <w:autoSpaceDE w:val="0"/>
              <w:autoSpaceDN w:val="0"/>
              <w:spacing w:before="0" w:beforeAutospacing="0" w:after="0" w:afterAutospacing="0" w:line="500" w:lineRule="exact"/>
              <w:ind w:left="0" w:right="0"/>
              <w:rPr>
                <w:rFonts w:hint="eastAsia" w:ascii="仿宋" w:hAnsi="仿宋" w:eastAsia="仿宋" w:cs="仿宋"/>
                <w:color w:val="auto"/>
                <w:sz w:val="24"/>
                <w:szCs w:val="24"/>
                <w:lang w:bidi="zh-CN"/>
              </w:rPr>
            </w:pPr>
            <w:r>
              <w:rPr>
                <w:rFonts w:hint="eastAsia" w:ascii="仿宋" w:hAnsi="仿宋" w:eastAsia="仿宋" w:cs="仿宋"/>
                <w:color w:val="auto"/>
                <w:sz w:val="24"/>
                <w:szCs w:val="24"/>
                <w:lang w:bidi="zh-CN"/>
              </w:rPr>
              <w:t>本项目位于菏泽市牡丹区，南邻长江路、东临点将台路</w:t>
            </w:r>
            <w:r>
              <w:rPr>
                <w:rFonts w:hint="eastAsia" w:ascii="仿宋" w:hAnsi="仿宋" w:eastAsia="仿宋" w:cs="仿宋"/>
                <w:color w:val="auto"/>
                <w:sz w:val="24"/>
                <w:szCs w:val="24"/>
                <w:lang w:eastAsia="zh-CN" w:bidi="zh-CN"/>
              </w:rPr>
              <w:t>。</w:t>
            </w:r>
            <w:r>
              <w:rPr>
                <w:rFonts w:hint="eastAsia" w:ascii="仿宋" w:hAnsi="仿宋" w:eastAsia="仿宋" w:cs="仿宋"/>
                <w:color w:val="auto"/>
                <w:sz w:val="24"/>
                <w:szCs w:val="24"/>
                <w:lang w:bidi="zh-CN"/>
              </w:rPr>
              <w:t>主要内容</w:t>
            </w:r>
            <w:r>
              <w:rPr>
                <w:rFonts w:hint="eastAsia" w:ascii="仿宋" w:hAnsi="仿宋" w:eastAsia="仿宋" w:cs="仿宋"/>
                <w:color w:val="auto"/>
                <w:sz w:val="24"/>
                <w:szCs w:val="24"/>
                <w:lang w:val="zh-CN" w:eastAsia="zh-CN" w:bidi="zh-CN"/>
              </w:rPr>
              <w:t>大千嘉园建筑项目</w:t>
            </w:r>
            <w:r>
              <w:rPr>
                <w:rFonts w:hint="eastAsia" w:ascii="仿宋" w:hAnsi="仿宋" w:cs="仿宋"/>
                <w:color w:val="auto"/>
                <w:sz w:val="24"/>
                <w:szCs w:val="24"/>
                <w:lang w:val="en-US" w:eastAsia="zh-CN" w:bidi="zh-CN"/>
              </w:rPr>
              <w:t>一期</w:t>
            </w:r>
            <w:r>
              <w:rPr>
                <w:rFonts w:hint="eastAsia" w:ascii="仿宋" w:hAnsi="仿宋" w:eastAsia="仿宋" w:cs="仿宋"/>
                <w:color w:val="auto"/>
                <w:sz w:val="24"/>
                <w:szCs w:val="24"/>
                <w:lang w:val="zh-CN" w:eastAsia="zh-CN" w:bidi="zh-CN"/>
              </w:rPr>
              <w:t>电梯工程</w:t>
            </w:r>
            <w:r>
              <w:rPr>
                <w:rFonts w:hint="eastAsia" w:ascii="仿宋" w:hAnsi="仿宋" w:cs="仿宋"/>
                <w:color w:val="auto"/>
                <w:sz w:val="24"/>
                <w:szCs w:val="24"/>
                <w:lang w:val="zh-CN" w:eastAsia="zh-CN" w:bidi="zh-CN"/>
              </w:rPr>
              <w:t>。</w:t>
            </w:r>
          </w:p>
        </w:tc>
      </w:tr>
      <w:tr w14:paraId="18BD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167" w:type="dxa"/>
            <w:tcBorders>
              <w:tl2br w:val="nil"/>
              <w:tr2bl w:val="nil"/>
            </w:tcBorders>
            <w:vAlign w:val="center"/>
          </w:tcPr>
          <w:p w14:paraId="0C2AF9C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1.2.1</w:t>
            </w:r>
          </w:p>
        </w:tc>
        <w:tc>
          <w:tcPr>
            <w:tcW w:w="2234" w:type="dxa"/>
            <w:tcBorders>
              <w:tl2br w:val="nil"/>
              <w:tr2bl w:val="nil"/>
            </w:tcBorders>
            <w:vAlign w:val="center"/>
          </w:tcPr>
          <w:p w14:paraId="313E908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6777" w:type="dxa"/>
            <w:tcBorders>
              <w:tl2br w:val="nil"/>
              <w:tr2bl w:val="nil"/>
            </w:tcBorders>
            <w:vAlign w:val="center"/>
          </w:tcPr>
          <w:p w14:paraId="06AC9C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自筹资金</w:t>
            </w:r>
          </w:p>
        </w:tc>
      </w:tr>
      <w:tr w14:paraId="419D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67" w:type="dxa"/>
            <w:tcBorders>
              <w:tl2br w:val="nil"/>
              <w:tr2bl w:val="nil"/>
            </w:tcBorders>
            <w:vAlign w:val="center"/>
          </w:tcPr>
          <w:p w14:paraId="2D49726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1.2.2</w:t>
            </w:r>
          </w:p>
        </w:tc>
        <w:tc>
          <w:tcPr>
            <w:tcW w:w="2234" w:type="dxa"/>
            <w:tcBorders>
              <w:tl2br w:val="nil"/>
              <w:tr2bl w:val="nil"/>
            </w:tcBorders>
            <w:vAlign w:val="center"/>
          </w:tcPr>
          <w:p w14:paraId="41D460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资金落实情况</w:t>
            </w:r>
          </w:p>
        </w:tc>
        <w:tc>
          <w:tcPr>
            <w:tcW w:w="6777" w:type="dxa"/>
            <w:tcBorders>
              <w:tl2br w:val="nil"/>
              <w:tr2bl w:val="nil"/>
            </w:tcBorders>
            <w:vAlign w:val="center"/>
          </w:tcPr>
          <w:p w14:paraId="0E4BEE5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已落实</w:t>
            </w:r>
          </w:p>
        </w:tc>
      </w:tr>
      <w:tr w14:paraId="37DD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7C6CA1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1.3.1</w:t>
            </w:r>
          </w:p>
        </w:tc>
        <w:tc>
          <w:tcPr>
            <w:tcW w:w="2234" w:type="dxa"/>
            <w:tcBorders>
              <w:tl2br w:val="nil"/>
              <w:tr2bl w:val="nil"/>
            </w:tcBorders>
          </w:tcPr>
          <w:p w14:paraId="36BA10A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p>
          <w:p w14:paraId="406C7B3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p>
          <w:p w14:paraId="3052D06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招标范围</w:t>
            </w:r>
          </w:p>
        </w:tc>
        <w:tc>
          <w:tcPr>
            <w:tcW w:w="6777" w:type="dxa"/>
            <w:tcBorders>
              <w:tl2br w:val="nil"/>
              <w:tr2bl w:val="nil"/>
            </w:tcBorders>
          </w:tcPr>
          <w:p w14:paraId="545BA4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eastAsia="zh-CN"/>
              </w:rPr>
              <w:t>大千嘉园建筑项目一期电梯工程，主要包括共1#2#3#4#5#6#7#8#9#19#楼的电梯，共26部。包括所有电梯设备采购、运输、保管、安装及调试等。包括电梯施工全部内容，包含但不限于设备采购、加工生产、运输、保管、装卸、安装、调试、试运行、检测、验收（包括商检部门、技术监督局检验）、培训、技术服务、税金，直到取得电梯运行许可证交给招标人使用以及在质量保证期内发生的任何缺陷修复。</w:t>
            </w:r>
          </w:p>
        </w:tc>
      </w:tr>
      <w:tr w14:paraId="0850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167" w:type="dxa"/>
            <w:tcBorders>
              <w:tl2br w:val="nil"/>
              <w:tr2bl w:val="nil"/>
            </w:tcBorders>
            <w:vAlign w:val="center"/>
          </w:tcPr>
          <w:p w14:paraId="1638980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1.3.2</w:t>
            </w:r>
          </w:p>
        </w:tc>
        <w:tc>
          <w:tcPr>
            <w:tcW w:w="2234" w:type="dxa"/>
            <w:tcBorders>
              <w:tl2br w:val="nil"/>
              <w:tr2bl w:val="nil"/>
            </w:tcBorders>
            <w:vAlign w:val="center"/>
          </w:tcPr>
          <w:p w14:paraId="3BA14A5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计划工期</w:t>
            </w:r>
          </w:p>
        </w:tc>
        <w:tc>
          <w:tcPr>
            <w:tcW w:w="6777" w:type="dxa"/>
            <w:tcBorders>
              <w:tl2br w:val="nil"/>
              <w:tr2bl w:val="nil"/>
            </w:tcBorders>
            <w:vAlign w:val="center"/>
          </w:tcPr>
          <w:p w14:paraId="21D801F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SA"/>
              </w:rPr>
              <w:t>电梯工程计划工期为100天，其中制造45天、按装45天，每期电梯工程不超过100日历天</w:t>
            </w:r>
          </w:p>
        </w:tc>
      </w:tr>
      <w:tr w14:paraId="3520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167" w:type="dxa"/>
            <w:tcBorders>
              <w:tl2br w:val="nil"/>
              <w:tr2bl w:val="nil"/>
            </w:tcBorders>
            <w:vAlign w:val="center"/>
          </w:tcPr>
          <w:p w14:paraId="7061C2E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1.3.3</w:t>
            </w:r>
          </w:p>
        </w:tc>
        <w:tc>
          <w:tcPr>
            <w:tcW w:w="2234" w:type="dxa"/>
            <w:tcBorders>
              <w:tl2br w:val="nil"/>
              <w:tr2bl w:val="nil"/>
            </w:tcBorders>
            <w:vAlign w:val="center"/>
          </w:tcPr>
          <w:p w14:paraId="256DF55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质量要求</w:t>
            </w:r>
          </w:p>
        </w:tc>
        <w:tc>
          <w:tcPr>
            <w:tcW w:w="6777" w:type="dxa"/>
            <w:tcBorders>
              <w:tl2br w:val="nil"/>
              <w:tr2bl w:val="nil"/>
            </w:tcBorders>
            <w:vAlign w:val="center"/>
          </w:tcPr>
          <w:p w14:paraId="1F58BFE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符合国家、省、市或行业相关最新规定标准和招标人要求</w:t>
            </w:r>
            <w:r>
              <w:rPr>
                <w:rFonts w:hint="eastAsia" w:ascii="仿宋" w:hAnsi="仿宋" w:eastAsia="仿宋" w:cs="仿宋"/>
                <w:color w:val="auto"/>
                <w:sz w:val="24"/>
                <w:szCs w:val="24"/>
              </w:rPr>
              <w:t>。</w:t>
            </w:r>
          </w:p>
        </w:tc>
      </w:tr>
      <w:tr w14:paraId="445E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67" w:type="dxa"/>
            <w:tcBorders>
              <w:tl2br w:val="nil"/>
              <w:tr2bl w:val="nil"/>
            </w:tcBorders>
            <w:vAlign w:val="center"/>
          </w:tcPr>
          <w:p w14:paraId="1397A4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1.4.1</w:t>
            </w:r>
          </w:p>
        </w:tc>
        <w:tc>
          <w:tcPr>
            <w:tcW w:w="2234" w:type="dxa"/>
            <w:tcBorders>
              <w:tl2br w:val="nil"/>
              <w:tr2bl w:val="nil"/>
            </w:tcBorders>
            <w:vAlign w:val="center"/>
          </w:tcPr>
          <w:p w14:paraId="4B6CE05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投标人资格要求</w:t>
            </w:r>
          </w:p>
        </w:tc>
        <w:tc>
          <w:tcPr>
            <w:tcW w:w="6777" w:type="dxa"/>
            <w:tcBorders>
              <w:tl2br w:val="nil"/>
              <w:tr2bl w:val="nil"/>
            </w:tcBorders>
            <w:vAlign w:val="center"/>
          </w:tcPr>
          <w:p w14:paraId="58FE9B6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详见招标公告</w:t>
            </w:r>
          </w:p>
        </w:tc>
      </w:tr>
      <w:tr w14:paraId="71B2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67" w:type="dxa"/>
            <w:tcBorders>
              <w:tl2br w:val="nil"/>
              <w:tr2bl w:val="nil"/>
            </w:tcBorders>
            <w:vAlign w:val="center"/>
          </w:tcPr>
          <w:p w14:paraId="3F34899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.1</w:t>
            </w:r>
          </w:p>
        </w:tc>
        <w:tc>
          <w:tcPr>
            <w:tcW w:w="2234" w:type="dxa"/>
            <w:tcBorders>
              <w:tl2br w:val="nil"/>
              <w:tr2bl w:val="nil"/>
            </w:tcBorders>
            <w:vAlign w:val="center"/>
          </w:tcPr>
          <w:p w14:paraId="7D2DF54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踏勘现场</w:t>
            </w:r>
          </w:p>
        </w:tc>
        <w:tc>
          <w:tcPr>
            <w:tcW w:w="6777" w:type="dxa"/>
            <w:tcBorders>
              <w:tl2br w:val="nil"/>
              <w:tr2bl w:val="nil"/>
            </w:tcBorders>
            <w:vAlign w:val="center"/>
          </w:tcPr>
          <w:p w14:paraId="5F014D9A">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b/>
                <w:bCs/>
                <w:color w:val="auto"/>
                <w:kern w:val="0"/>
                <w:sz w:val="24"/>
                <w:szCs w:val="24"/>
              </w:rPr>
              <w:t>不组织，自行踏勘。</w:t>
            </w:r>
            <w:r>
              <w:rPr>
                <w:rFonts w:hint="eastAsia" w:ascii="仿宋" w:hAnsi="仿宋" w:eastAsia="仿宋" w:cs="仿宋"/>
                <w:color w:val="auto"/>
                <w:kern w:val="0"/>
                <w:sz w:val="24"/>
                <w:szCs w:val="24"/>
              </w:rPr>
              <w:t>请投标人自行踏勘现场，充分了解现场条件，包括现场周围环境、设施设备现有状况以及其他足以影响投标报价的主客观因素。勘察现场所发生的费用由投标人自行承担。招标人在踏勘现场中介绍的相关情况，仅供投标人在编制投标文件时参考，招标人不对投标人据此作出的判断和决策负责。投标人未到现场实地勘察的，中标后签订合同时和履约过程中，不得以不完全了解现场情况为由，提出任何形式的增加合同价款或索赔的要求。</w:t>
            </w:r>
          </w:p>
        </w:tc>
      </w:tr>
      <w:tr w14:paraId="4319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3A5877F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.1</w:t>
            </w:r>
          </w:p>
        </w:tc>
        <w:tc>
          <w:tcPr>
            <w:tcW w:w="2234" w:type="dxa"/>
            <w:tcBorders>
              <w:tl2br w:val="nil"/>
              <w:tr2bl w:val="nil"/>
            </w:tcBorders>
            <w:vAlign w:val="center"/>
          </w:tcPr>
          <w:p w14:paraId="7623E2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投标预备会</w:t>
            </w:r>
          </w:p>
        </w:tc>
        <w:tc>
          <w:tcPr>
            <w:tcW w:w="6777" w:type="dxa"/>
            <w:tcBorders>
              <w:tl2br w:val="nil"/>
              <w:tr2bl w:val="nil"/>
            </w:tcBorders>
            <w:vAlign w:val="center"/>
          </w:tcPr>
          <w:p w14:paraId="11717AD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不召开</w:t>
            </w:r>
          </w:p>
        </w:tc>
      </w:tr>
      <w:tr w14:paraId="7EA1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020E30F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287A6DB">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投标人提出问题的</w:t>
            </w:r>
          </w:p>
          <w:p w14:paraId="32A0908D">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截止时间</w:t>
            </w:r>
          </w:p>
        </w:tc>
        <w:tc>
          <w:tcPr>
            <w:tcW w:w="6777" w:type="dxa"/>
            <w:tcBorders>
              <w:tl2br w:val="nil"/>
              <w:tr2bl w:val="nil"/>
            </w:tcBorders>
            <w:vAlign w:val="center"/>
          </w:tcPr>
          <w:p w14:paraId="795BCBB3">
            <w:pPr>
              <w:keepNext w:val="0"/>
              <w:keepLines w:val="0"/>
              <w:suppressLineNumbers w:val="0"/>
              <w:tabs>
                <w:tab w:val="left" w:pos="1758"/>
              </w:tabs>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潜在投标人如对招标文件有疑问或异议的，可以在投标截止时间前10日前</w:t>
            </w:r>
            <w:r>
              <w:rPr>
                <w:rFonts w:hint="eastAsia" w:ascii="仿宋" w:hAnsi="仿宋" w:eastAsia="仿宋" w:cs="仿宋"/>
                <w:color w:val="auto"/>
                <w:sz w:val="24"/>
                <w:szCs w:val="24"/>
                <w:lang w:val="zh-CN"/>
              </w:rPr>
              <w:t>将需要澄清的问题以加盖单位公章</w:t>
            </w:r>
            <w:r>
              <w:rPr>
                <w:rFonts w:hint="eastAsia" w:ascii="仿宋" w:hAnsi="仿宋" w:eastAsia="仿宋" w:cs="仿宋"/>
                <w:color w:val="auto"/>
                <w:sz w:val="24"/>
                <w:szCs w:val="24"/>
              </w:rPr>
              <w:t>的</w:t>
            </w:r>
            <w:r>
              <w:rPr>
                <w:rFonts w:hint="eastAsia" w:ascii="仿宋" w:hAnsi="仿宋" w:eastAsia="仿宋" w:cs="仿宋"/>
                <w:color w:val="auto"/>
                <w:sz w:val="24"/>
                <w:szCs w:val="24"/>
                <w:lang w:val="zh-CN"/>
              </w:rPr>
              <w:t>文本形式</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发送电子邮件</w:t>
            </w:r>
            <w:r>
              <w:rPr>
                <w:rFonts w:hint="eastAsia" w:ascii="仿宋" w:hAnsi="仿宋" w:eastAsia="仿宋" w:cs="仿宋"/>
                <w:color w:val="auto"/>
                <w:sz w:val="24"/>
                <w:szCs w:val="24"/>
              </w:rPr>
              <w:t>至hzshgczx @163.com</w:t>
            </w:r>
            <w:r>
              <w:rPr>
                <w:rFonts w:hint="eastAsia" w:ascii="仿宋" w:hAnsi="仿宋" w:eastAsia="仿宋" w:cs="仿宋"/>
                <w:color w:val="auto"/>
                <w:sz w:val="24"/>
                <w:szCs w:val="24"/>
                <w:lang w:val="zh-CN"/>
              </w:rPr>
              <w:t>并电话通知</w:t>
            </w:r>
            <w:r>
              <w:rPr>
                <w:rFonts w:hint="eastAsia" w:ascii="仿宋" w:hAnsi="仿宋" w:eastAsia="仿宋" w:cs="仿宋"/>
                <w:color w:val="auto"/>
                <w:sz w:val="24"/>
                <w:szCs w:val="24"/>
              </w:rPr>
              <w:t>招标</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w:t>
            </w:r>
          </w:p>
        </w:tc>
      </w:tr>
      <w:tr w14:paraId="02FA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055F4583">
            <w:pPr>
              <w:keepNext w:val="0"/>
              <w:keepLines w:val="0"/>
              <w:suppressLineNumbers w:val="0"/>
              <w:autoSpaceDE w:val="0"/>
              <w:autoSpaceDN w:val="0"/>
              <w:adjustRightInd w:val="0"/>
              <w:spacing w:before="0" w:beforeAutospacing="0" w:after="0" w:afterAutospacing="0" w:line="440" w:lineRule="exact"/>
              <w:ind w:left="0" w:right="0"/>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1.</w:t>
            </w:r>
            <w:r>
              <w:rPr>
                <w:rFonts w:hint="eastAsia" w:ascii="仿宋" w:hAnsi="仿宋" w:cs="仿宋"/>
                <w:color w:val="auto"/>
                <w:kern w:val="0"/>
                <w:sz w:val="24"/>
                <w:szCs w:val="24"/>
                <w:lang w:val="en-US" w:eastAsia="zh-CN"/>
              </w:rPr>
              <w:t>8.1</w:t>
            </w:r>
          </w:p>
        </w:tc>
        <w:tc>
          <w:tcPr>
            <w:tcW w:w="2234" w:type="dxa"/>
            <w:tcBorders>
              <w:tl2br w:val="nil"/>
              <w:tr2bl w:val="nil"/>
            </w:tcBorders>
            <w:vAlign w:val="center"/>
          </w:tcPr>
          <w:p w14:paraId="478062C2">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转包、分包</w:t>
            </w:r>
          </w:p>
        </w:tc>
        <w:tc>
          <w:tcPr>
            <w:tcW w:w="6777" w:type="dxa"/>
            <w:tcBorders>
              <w:tl2br w:val="nil"/>
              <w:tr2bl w:val="nil"/>
            </w:tcBorders>
            <w:vAlign w:val="center"/>
          </w:tcPr>
          <w:p w14:paraId="72912729">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不允许转包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未经业主批准</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中标人不得擅自分包。</w:t>
            </w:r>
          </w:p>
        </w:tc>
      </w:tr>
      <w:tr w14:paraId="159C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5FF6FE5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9.1</w:t>
            </w:r>
          </w:p>
        </w:tc>
        <w:tc>
          <w:tcPr>
            <w:tcW w:w="2234" w:type="dxa"/>
            <w:tcBorders>
              <w:tl2br w:val="nil"/>
              <w:tr2bl w:val="nil"/>
            </w:tcBorders>
            <w:vAlign w:val="center"/>
          </w:tcPr>
          <w:p w14:paraId="158CDB3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w:t>
            </w:r>
          </w:p>
        </w:tc>
        <w:tc>
          <w:tcPr>
            <w:tcW w:w="6777" w:type="dxa"/>
            <w:tcBorders>
              <w:tl2br w:val="nil"/>
              <w:tr2bl w:val="nil"/>
            </w:tcBorders>
            <w:vAlign w:val="center"/>
          </w:tcPr>
          <w:p w14:paraId="6E220447">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tc>
      </w:tr>
      <w:tr w14:paraId="156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167" w:type="dxa"/>
            <w:tcBorders>
              <w:tl2br w:val="nil"/>
              <w:tr2bl w:val="nil"/>
            </w:tcBorders>
            <w:vAlign w:val="center"/>
          </w:tcPr>
          <w:p w14:paraId="3CCFCDF3">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2.1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37CF74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构成招标文件的其他材料</w:t>
            </w:r>
          </w:p>
        </w:tc>
        <w:tc>
          <w:tcPr>
            <w:tcW w:w="6777" w:type="dxa"/>
            <w:tcBorders>
              <w:tl2br w:val="nil"/>
              <w:tr2bl w:val="nil"/>
            </w:tcBorders>
            <w:vAlign w:val="center"/>
          </w:tcPr>
          <w:p w14:paraId="489DEFA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招标文件、</w:t>
            </w:r>
            <w:r>
              <w:rPr>
                <w:rFonts w:hint="eastAsia" w:ascii="仿宋" w:hAnsi="仿宋" w:cs="仿宋"/>
                <w:color w:val="auto"/>
                <w:sz w:val="24"/>
                <w:szCs w:val="24"/>
                <w:lang w:val="en-US" w:eastAsia="zh-CN"/>
              </w:rPr>
              <w:t>设计文件、</w:t>
            </w:r>
            <w:r>
              <w:rPr>
                <w:rFonts w:hint="eastAsia" w:ascii="仿宋" w:hAnsi="仿宋" w:eastAsia="仿宋" w:cs="仿宋"/>
                <w:color w:val="auto"/>
                <w:sz w:val="24"/>
                <w:szCs w:val="24"/>
              </w:rPr>
              <w:t>工程量清单、图纸、答疑文件（如有）等</w:t>
            </w:r>
          </w:p>
        </w:tc>
      </w:tr>
      <w:tr w14:paraId="0321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67" w:type="dxa"/>
            <w:tcBorders>
              <w:tl2br w:val="nil"/>
              <w:tr2bl w:val="nil"/>
            </w:tcBorders>
            <w:vAlign w:val="center"/>
          </w:tcPr>
          <w:p w14:paraId="385E80E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2.2.1</w:t>
            </w:r>
          </w:p>
        </w:tc>
        <w:tc>
          <w:tcPr>
            <w:tcW w:w="2234" w:type="dxa"/>
            <w:tcBorders>
              <w:tl2br w:val="nil"/>
              <w:tr2bl w:val="nil"/>
            </w:tcBorders>
            <w:vAlign w:val="center"/>
          </w:tcPr>
          <w:p w14:paraId="2BB3DA4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投标人要求澄清招标文件的截止时间及方式</w:t>
            </w:r>
          </w:p>
        </w:tc>
        <w:tc>
          <w:tcPr>
            <w:tcW w:w="6777" w:type="dxa"/>
            <w:tcBorders>
              <w:tl2br w:val="nil"/>
              <w:tr2bl w:val="nil"/>
            </w:tcBorders>
            <w:vAlign w:val="center"/>
          </w:tcPr>
          <w:p w14:paraId="6C9982E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val="zh-CN" w:bidi="zh-CN"/>
              </w:rPr>
              <w:t>投标人应于投标截止时间</w:t>
            </w:r>
            <w:r>
              <w:rPr>
                <w:rFonts w:hint="eastAsia" w:ascii="仿宋" w:hAnsi="仿宋" w:eastAsia="仿宋" w:cs="仿宋"/>
                <w:color w:val="auto"/>
                <w:sz w:val="24"/>
                <w:szCs w:val="24"/>
                <w:lang w:bidi="zh-CN"/>
              </w:rPr>
              <w:t>15</w:t>
            </w:r>
            <w:r>
              <w:rPr>
                <w:rFonts w:hint="eastAsia" w:ascii="仿宋" w:hAnsi="仿宋" w:eastAsia="仿宋" w:cs="仿宋"/>
                <w:color w:val="auto"/>
                <w:sz w:val="24"/>
                <w:szCs w:val="24"/>
                <w:lang w:val="zh-CN" w:bidi="zh-CN"/>
              </w:rPr>
              <w:t>日前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将需要澄清的问题以加盖单位公章</w:t>
            </w:r>
            <w:r>
              <w:rPr>
                <w:rFonts w:hint="eastAsia" w:ascii="仿宋" w:hAnsi="仿宋" w:eastAsia="仿宋" w:cs="仿宋"/>
                <w:color w:val="auto"/>
                <w:sz w:val="24"/>
                <w:szCs w:val="24"/>
                <w:lang w:bidi="zh-CN"/>
              </w:rPr>
              <w:t>的</w:t>
            </w:r>
            <w:r>
              <w:rPr>
                <w:rFonts w:hint="eastAsia" w:ascii="仿宋" w:hAnsi="仿宋" w:eastAsia="仿宋" w:cs="仿宋"/>
                <w:color w:val="auto"/>
                <w:sz w:val="24"/>
                <w:szCs w:val="24"/>
                <w:lang w:val="zh-CN" w:bidi="zh-CN"/>
              </w:rPr>
              <w:t>文本形式</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发送电子邮件</w:t>
            </w:r>
            <w:r>
              <w:rPr>
                <w:rFonts w:hint="eastAsia" w:ascii="仿宋" w:hAnsi="仿宋" w:eastAsia="仿宋" w:cs="仿宋"/>
                <w:color w:val="auto"/>
                <w:sz w:val="24"/>
                <w:szCs w:val="24"/>
                <w:lang w:bidi="zh-CN"/>
              </w:rPr>
              <w:t>至hzshgczx @163.com</w:t>
            </w:r>
            <w:r>
              <w:rPr>
                <w:rFonts w:hint="eastAsia" w:ascii="仿宋" w:hAnsi="仿宋" w:eastAsia="仿宋" w:cs="仿宋"/>
                <w:color w:val="auto"/>
                <w:sz w:val="24"/>
                <w:szCs w:val="24"/>
                <w:lang w:val="zh-CN" w:bidi="zh-CN"/>
              </w:rPr>
              <w:t>并电话通知</w:t>
            </w:r>
            <w:r>
              <w:rPr>
                <w:rFonts w:hint="eastAsia" w:ascii="仿宋" w:hAnsi="仿宋" w:eastAsia="仿宋" w:cs="仿宋"/>
                <w:color w:val="auto"/>
                <w:sz w:val="24"/>
                <w:szCs w:val="24"/>
                <w:lang w:bidi="zh-CN"/>
              </w:rPr>
              <w:t>招标</w:t>
            </w:r>
            <w:r>
              <w:rPr>
                <w:rFonts w:hint="eastAsia" w:ascii="仿宋" w:hAnsi="仿宋" w:eastAsia="仿宋" w:cs="仿宋"/>
                <w:color w:val="auto"/>
                <w:sz w:val="24"/>
                <w:szCs w:val="24"/>
                <w:lang w:val="zh-CN" w:bidi="zh-CN"/>
              </w:rPr>
              <w:t>代理机构</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逾期任何问题不作答复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并视为无需要澄清的问</w:t>
            </w:r>
            <w:r>
              <w:rPr>
                <w:rFonts w:hint="eastAsia" w:ascii="仿宋" w:hAnsi="仿宋" w:eastAsia="仿宋" w:cs="仿宋"/>
                <w:color w:val="auto"/>
                <w:sz w:val="24"/>
                <w:szCs w:val="24"/>
                <w:lang w:bidi="zh-CN"/>
              </w:rPr>
              <w:t>题。</w:t>
            </w:r>
          </w:p>
        </w:tc>
      </w:tr>
      <w:tr w14:paraId="133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167" w:type="dxa"/>
            <w:tcBorders>
              <w:tl2br w:val="nil"/>
              <w:tr2bl w:val="nil"/>
            </w:tcBorders>
            <w:vAlign w:val="center"/>
          </w:tcPr>
          <w:p w14:paraId="0F83DF2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2.2.2</w:t>
            </w:r>
          </w:p>
        </w:tc>
        <w:tc>
          <w:tcPr>
            <w:tcW w:w="2234" w:type="dxa"/>
            <w:tcBorders>
              <w:tl2br w:val="nil"/>
              <w:tr2bl w:val="nil"/>
            </w:tcBorders>
            <w:vAlign w:val="center"/>
          </w:tcPr>
          <w:p w14:paraId="0E91282F">
            <w:pPr>
              <w:keepNext w:val="0"/>
              <w:keepLines w:val="0"/>
              <w:suppressLineNumbers w:val="0"/>
              <w:spacing w:before="0" w:beforeAutospacing="0" w:after="0" w:afterAutospacing="0" w:line="500" w:lineRule="exact"/>
              <w:ind w:left="0" w:right="0"/>
              <w:jc w:val="center"/>
              <w:rPr>
                <w:rFonts w:hint="eastAsia" w:ascii="仿宋" w:hAnsi="仿宋" w:eastAsia="仿宋" w:cs="仿宋"/>
                <w:b/>
                <w:bCs/>
                <w:color w:val="auto"/>
                <w:sz w:val="24"/>
                <w:szCs w:val="24"/>
              </w:rPr>
            </w:pPr>
            <w:r>
              <w:rPr>
                <w:rFonts w:hint="eastAsia" w:ascii="仿宋" w:hAnsi="仿宋" w:eastAsia="仿宋" w:cs="仿宋"/>
                <w:color w:val="auto"/>
                <w:sz w:val="24"/>
                <w:szCs w:val="24"/>
              </w:rPr>
              <w:t>招标人对招标文件进行澄清或修改</w:t>
            </w:r>
          </w:p>
        </w:tc>
        <w:tc>
          <w:tcPr>
            <w:tcW w:w="6777" w:type="dxa"/>
            <w:tcBorders>
              <w:tl2br w:val="nil"/>
              <w:tr2bl w:val="nil"/>
            </w:tcBorders>
            <w:vAlign w:val="center"/>
          </w:tcPr>
          <w:p w14:paraId="24A3B624">
            <w:pPr>
              <w:keepNext w:val="0"/>
              <w:keepLines w:val="0"/>
              <w:suppressLineNumbers w:val="0"/>
              <w:spacing w:before="0" w:beforeAutospacing="0" w:after="0" w:afterAutospacing="0" w:line="500" w:lineRule="exact"/>
              <w:ind w:left="0" w:right="0"/>
              <w:rPr>
                <w:rFonts w:hint="eastAsia" w:ascii="仿宋" w:hAnsi="仿宋" w:eastAsia="仿宋" w:cs="仿宋"/>
                <w:b/>
                <w:color w:val="auto"/>
                <w:sz w:val="24"/>
                <w:szCs w:val="24"/>
              </w:rPr>
            </w:pPr>
            <w:r>
              <w:rPr>
                <w:rFonts w:hint="eastAsia" w:ascii="仿宋" w:hAnsi="仿宋" w:eastAsia="仿宋" w:cs="仿宋"/>
                <w:color w:val="auto"/>
                <w:sz w:val="24"/>
                <w:szCs w:val="24"/>
              </w:rPr>
              <w:t>投标截止时间 15 日前</w:t>
            </w:r>
          </w:p>
        </w:tc>
      </w:tr>
      <w:tr w14:paraId="4451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167" w:type="dxa"/>
            <w:tcBorders>
              <w:tl2br w:val="nil"/>
              <w:tr2bl w:val="nil"/>
            </w:tcBorders>
            <w:vAlign w:val="center"/>
          </w:tcPr>
          <w:p w14:paraId="3AB90BF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2234" w:type="dxa"/>
            <w:tcBorders>
              <w:tl2br w:val="nil"/>
              <w:tr2bl w:val="nil"/>
            </w:tcBorders>
            <w:vAlign w:val="center"/>
          </w:tcPr>
          <w:p w14:paraId="3E32089F">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w w:val="99"/>
                <w:sz w:val="24"/>
                <w:szCs w:val="24"/>
              </w:rPr>
            </w:pPr>
            <w:r>
              <w:rPr>
                <w:rFonts w:hint="eastAsia" w:ascii="仿宋" w:hAnsi="仿宋" w:eastAsia="仿宋" w:cs="仿宋"/>
                <w:color w:val="auto"/>
                <w:sz w:val="24"/>
                <w:szCs w:val="24"/>
              </w:rPr>
              <w:t>构成投标文件的其他材料</w:t>
            </w:r>
          </w:p>
        </w:tc>
        <w:tc>
          <w:tcPr>
            <w:tcW w:w="6777" w:type="dxa"/>
            <w:tcBorders>
              <w:tl2br w:val="nil"/>
              <w:tr2bl w:val="nil"/>
            </w:tcBorders>
            <w:vAlign w:val="center"/>
          </w:tcPr>
          <w:p w14:paraId="34BB4964">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投标文件的修改文件、澄清文件及有关问题的说明</w:t>
            </w:r>
          </w:p>
        </w:tc>
      </w:tr>
      <w:tr w14:paraId="3D61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67" w:type="dxa"/>
            <w:tcBorders>
              <w:tl2br w:val="nil"/>
              <w:tr2bl w:val="nil"/>
            </w:tcBorders>
            <w:vAlign w:val="center"/>
          </w:tcPr>
          <w:p w14:paraId="57470D8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2</w:t>
            </w:r>
            <w:r>
              <w:rPr>
                <w:rFonts w:hint="eastAsia" w:ascii="仿宋" w:hAnsi="仿宋" w:eastAsia="仿宋" w:cs="仿宋"/>
                <w:color w:val="auto"/>
                <w:sz w:val="24"/>
                <w:szCs w:val="24"/>
              </w:rPr>
              <w:t>.1</w:t>
            </w:r>
          </w:p>
        </w:tc>
        <w:tc>
          <w:tcPr>
            <w:tcW w:w="2234" w:type="dxa"/>
            <w:tcBorders>
              <w:tl2br w:val="nil"/>
              <w:tr2bl w:val="nil"/>
            </w:tcBorders>
            <w:vAlign w:val="center"/>
          </w:tcPr>
          <w:p w14:paraId="718797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投标有效期</w:t>
            </w:r>
          </w:p>
        </w:tc>
        <w:tc>
          <w:tcPr>
            <w:tcW w:w="6777" w:type="dxa"/>
            <w:tcBorders>
              <w:tl2br w:val="nil"/>
              <w:tr2bl w:val="nil"/>
            </w:tcBorders>
            <w:vAlign w:val="center"/>
          </w:tcPr>
          <w:p w14:paraId="3004AD6D">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bookmarkStart w:id="8" w:name="_Toc361508582"/>
            <w:bookmarkStart w:id="9" w:name="_Toc300834946"/>
            <w:bookmarkStart w:id="10" w:name="_Toc384308207"/>
            <w:bookmarkStart w:id="11" w:name="_Toc352691470"/>
            <w:bookmarkStart w:id="12" w:name="_Toc369531512"/>
            <w:bookmarkStart w:id="13" w:name="_Toc1789"/>
            <w:r>
              <w:rPr>
                <w:rFonts w:hint="eastAsia" w:ascii="仿宋" w:hAnsi="仿宋" w:eastAsia="仿宋" w:cs="仿宋"/>
                <w:color w:val="auto"/>
                <w:sz w:val="24"/>
                <w:szCs w:val="24"/>
                <w:u w:val="single"/>
              </w:rPr>
              <w:t>90</w:t>
            </w:r>
            <w:r>
              <w:rPr>
                <w:rFonts w:hint="eastAsia" w:ascii="仿宋" w:hAnsi="仿宋" w:eastAsia="仿宋" w:cs="仿宋"/>
                <w:color w:val="auto"/>
                <w:kern w:val="0"/>
                <w:sz w:val="24"/>
                <w:szCs w:val="24"/>
              </w:rPr>
              <w:t>日历天（自投标截止之日算起）</w:t>
            </w:r>
          </w:p>
        </w:tc>
      </w:tr>
      <w:tr w14:paraId="3321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167" w:type="dxa"/>
            <w:tcBorders>
              <w:tl2br w:val="nil"/>
              <w:tr2bl w:val="nil"/>
            </w:tcBorders>
            <w:vAlign w:val="center"/>
          </w:tcPr>
          <w:p w14:paraId="30D7E8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w:t>
            </w:r>
            <w:bookmarkEnd w:id="8"/>
            <w:bookmarkEnd w:id="9"/>
            <w:bookmarkEnd w:id="10"/>
            <w:bookmarkEnd w:id="11"/>
            <w:bookmarkEnd w:id="12"/>
            <w:bookmarkEnd w:id="13"/>
            <w:r>
              <w:rPr>
                <w:rFonts w:hint="eastAsia" w:ascii="仿宋" w:hAnsi="仿宋" w:eastAsia="仿宋" w:cs="仿宋"/>
                <w:color w:val="auto"/>
                <w:sz w:val="24"/>
                <w:szCs w:val="24"/>
              </w:rPr>
              <w:t>1</w:t>
            </w:r>
          </w:p>
        </w:tc>
        <w:tc>
          <w:tcPr>
            <w:tcW w:w="2234" w:type="dxa"/>
            <w:tcBorders>
              <w:tl2br w:val="nil"/>
              <w:tr2bl w:val="nil"/>
            </w:tcBorders>
            <w:vAlign w:val="center"/>
          </w:tcPr>
          <w:p w14:paraId="2D9CBB0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投标保证金</w:t>
            </w:r>
          </w:p>
        </w:tc>
        <w:tc>
          <w:tcPr>
            <w:tcW w:w="6777" w:type="dxa"/>
            <w:tcBorders>
              <w:tl2br w:val="nil"/>
              <w:tr2bl w:val="nil"/>
            </w:tcBorders>
            <w:vAlign w:val="center"/>
          </w:tcPr>
          <w:p w14:paraId="1C06D316">
            <w:pPr>
              <w:pStyle w:val="12"/>
              <w:keepNext w:val="0"/>
              <w:keepLines w:val="0"/>
              <w:suppressLineNumbers w:val="0"/>
              <w:spacing w:before="0" w:beforeAutospacing="0" w:after="0" w:afterAutospacing="0"/>
              <w:ind w:left="0" w:right="0"/>
              <w:rPr>
                <w:rFonts w:hint="default"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rPr>
              <w:t>无</w:t>
            </w:r>
          </w:p>
        </w:tc>
      </w:tr>
      <w:tr w14:paraId="6BC2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24A175E">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20173C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近年完成的类似项目</w:t>
            </w:r>
          </w:p>
        </w:tc>
        <w:tc>
          <w:tcPr>
            <w:tcW w:w="6777" w:type="dxa"/>
            <w:tcBorders>
              <w:tl2br w:val="nil"/>
              <w:tr2bl w:val="nil"/>
            </w:tcBorders>
            <w:vAlign w:val="center"/>
          </w:tcPr>
          <w:p w14:paraId="3DA64A95">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7A93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3413CB4">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3.5.</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42073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近年发生的重大诉讼及仲裁情况</w:t>
            </w:r>
          </w:p>
        </w:tc>
        <w:tc>
          <w:tcPr>
            <w:tcW w:w="6777" w:type="dxa"/>
            <w:tcBorders>
              <w:tl2br w:val="nil"/>
              <w:tr2bl w:val="nil"/>
            </w:tcBorders>
            <w:vAlign w:val="center"/>
          </w:tcPr>
          <w:p w14:paraId="39C99986">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0BC3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04945AFD">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3.6</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03A890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是否允许递交备选投标方案</w:t>
            </w:r>
          </w:p>
        </w:tc>
        <w:tc>
          <w:tcPr>
            <w:tcW w:w="6777" w:type="dxa"/>
            <w:tcBorders>
              <w:tl2br w:val="nil"/>
              <w:tr2bl w:val="nil"/>
            </w:tcBorders>
            <w:vAlign w:val="center"/>
          </w:tcPr>
          <w:p w14:paraId="77295AD8">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不允许</w:t>
            </w:r>
          </w:p>
          <w:p w14:paraId="0AE58FA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□允许</w:t>
            </w:r>
          </w:p>
        </w:tc>
      </w:tr>
      <w:tr w14:paraId="31C0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67" w:type="dxa"/>
            <w:tcBorders>
              <w:tl2br w:val="nil"/>
              <w:tr2bl w:val="nil"/>
            </w:tcBorders>
            <w:vAlign w:val="center"/>
          </w:tcPr>
          <w:p w14:paraId="7884AD8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660271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投标文件签字或盖章要求</w:t>
            </w:r>
          </w:p>
        </w:tc>
        <w:tc>
          <w:tcPr>
            <w:tcW w:w="6777" w:type="dxa"/>
            <w:tcBorders>
              <w:tl2br w:val="nil"/>
              <w:tr2bl w:val="nil"/>
            </w:tcBorders>
            <w:vAlign w:val="center"/>
          </w:tcPr>
          <w:p w14:paraId="5BCFC709">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由投标人的法定代表人或其授权的委托代理人签字或盖章并盖单位章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详见投标须知3.7.3。</w:t>
            </w:r>
          </w:p>
        </w:tc>
      </w:tr>
      <w:tr w14:paraId="4D4F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167" w:type="dxa"/>
            <w:tcBorders>
              <w:tl2br w:val="nil"/>
              <w:tr2bl w:val="nil"/>
            </w:tcBorders>
            <w:vAlign w:val="center"/>
          </w:tcPr>
          <w:p w14:paraId="0060564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67EDFC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投标文件份数</w:t>
            </w:r>
          </w:p>
        </w:tc>
        <w:tc>
          <w:tcPr>
            <w:tcW w:w="6777" w:type="dxa"/>
            <w:tcBorders>
              <w:tl2br w:val="nil"/>
              <w:tr2bl w:val="nil"/>
            </w:tcBorders>
            <w:vAlign w:val="center"/>
          </w:tcPr>
          <w:p w14:paraId="1A56ECAC">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加密电子版投标文件一份：在开标时间之前通过电子交易系统“上传投标文件”菜单上传至赢标电子招标采购交易系统。</w:t>
            </w:r>
          </w:p>
          <w:p w14:paraId="382791E3">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入围定标候选人，需在候选人公示期间提供系统内生成的PDF格式的纸质版投标文件5份（一正四副）。</w:t>
            </w:r>
          </w:p>
        </w:tc>
      </w:tr>
      <w:tr w14:paraId="2BB6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167" w:type="dxa"/>
            <w:tcBorders>
              <w:tl2br w:val="nil"/>
              <w:tr2bl w:val="nil"/>
            </w:tcBorders>
            <w:vAlign w:val="center"/>
          </w:tcPr>
          <w:p w14:paraId="0833D80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w:t>
            </w:r>
            <w:r>
              <w:rPr>
                <w:rFonts w:hint="eastAsia" w:ascii="仿宋" w:hAnsi="仿宋" w:cs="仿宋"/>
                <w:color w:val="auto"/>
                <w:sz w:val="24"/>
                <w:szCs w:val="24"/>
                <w:lang w:val="en-US" w:eastAsia="zh-CN"/>
              </w:rPr>
              <w:t>1</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76C49AC5">
            <w:pPr>
              <w:keepNext w:val="0"/>
              <w:keepLines w:val="0"/>
              <w:suppressLineNumbers w:val="0"/>
              <w:spacing w:before="0" w:beforeAutospacing="0" w:after="0" w:afterAutospacing="0" w:line="500" w:lineRule="exact"/>
              <w:ind w:left="0" w:right="0"/>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递交投标文件地点</w:t>
            </w:r>
          </w:p>
        </w:tc>
        <w:tc>
          <w:tcPr>
            <w:tcW w:w="6777" w:type="dxa"/>
            <w:tcBorders>
              <w:tl2br w:val="nil"/>
              <w:tr2bl w:val="nil"/>
            </w:tcBorders>
            <w:vAlign w:val="center"/>
          </w:tcPr>
          <w:p w14:paraId="1EB3CFF4">
            <w:pPr>
              <w:keepNext w:val="0"/>
              <w:keepLines w:val="0"/>
              <w:suppressLineNumbers w:val="0"/>
              <w:spacing w:before="0" w:beforeAutospacing="0" w:after="0" w:afterAutospacing="0" w:line="500" w:lineRule="exact"/>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投标人应当在投标文件递交截止时间前，将投标文件上传至赢标电子招标采购交易系统（http://hzsjyzx.cn:50000）</w:t>
            </w:r>
          </w:p>
        </w:tc>
      </w:tr>
      <w:tr w14:paraId="6A0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7" w:type="dxa"/>
            <w:tcBorders>
              <w:tl2br w:val="nil"/>
              <w:tr2bl w:val="nil"/>
            </w:tcBorders>
            <w:vAlign w:val="center"/>
          </w:tcPr>
          <w:p w14:paraId="3098A32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06967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是否退还投标文件</w:t>
            </w:r>
          </w:p>
        </w:tc>
        <w:tc>
          <w:tcPr>
            <w:tcW w:w="6777" w:type="dxa"/>
            <w:tcBorders>
              <w:tl2br w:val="nil"/>
              <w:tr2bl w:val="nil"/>
            </w:tcBorders>
            <w:vAlign w:val="center"/>
          </w:tcPr>
          <w:p w14:paraId="7B3E244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225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67" w:type="dxa"/>
            <w:tcBorders>
              <w:tl2br w:val="nil"/>
              <w:tr2bl w:val="nil"/>
            </w:tcBorders>
            <w:vAlign w:val="center"/>
          </w:tcPr>
          <w:p w14:paraId="7F24F25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5.1.1</w:t>
            </w:r>
          </w:p>
        </w:tc>
        <w:tc>
          <w:tcPr>
            <w:tcW w:w="2234" w:type="dxa"/>
            <w:tcBorders>
              <w:tl2br w:val="nil"/>
              <w:tr2bl w:val="nil"/>
            </w:tcBorders>
            <w:vAlign w:val="center"/>
          </w:tcPr>
          <w:p w14:paraId="024E142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开标时间和地点</w:t>
            </w:r>
          </w:p>
        </w:tc>
        <w:tc>
          <w:tcPr>
            <w:tcW w:w="6777" w:type="dxa"/>
            <w:tcBorders>
              <w:tl2br w:val="nil"/>
              <w:tr2bl w:val="nil"/>
            </w:tcBorders>
            <w:vAlign w:val="center"/>
          </w:tcPr>
          <w:p w14:paraId="658D087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开标时间：同投标截止时间</w:t>
            </w:r>
          </w:p>
          <w:p w14:paraId="62CD58C1">
            <w:pPr>
              <w:pStyle w:val="12"/>
              <w:keepNext w:val="0"/>
              <w:keepLines w:val="0"/>
              <w:suppressLineNumbers w:val="0"/>
              <w:spacing w:before="0" w:beforeAutospacing="0" w:after="0" w:afterAutospacing="0"/>
              <w:ind w:left="0" w:right="0"/>
              <w:rPr>
                <w:rFonts w:hint="eastAsia" w:ascii="仿宋" w:hAnsi="仿宋" w:eastAsia="仿宋" w:cs="仿宋"/>
                <w:b/>
                <w:color w:val="auto"/>
                <w:sz w:val="24"/>
                <w:szCs w:val="24"/>
                <w:u w:val="single"/>
              </w:rPr>
            </w:pPr>
            <w:r>
              <w:rPr>
                <w:rFonts w:hint="eastAsia" w:ascii="仿宋" w:hAnsi="仿宋" w:eastAsia="仿宋" w:cs="仿宋"/>
                <w:color w:val="auto"/>
                <w:sz w:val="24"/>
                <w:szCs w:val="24"/>
              </w:rPr>
              <w:t>开标地点：菏泽市公共资源交易中心（菏泽市中华路426号）不见面开标大厅（本项目为远程不见面开标，投标单位无需到场）</w:t>
            </w:r>
          </w:p>
        </w:tc>
      </w:tr>
      <w:tr w14:paraId="2608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33327D2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5.2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2858305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开标程序</w:t>
            </w:r>
          </w:p>
        </w:tc>
        <w:tc>
          <w:tcPr>
            <w:tcW w:w="6777" w:type="dxa"/>
            <w:tcBorders>
              <w:tl2br w:val="nil"/>
              <w:tr2bl w:val="nil"/>
            </w:tcBorders>
            <w:vAlign w:val="center"/>
          </w:tcPr>
          <w:p w14:paraId="680819C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kern w:val="0"/>
                <w:sz w:val="24"/>
                <w:szCs w:val="24"/>
              </w:rPr>
              <w:t>详见投标人须知规定</w:t>
            </w:r>
          </w:p>
        </w:tc>
      </w:tr>
      <w:tr w14:paraId="01C8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5F70892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6.1.1</w:t>
            </w:r>
          </w:p>
        </w:tc>
        <w:tc>
          <w:tcPr>
            <w:tcW w:w="2234" w:type="dxa"/>
            <w:tcBorders>
              <w:tl2br w:val="nil"/>
              <w:tr2bl w:val="nil"/>
            </w:tcBorders>
            <w:vAlign w:val="center"/>
          </w:tcPr>
          <w:p w14:paraId="55D45F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评标委员会的组建</w:t>
            </w:r>
          </w:p>
        </w:tc>
        <w:tc>
          <w:tcPr>
            <w:tcW w:w="6777" w:type="dxa"/>
            <w:tcBorders>
              <w:tl2br w:val="nil"/>
              <w:tr2bl w:val="nil"/>
            </w:tcBorders>
            <w:vAlign w:val="center"/>
          </w:tcPr>
          <w:p w14:paraId="7D9C94F7">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评标委员会构成：5人或以上单数，依法组建。</w:t>
            </w:r>
          </w:p>
        </w:tc>
      </w:tr>
      <w:tr w14:paraId="25EA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D6825B0">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2.1</w:t>
            </w:r>
          </w:p>
        </w:tc>
        <w:tc>
          <w:tcPr>
            <w:tcW w:w="2234" w:type="dxa"/>
            <w:tcBorders>
              <w:tl2br w:val="nil"/>
              <w:tr2bl w:val="nil"/>
            </w:tcBorders>
            <w:vAlign w:val="center"/>
          </w:tcPr>
          <w:p w14:paraId="3EDEEAE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评标委员会推荐的定标候选人的数量</w:t>
            </w:r>
          </w:p>
        </w:tc>
        <w:tc>
          <w:tcPr>
            <w:tcW w:w="6777" w:type="dxa"/>
            <w:tcBorders>
              <w:tl2br w:val="nil"/>
              <w:tr2bl w:val="nil"/>
            </w:tcBorders>
            <w:vAlign w:val="center"/>
          </w:tcPr>
          <w:p w14:paraId="3ED25755">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本项目采用评定分离：</w:t>
            </w:r>
          </w:p>
          <w:p w14:paraId="3D5E57C1">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经评标委员会评审</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当有效投标人为3-5名时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推荐3名定标候选人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当有效投标人为6-10名时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推荐5名定标候选人</w:t>
            </w:r>
            <w:r>
              <w:rPr>
                <w:rFonts w:hint="eastAsia" w:ascii="仿宋" w:hAnsi="仿宋" w:eastAsia="仿宋" w:cs="仿宋"/>
                <w:color w:val="auto"/>
                <w:sz w:val="24"/>
                <w:szCs w:val="24"/>
                <w:lang w:eastAsia="zh-CN"/>
              </w:rPr>
              <w:t>；</w:t>
            </w:r>
          </w:p>
          <w:p w14:paraId="6F2F4B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当有效投标人为11名及以上时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推荐7名定标候选人；</w:t>
            </w:r>
          </w:p>
          <w:p w14:paraId="7C9812A8">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评标委员会完成评标后，应当向招标人提出书面评标报告，并推荐出不排序的定标候选人；书面评标报告应当由评标委员会全体成员签字。评标报告在现有要求基础上,还应包括定标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人名单、各定标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人投标文件优点和缺点、签订合同前应注意和澄清的事项等内容。</w:t>
            </w:r>
          </w:p>
          <w:p w14:paraId="4F2F01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w:t>
            </w:r>
            <w:r>
              <w:rPr>
                <w:rFonts w:hint="eastAsia" w:ascii="仿宋" w:hAnsi="仿宋" w:eastAsia="仿宋" w:cs="仿宋"/>
                <w:color w:val="auto"/>
                <w:sz w:val="24"/>
                <w:szCs w:val="24"/>
                <w:lang w:eastAsia="zh-CN"/>
              </w:rPr>
              <w:t>委员会在</w:t>
            </w:r>
            <w:r>
              <w:rPr>
                <w:rFonts w:hint="eastAsia" w:ascii="仿宋" w:hAnsi="仿宋" w:eastAsia="仿宋" w:cs="仿宋"/>
                <w:color w:val="auto"/>
                <w:sz w:val="24"/>
                <w:szCs w:val="24"/>
              </w:rPr>
              <w:t>评审结束前还需填写中标候选人奖项、荣誉、信誉表。</w:t>
            </w:r>
          </w:p>
        </w:tc>
      </w:tr>
      <w:tr w14:paraId="0665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5AB45F8">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2.2</w:t>
            </w:r>
          </w:p>
        </w:tc>
        <w:tc>
          <w:tcPr>
            <w:tcW w:w="2234" w:type="dxa"/>
            <w:tcBorders>
              <w:tl2br w:val="nil"/>
              <w:tr2bl w:val="nil"/>
            </w:tcBorders>
            <w:vAlign w:val="center"/>
          </w:tcPr>
          <w:p w14:paraId="69C70A9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定标候选人公示媒介、期限</w:t>
            </w:r>
          </w:p>
        </w:tc>
        <w:tc>
          <w:tcPr>
            <w:tcW w:w="6777" w:type="dxa"/>
            <w:tcBorders>
              <w:tl2br w:val="nil"/>
              <w:tr2bl w:val="nil"/>
            </w:tcBorders>
            <w:vAlign w:val="center"/>
          </w:tcPr>
          <w:p w14:paraId="2E4B058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（1）公示媒介：同招标公告发布媒介</w:t>
            </w:r>
          </w:p>
          <w:p w14:paraId="458F713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（2）公示期限：3日（公示期截止时间在法定休息日的应顺延至首个工作日）</w:t>
            </w:r>
          </w:p>
        </w:tc>
      </w:tr>
      <w:tr w14:paraId="371A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2CB82937">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3.1</w:t>
            </w:r>
          </w:p>
        </w:tc>
        <w:tc>
          <w:tcPr>
            <w:tcW w:w="2234" w:type="dxa"/>
            <w:tcBorders>
              <w:tl2br w:val="nil"/>
              <w:tr2bl w:val="nil"/>
            </w:tcBorders>
            <w:vAlign w:val="center"/>
          </w:tcPr>
          <w:p w14:paraId="52FCB2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是否递补定标候选人</w:t>
            </w:r>
          </w:p>
        </w:tc>
        <w:tc>
          <w:tcPr>
            <w:tcW w:w="6777" w:type="dxa"/>
            <w:tcBorders>
              <w:tl2br w:val="nil"/>
              <w:tr2bl w:val="nil"/>
            </w:tcBorders>
            <w:vAlign w:val="center"/>
          </w:tcPr>
          <w:p w14:paraId="6DFAC93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不递补：继续定标或重新招标；</w:t>
            </w:r>
          </w:p>
          <w:p w14:paraId="6E29796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递补：按照得分由高到低的顺序从其他有效投标人中依次递补；</w:t>
            </w:r>
          </w:p>
        </w:tc>
      </w:tr>
      <w:tr w14:paraId="330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C5757D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w:t>
            </w:r>
          </w:p>
        </w:tc>
        <w:tc>
          <w:tcPr>
            <w:tcW w:w="2234" w:type="dxa"/>
            <w:tcBorders>
              <w:tl2br w:val="nil"/>
              <w:tr2bl w:val="nil"/>
            </w:tcBorders>
            <w:vAlign w:val="center"/>
          </w:tcPr>
          <w:p w14:paraId="51C574A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kern w:val="0"/>
                <w:sz w:val="24"/>
                <w:szCs w:val="28"/>
              </w:rPr>
              <w:t>定标方式</w:t>
            </w:r>
          </w:p>
        </w:tc>
        <w:tc>
          <w:tcPr>
            <w:tcW w:w="6777" w:type="dxa"/>
            <w:tcBorders>
              <w:tl2br w:val="nil"/>
              <w:tr2bl w:val="nil"/>
            </w:tcBorders>
            <w:vAlign w:val="center"/>
          </w:tcPr>
          <w:p w14:paraId="6ADD8F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采用评定分离方式</w:t>
            </w:r>
          </w:p>
        </w:tc>
      </w:tr>
      <w:tr w14:paraId="3203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1192DF3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eastAsia="仿宋" w:cs="仿宋"/>
                <w:color w:val="auto"/>
                <w:kern w:val="0"/>
                <w:sz w:val="24"/>
                <w:szCs w:val="28"/>
                <w:lang w:val="en-US" w:eastAsia="zh-CN"/>
              </w:rPr>
              <w:t>1</w:t>
            </w:r>
          </w:p>
        </w:tc>
        <w:tc>
          <w:tcPr>
            <w:tcW w:w="2234" w:type="dxa"/>
            <w:tcBorders>
              <w:tl2br w:val="nil"/>
              <w:tr2bl w:val="nil"/>
            </w:tcBorders>
            <w:vAlign w:val="center"/>
          </w:tcPr>
          <w:p w14:paraId="379BF8E9">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szCs w:val="28"/>
              </w:rPr>
            </w:pPr>
            <w:r>
              <w:rPr>
                <w:rFonts w:hint="eastAsia" w:ascii="仿宋" w:hAnsi="仿宋" w:eastAsia="仿宋" w:cs="仿宋"/>
                <w:bCs/>
                <w:color w:val="auto"/>
                <w:sz w:val="24"/>
                <w:szCs w:val="28"/>
              </w:rPr>
              <w:t>定标委员会</w:t>
            </w:r>
          </w:p>
        </w:tc>
        <w:tc>
          <w:tcPr>
            <w:tcW w:w="6777" w:type="dxa"/>
            <w:tcBorders>
              <w:tl2br w:val="nil"/>
              <w:tr2bl w:val="nil"/>
            </w:tcBorders>
            <w:vAlign w:val="center"/>
          </w:tcPr>
          <w:p w14:paraId="43DE5AD1">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由招标人按规定组建，成员数量为5人及以上单数；</w:t>
            </w:r>
          </w:p>
          <w:p w14:paraId="5B73DE0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本项目定标成员库类别：</w:t>
            </w:r>
            <w:r>
              <w:rPr>
                <w:rFonts w:hint="eastAsia" w:ascii="仿宋" w:hAnsi="仿宋" w:eastAsia="仿宋" w:cs="仿宋"/>
                <w:color w:val="auto"/>
                <w:sz w:val="24"/>
                <w:szCs w:val="24"/>
                <w:lang w:val="en-US" w:eastAsia="zh-CN"/>
              </w:rPr>
              <w:t>A类库</w:t>
            </w:r>
            <w:r>
              <w:rPr>
                <w:rFonts w:hint="eastAsia" w:ascii="仿宋" w:hAnsi="仿宋" w:eastAsia="仿宋" w:cs="仿宋"/>
                <w:color w:val="auto"/>
                <w:sz w:val="24"/>
                <w:szCs w:val="24"/>
              </w:rPr>
              <w:t>；</w:t>
            </w:r>
          </w:p>
        </w:tc>
      </w:tr>
      <w:tr w14:paraId="69A0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167" w:type="dxa"/>
            <w:tcBorders>
              <w:tl2br w:val="nil"/>
              <w:tr2bl w:val="nil"/>
            </w:tcBorders>
            <w:vAlign w:val="center"/>
          </w:tcPr>
          <w:p w14:paraId="18F569D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val="en-US" w:eastAsia="zh-CN"/>
              </w:rPr>
            </w:pPr>
            <w:r>
              <w:rPr>
                <w:rFonts w:hint="eastAsia" w:ascii="仿宋" w:hAnsi="仿宋" w:eastAsia="仿宋" w:cs="仿宋"/>
                <w:color w:val="auto"/>
                <w:kern w:val="0"/>
                <w:sz w:val="24"/>
                <w:szCs w:val="28"/>
                <w:lang w:val="en-US" w:eastAsia="zh-CN"/>
              </w:rPr>
              <w:t>7.2</w:t>
            </w:r>
          </w:p>
        </w:tc>
        <w:tc>
          <w:tcPr>
            <w:tcW w:w="2234" w:type="dxa"/>
            <w:tcBorders>
              <w:tl2br w:val="nil"/>
              <w:tr2bl w:val="nil"/>
            </w:tcBorders>
            <w:vAlign w:val="center"/>
          </w:tcPr>
          <w:p w14:paraId="5CF14E8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定标监督委员会</w:t>
            </w:r>
          </w:p>
        </w:tc>
        <w:tc>
          <w:tcPr>
            <w:tcW w:w="6777" w:type="dxa"/>
            <w:tcBorders>
              <w:tl2br w:val="nil"/>
              <w:tr2bl w:val="nil"/>
            </w:tcBorders>
            <w:vAlign w:val="center"/>
          </w:tcPr>
          <w:p w14:paraId="6590796E">
            <w:pPr>
              <w:keepNext w:val="0"/>
              <w:keepLines w:val="0"/>
              <w:suppressLineNumbers w:val="0"/>
              <w:autoSpaceDE w:val="0"/>
              <w:autoSpaceDN w:val="0"/>
              <w:spacing w:before="0" w:beforeAutospacing="0" w:after="0" w:afterAutospacing="0" w:line="500" w:lineRule="exact"/>
              <w:ind w:left="0" w:right="21" w:rightChars="0"/>
              <w:rPr>
                <w:rFonts w:hint="eastAsia" w:ascii="仿宋" w:hAnsi="仿宋" w:eastAsia="仿宋" w:cs="仿宋"/>
                <w:color w:val="auto"/>
                <w:sz w:val="24"/>
                <w:szCs w:val="24"/>
              </w:rPr>
            </w:pPr>
            <w:r>
              <w:rPr>
                <w:rFonts w:hint="eastAsia" w:ascii="仿宋" w:hAnsi="仿宋" w:eastAsia="仿宋" w:cs="仿宋"/>
                <w:color w:val="auto"/>
                <w:sz w:val="24"/>
                <w:szCs w:val="28"/>
              </w:rPr>
              <w:t>各行业行政主管部门牵头成立定标监督委员会。</w:t>
            </w:r>
          </w:p>
        </w:tc>
      </w:tr>
      <w:tr w14:paraId="1D08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40AECE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7.3</w:t>
            </w:r>
          </w:p>
        </w:tc>
        <w:tc>
          <w:tcPr>
            <w:tcW w:w="2234" w:type="dxa"/>
            <w:tcBorders>
              <w:tl2br w:val="nil"/>
              <w:tr2bl w:val="nil"/>
            </w:tcBorders>
            <w:vAlign w:val="center"/>
          </w:tcPr>
          <w:p w14:paraId="3B0C970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考察定标候选人情况</w:t>
            </w:r>
          </w:p>
        </w:tc>
        <w:tc>
          <w:tcPr>
            <w:tcW w:w="6777" w:type="dxa"/>
            <w:tcBorders>
              <w:tl2br w:val="nil"/>
              <w:tr2bl w:val="nil"/>
            </w:tcBorders>
            <w:vAlign w:val="center"/>
          </w:tcPr>
          <w:p w14:paraId="772FBA54">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是否考察定标候选人：</w:t>
            </w:r>
          </w:p>
          <w:p w14:paraId="4E0CAFBD">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不考察；</w:t>
            </w:r>
          </w:p>
          <w:p w14:paraId="14DAF7D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考察：考察小组人员由招标人确定；考察小组在定标会议召开前需要对中标候选人进行考察、质询，并出具考察报告作为定标辅助。考察报告中不得有明示或暗示中标单位的内容。考察时，对所有定标候选人进行考察</w:t>
            </w:r>
            <w:r>
              <w:rPr>
                <w:rFonts w:hint="eastAsia" w:ascii="仿宋" w:hAnsi="仿宋" w:eastAsia="仿宋" w:cs="仿宋"/>
                <w:color w:val="auto"/>
                <w:sz w:val="24"/>
                <w:szCs w:val="24"/>
                <w:lang w:eastAsia="zh-CN"/>
              </w:rPr>
              <w:t>。</w:t>
            </w:r>
          </w:p>
        </w:tc>
      </w:tr>
      <w:tr w14:paraId="6EB2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49E643C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7.4</w:t>
            </w:r>
          </w:p>
        </w:tc>
        <w:tc>
          <w:tcPr>
            <w:tcW w:w="2234" w:type="dxa"/>
            <w:tcBorders>
              <w:tl2br w:val="nil"/>
              <w:tr2bl w:val="nil"/>
            </w:tcBorders>
            <w:vAlign w:val="center"/>
          </w:tcPr>
          <w:p w14:paraId="539C4C8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定标方法</w:t>
            </w:r>
          </w:p>
        </w:tc>
        <w:tc>
          <w:tcPr>
            <w:tcW w:w="6777" w:type="dxa"/>
            <w:tcBorders>
              <w:tl2br w:val="nil"/>
              <w:tr2bl w:val="nil"/>
            </w:tcBorders>
            <w:vAlign w:val="center"/>
          </w:tcPr>
          <w:p w14:paraId="3210CD8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□集体议事法</w:t>
            </w:r>
          </w:p>
          <w:p w14:paraId="7F5317C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票决定标法</w:t>
            </w:r>
          </w:p>
          <w:p w14:paraId="3B11187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□低中选优定标法  </w:t>
            </w:r>
          </w:p>
          <w:p w14:paraId="0330BA0F">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具体程序按菏政办字【2023】53号文件执行。</w:t>
            </w:r>
          </w:p>
        </w:tc>
      </w:tr>
      <w:tr w14:paraId="4773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67" w:type="dxa"/>
            <w:tcBorders>
              <w:tl2br w:val="nil"/>
              <w:tr2bl w:val="nil"/>
            </w:tcBorders>
            <w:vAlign w:val="center"/>
          </w:tcPr>
          <w:p w14:paraId="1416258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cs="仿宋"/>
                <w:color w:val="auto"/>
                <w:kern w:val="0"/>
                <w:sz w:val="24"/>
                <w:szCs w:val="28"/>
                <w:lang w:val="en-US" w:eastAsia="zh-CN"/>
              </w:rPr>
              <w:t>5</w:t>
            </w:r>
          </w:p>
        </w:tc>
        <w:tc>
          <w:tcPr>
            <w:tcW w:w="2234" w:type="dxa"/>
            <w:tcBorders>
              <w:tl2br w:val="nil"/>
              <w:tr2bl w:val="nil"/>
            </w:tcBorders>
            <w:vAlign w:val="center"/>
          </w:tcPr>
          <w:p w14:paraId="7522776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spacing w:val="-2"/>
                <w:sz w:val="24"/>
                <w:szCs w:val="24"/>
              </w:rPr>
              <w:t>是否由定标候选人向定标委员会进行答辩</w:t>
            </w:r>
          </w:p>
        </w:tc>
        <w:tc>
          <w:tcPr>
            <w:tcW w:w="6777" w:type="dxa"/>
            <w:tcBorders>
              <w:tl2br w:val="nil"/>
              <w:tr2bl w:val="nil"/>
            </w:tcBorders>
            <w:vAlign w:val="center"/>
          </w:tcPr>
          <w:p w14:paraId="6DDABC01">
            <w:pPr>
              <w:keepNext w:val="0"/>
              <w:keepLines w:val="0"/>
              <w:suppressLineNumbers w:val="0"/>
              <w:spacing w:before="0" w:beforeAutospacing="0" w:after="0" w:afterAutospacing="0" w:line="360" w:lineRule="exact"/>
              <w:ind w:left="0" w:right="105" w:rightChars="5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69B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1B127C9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7.6</w:t>
            </w:r>
          </w:p>
        </w:tc>
        <w:tc>
          <w:tcPr>
            <w:tcW w:w="2234" w:type="dxa"/>
            <w:tcBorders>
              <w:tl2br w:val="nil"/>
              <w:tr2bl w:val="nil"/>
            </w:tcBorders>
            <w:vAlign w:val="center"/>
          </w:tcPr>
          <w:p w14:paraId="71DC1D79">
            <w:pPr>
              <w:keepNext w:val="0"/>
              <w:keepLines w:val="0"/>
              <w:suppressLineNumbers w:val="0"/>
              <w:spacing w:before="0" w:beforeAutospacing="0" w:after="0" w:afterAutospacing="0" w:line="340" w:lineRule="exact"/>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中标结果公示媒介</w:t>
            </w:r>
          </w:p>
        </w:tc>
        <w:tc>
          <w:tcPr>
            <w:tcW w:w="6777" w:type="dxa"/>
            <w:tcBorders>
              <w:tl2br w:val="nil"/>
              <w:tr2bl w:val="nil"/>
            </w:tcBorders>
            <w:vAlign w:val="center"/>
          </w:tcPr>
          <w:p w14:paraId="756BB8E8">
            <w:pPr>
              <w:keepNext w:val="0"/>
              <w:keepLines w:val="0"/>
              <w:suppressLineNumbers w:val="0"/>
              <w:tabs>
                <w:tab w:val="left" w:pos="1758"/>
              </w:tabs>
              <w:spacing w:before="0" w:beforeAutospacing="0" w:after="0" w:afterAutospacing="0" w:line="360" w:lineRule="auto"/>
              <w:ind w:left="0" w:right="0"/>
              <w:jc w:val="left"/>
              <w:rPr>
                <w:rFonts w:hint="eastAsia" w:ascii="仿宋" w:hAnsi="仿宋" w:eastAsia="仿宋" w:cs="仿宋"/>
                <w:b/>
                <w:bCs/>
                <w:color w:val="auto"/>
                <w:sz w:val="24"/>
                <w:szCs w:val="24"/>
              </w:rPr>
            </w:pPr>
            <w:r>
              <w:rPr>
                <w:rFonts w:hint="eastAsia" w:ascii="仿宋" w:hAnsi="仿宋" w:eastAsia="仿宋" w:cs="仿宋"/>
                <w:color w:val="auto"/>
                <w:sz w:val="24"/>
                <w:szCs w:val="24"/>
              </w:rPr>
              <w:t>同招标公告发布媒介</w:t>
            </w:r>
          </w:p>
        </w:tc>
      </w:tr>
      <w:tr w14:paraId="0B43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5F63614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7.8</w:t>
            </w:r>
          </w:p>
        </w:tc>
        <w:tc>
          <w:tcPr>
            <w:tcW w:w="2234" w:type="dxa"/>
            <w:tcBorders>
              <w:tl2br w:val="nil"/>
              <w:tr2bl w:val="nil"/>
            </w:tcBorders>
            <w:vAlign w:val="center"/>
          </w:tcPr>
          <w:p w14:paraId="760A14A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
                <w:bCs/>
                <w:color w:val="auto"/>
                <w:sz w:val="24"/>
                <w:szCs w:val="24"/>
              </w:rPr>
              <w:t>履约保证金</w:t>
            </w:r>
          </w:p>
        </w:tc>
        <w:tc>
          <w:tcPr>
            <w:tcW w:w="6777" w:type="dxa"/>
            <w:tcBorders>
              <w:tl2br w:val="nil"/>
              <w:tr2bl w:val="nil"/>
            </w:tcBorders>
            <w:vAlign w:val="center"/>
          </w:tcPr>
          <w:p w14:paraId="101E1A2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b w:val="0"/>
                <w:bCs w:val="0"/>
                <w:color w:val="auto"/>
                <w:sz w:val="24"/>
                <w:szCs w:val="24"/>
                <w:highlight w:val="none"/>
                <w:lang w:val="en-US" w:eastAsia="zh-CN"/>
              </w:rPr>
              <w:t>无</w:t>
            </w:r>
          </w:p>
        </w:tc>
      </w:tr>
      <w:tr w14:paraId="2E9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67" w:type="dxa"/>
            <w:tcBorders>
              <w:tl2br w:val="nil"/>
              <w:tr2bl w:val="nil"/>
            </w:tcBorders>
            <w:vAlign w:val="center"/>
          </w:tcPr>
          <w:p w14:paraId="4674CE3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cs="仿宋"/>
                <w:color w:val="auto"/>
                <w:sz w:val="24"/>
                <w:szCs w:val="24"/>
                <w:lang w:val="en-US" w:eastAsia="zh-CN"/>
              </w:rPr>
              <w:t>9</w:t>
            </w:r>
          </w:p>
        </w:tc>
        <w:tc>
          <w:tcPr>
            <w:tcW w:w="9011" w:type="dxa"/>
            <w:gridSpan w:val="2"/>
            <w:tcBorders>
              <w:tl2br w:val="nil"/>
              <w:tr2bl w:val="nil"/>
            </w:tcBorders>
            <w:vAlign w:val="center"/>
          </w:tcPr>
          <w:p w14:paraId="56377449">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w:t>
            </w:r>
          </w:p>
        </w:tc>
      </w:tr>
      <w:tr w14:paraId="5E68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0E7A1C4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.1</w:t>
            </w:r>
          </w:p>
        </w:tc>
        <w:tc>
          <w:tcPr>
            <w:tcW w:w="2234" w:type="dxa"/>
            <w:tcBorders>
              <w:tl2br w:val="nil"/>
              <w:tr2bl w:val="nil"/>
            </w:tcBorders>
            <w:vAlign w:val="center"/>
          </w:tcPr>
          <w:p w14:paraId="7C340068">
            <w:pPr>
              <w:pStyle w:val="35"/>
              <w:keepNext w:val="0"/>
              <w:keepLines w:val="0"/>
              <w:suppressLineNumbers w:val="0"/>
              <w:spacing w:before="0" w:beforeAutospacing="0" w:after="0" w:afterAutospacing="0" w:line="36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b/>
                <w:color w:val="auto"/>
                <w:kern w:val="0"/>
                <w:sz w:val="24"/>
                <w:szCs w:val="24"/>
              </w:rPr>
              <w:t>招标控制价</w:t>
            </w:r>
          </w:p>
        </w:tc>
        <w:tc>
          <w:tcPr>
            <w:tcW w:w="6777" w:type="dxa"/>
            <w:tcBorders>
              <w:tl2br w:val="nil"/>
              <w:tr2bl w:val="nil"/>
            </w:tcBorders>
            <w:vAlign w:val="center"/>
          </w:tcPr>
          <w:p w14:paraId="15978F7B">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项目的招标控制价为</w:t>
            </w:r>
            <w:r>
              <w:rPr>
                <w:rFonts w:hint="eastAsia" w:ascii="仿宋" w:hAnsi="仿宋" w:cs="仿宋"/>
                <w:b/>
                <w:bCs/>
                <w:color w:val="auto"/>
                <w:sz w:val="24"/>
                <w:szCs w:val="24"/>
                <w:lang w:val="en-US" w:eastAsia="zh-CN"/>
              </w:rPr>
              <w:t>5017000.00</w:t>
            </w:r>
            <w:r>
              <w:rPr>
                <w:rFonts w:hint="eastAsia" w:ascii="仿宋" w:hAnsi="仿宋" w:eastAsia="仿宋" w:cs="仿宋"/>
                <w:b/>
                <w:bCs/>
                <w:color w:val="auto"/>
                <w:sz w:val="24"/>
                <w:szCs w:val="24"/>
                <w:lang w:val="en-US" w:eastAsia="zh-CN"/>
              </w:rPr>
              <w:t>元（</w:t>
            </w:r>
            <w:r>
              <w:rPr>
                <w:rFonts w:hint="eastAsia" w:ascii="仿宋" w:hAnsi="仿宋" w:cs="仿宋"/>
                <w:b/>
                <w:bCs/>
                <w:color w:val="auto"/>
                <w:sz w:val="24"/>
                <w:szCs w:val="24"/>
                <w:lang w:val="en-US" w:eastAsia="zh-CN"/>
              </w:rPr>
              <w:t>伍佰零壹万柒仟元整</w:t>
            </w:r>
            <w:r>
              <w:rPr>
                <w:rFonts w:hint="eastAsia" w:ascii="仿宋" w:hAnsi="仿宋" w:eastAsia="仿宋" w:cs="仿宋"/>
                <w:b/>
                <w:bCs/>
                <w:color w:val="auto"/>
                <w:sz w:val="24"/>
                <w:szCs w:val="24"/>
                <w:lang w:val="en-US" w:eastAsia="zh-CN"/>
              </w:rPr>
              <w:t>）</w:t>
            </w:r>
          </w:p>
          <w:p w14:paraId="5DD598F6">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bCs/>
                <w:color w:val="auto"/>
                <w:sz w:val="24"/>
                <w:szCs w:val="24"/>
              </w:rPr>
              <w:t>注：投标人的报价高于招标控制价作无效投标处理。</w:t>
            </w:r>
          </w:p>
        </w:tc>
      </w:tr>
      <w:tr w14:paraId="1F40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167" w:type="dxa"/>
            <w:tcBorders>
              <w:tl2br w:val="nil"/>
              <w:tr2bl w:val="nil"/>
            </w:tcBorders>
            <w:vAlign w:val="center"/>
          </w:tcPr>
          <w:p w14:paraId="79F0A23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highlight w:val="none"/>
              </w:rPr>
            </w:pPr>
            <w:r>
              <w:rPr>
                <w:rFonts w:hint="eastAsia" w:ascii="仿宋" w:hAnsi="仿宋" w:cs="仿宋"/>
                <w:color w:val="auto"/>
                <w:sz w:val="24"/>
                <w:szCs w:val="24"/>
                <w:highlight w:val="none"/>
                <w:lang w:val="en-US" w:eastAsia="zh-CN"/>
              </w:rPr>
              <w:t>9</w:t>
            </w:r>
            <w:r>
              <w:rPr>
                <w:rFonts w:hint="eastAsia" w:ascii="仿宋" w:hAnsi="仿宋" w:eastAsia="仿宋" w:cs="仿宋"/>
                <w:color w:val="auto"/>
                <w:sz w:val="24"/>
                <w:szCs w:val="24"/>
                <w:highlight w:val="none"/>
              </w:rPr>
              <w:t>.2</w:t>
            </w:r>
          </w:p>
        </w:tc>
        <w:tc>
          <w:tcPr>
            <w:tcW w:w="2234" w:type="dxa"/>
            <w:tcBorders>
              <w:tl2br w:val="nil"/>
              <w:tr2bl w:val="nil"/>
            </w:tcBorders>
            <w:vAlign w:val="center"/>
          </w:tcPr>
          <w:p w14:paraId="41927D2F">
            <w:pPr>
              <w:keepNext w:val="0"/>
              <w:keepLines w:val="0"/>
              <w:suppressLineNumbers w:val="0"/>
              <w:spacing w:before="0" w:beforeAutospacing="0" w:after="0" w:afterAutospacing="0" w:line="500" w:lineRule="exact"/>
              <w:ind w:left="0" w:right="0"/>
              <w:jc w:val="center"/>
              <w:rPr>
                <w:rFonts w:hint="eastAsia" w:ascii="仿宋" w:hAnsi="仿宋" w:eastAsia="仿宋" w:cs="仿宋"/>
                <w:bCs/>
                <w:color w:val="auto"/>
                <w:sz w:val="24"/>
                <w:szCs w:val="24"/>
                <w:highlight w:val="none"/>
                <w:lang w:val="zh-CN"/>
              </w:rPr>
            </w:pPr>
            <w:r>
              <w:rPr>
                <w:rFonts w:hint="eastAsia" w:ascii="仿宋" w:hAnsi="仿宋" w:eastAsia="仿宋" w:cs="仿宋"/>
                <w:b/>
                <w:color w:val="auto"/>
                <w:kern w:val="0"/>
                <w:sz w:val="24"/>
                <w:szCs w:val="24"/>
                <w:highlight w:val="none"/>
                <w:lang w:val="zh-CN"/>
              </w:rPr>
              <w:t>付款方式</w:t>
            </w:r>
          </w:p>
        </w:tc>
        <w:tc>
          <w:tcPr>
            <w:tcW w:w="6777" w:type="dxa"/>
            <w:tcBorders>
              <w:tl2br w:val="nil"/>
              <w:tr2bl w:val="nil"/>
            </w:tcBorders>
            <w:vAlign w:val="center"/>
          </w:tcPr>
          <w:p w14:paraId="25C25BAB">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1</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本工程款的支付前提是，承包人的形象进度，达到工程施工组织设计要求的形象进度的合格工程后或发包人要求形象进度的合格工程后，支付工程款。</w:t>
            </w:r>
          </w:p>
          <w:p w14:paraId="2C450F59">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2</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项目工程款支付按下列时间点并经发包人和监理公司共同验收合格，关键部位由主管部门验收合格，且各种资料齐全等签字手续齐全后，中标人到工程所在地主管税务机关开具有效增值税专用发票后（税率不小于9%），招标人支付工程款（</w:t>
            </w:r>
            <w:r>
              <w:rPr>
                <w:rFonts w:hint="eastAsia" w:ascii="仿宋" w:hAnsi="仿宋" w:cs="仿宋"/>
                <w:color w:val="auto"/>
                <w:sz w:val="24"/>
                <w:szCs w:val="24"/>
                <w:highlight w:val="none"/>
                <w:lang w:val="en-US" w:eastAsia="zh-CN"/>
              </w:rPr>
              <w:t>主楼分期交房的，以分期交房范围内的电梯工程为一个单位，</w:t>
            </w:r>
            <w:r>
              <w:rPr>
                <w:rFonts w:hint="default" w:ascii="仿宋" w:hAnsi="仿宋" w:eastAsia="仿宋" w:cs="仿宋"/>
                <w:color w:val="auto"/>
                <w:sz w:val="24"/>
                <w:szCs w:val="24"/>
                <w:highlight w:val="none"/>
                <w:lang w:val="en-US" w:eastAsia="zh-CN"/>
              </w:rPr>
              <w:t>简称“每个</w:t>
            </w:r>
            <w:r>
              <w:rPr>
                <w:rFonts w:hint="eastAsia" w:ascii="仿宋" w:hAnsi="仿宋" w:cs="仿宋"/>
                <w:color w:val="auto"/>
                <w:sz w:val="24"/>
                <w:szCs w:val="24"/>
                <w:highlight w:val="none"/>
                <w:lang w:val="en-US" w:eastAsia="zh-CN"/>
              </w:rPr>
              <w:t>电梯工程单位</w:t>
            </w:r>
            <w:r>
              <w:rPr>
                <w:rFonts w:hint="default" w:ascii="仿宋" w:hAnsi="仿宋" w:eastAsia="仿宋" w:cs="仿宋"/>
                <w:color w:val="auto"/>
                <w:sz w:val="24"/>
                <w:szCs w:val="24"/>
                <w:highlight w:val="none"/>
                <w:lang w:val="en-US" w:eastAsia="zh-CN"/>
              </w:rPr>
              <w:t>”）。</w:t>
            </w:r>
          </w:p>
          <w:p w14:paraId="79C7E602">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yellow"/>
                <w:lang w:val="en-US" w:eastAsia="zh-CN"/>
              </w:rPr>
            </w:pPr>
            <w:r>
              <w:rPr>
                <w:rFonts w:hint="eastAsia" w:ascii="仿宋" w:hAnsi="仿宋" w:cs="仿宋"/>
                <w:color w:val="auto"/>
                <w:sz w:val="24"/>
                <w:szCs w:val="24"/>
                <w:highlight w:val="none"/>
                <w:lang w:val="en-US" w:eastAsia="zh-CN"/>
              </w:rPr>
              <w:t>3、电梯设备安装完成、验收后12个月后付50%，24个月后付40%，36个月后付剩余的工程款（含质保金返还）；</w:t>
            </w:r>
          </w:p>
        </w:tc>
      </w:tr>
      <w:tr w14:paraId="2D3E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38FB46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.3</w:t>
            </w:r>
          </w:p>
        </w:tc>
        <w:tc>
          <w:tcPr>
            <w:tcW w:w="2234" w:type="dxa"/>
            <w:tcBorders>
              <w:tl2br w:val="nil"/>
              <w:tr2bl w:val="nil"/>
            </w:tcBorders>
            <w:vAlign w:val="center"/>
          </w:tcPr>
          <w:p w14:paraId="136B71BB">
            <w:pPr>
              <w:pStyle w:val="69"/>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rPr>
              <w:t>是否采用计算机评标</w:t>
            </w:r>
          </w:p>
        </w:tc>
        <w:tc>
          <w:tcPr>
            <w:tcW w:w="6777" w:type="dxa"/>
            <w:tcBorders>
              <w:tl2br w:val="nil"/>
              <w:tr2bl w:val="nil"/>
            </w:tcBorders>
            <w:vAlign w:val="center"/>
          </w:tcPr>
          <w:p w14:paraId="3EFA8FCB">
            <w:pPr>
              <w:pStyle w:val="69"/>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color w:val="auto"/>
                <w:sz w:val="24"/>
                <w:szCs w:val="24"/>
                <w:lang w:bidi="zh-CN"/>
              </w:rPr>
              <w:t>是</w:t>
            </w:r>
          </w:p>
        </w:tc>
      </w:tr>
      <w:tr w14:paraId="434E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6F4C55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.4</w:t>
            </w:r>
          </w:p>
        </w:tc>
        <w:tc>
          <w:tcPr>
            <w:tcW w:w="2234" w:type="dxa"/>
            <w:tcBorders>
              <w:tl2br w:val="nil"/>
              <w:tr2bl w:val="nil"/>
            </w:tcBorders>
            <w:vAlign w:val="center"/>
          </w:tcPr>
          <w:p w14:paraId="04D47B2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知识产权</w:t>
            </w:r>
          </w:p>
        </w:tc>
        <w:tc>
          <w:tcPr>
            <w:tcW w:w="6777" w:type="dxa"/>
            <w:tcBorders>
              <w:tl2br w:val="nil"/>
              <w:tr2bl w:val="nil"/>
            </w:tcBorders>
            <w:vAlign w:val="center"/>
          </w:tcPr>
          <w:p w14:paraId="1C10F5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lang w:val="zh-CN" w:bidi="zh-CN"/>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6133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7" w:type="dxa"/>
            <w:tcBorders>
              <w:tl2br w:val="nil"/>
              <w:tr2bl w:val="nil"/>
            </w:tcBorders>
            <w:vAlign w:val="center"/>
          </w:tcPr>
          <w:p w14:paraId="149B670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.5</w:t>
            </w:r>
          </w:p>
        </w:tc>
        <w:tc>
          <w:tcPr>
            <w:tcW w:w="2234" w:type="dxa"/>
            <w:tcBorders>
              <w:tl2br w:val="nil"/>
              <w:tr2bl w:val="nil"/>
            </w:tcBorders>
            <w:vAlign w:val="center"/>
          </w:tcPr>
          <w:p w14:paraId="60D243F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重新招标的其他情形</w:t>
            </w:r>
          </w:p>
        </w:tc>
        <w:tc>
          <w:tcPr>
            <w:tcW w:w="6777" w:type="dxa"/>
            <w:tcBorders>
              <w:tl2br w:val="nil"/>
              <w:tr2bl w:val="nil"/>
            </w:tcBorders>
            <w:vAlign w:val="center"/>
          </w:tcPr>
          <w:p w14:paraId="5A70361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rPr>
              <w:t>除投标人须知正文规定的情形外，除非已经产生中标候选人，在投标有效期内同意延长投标有效期的投标人少于三个的，招标人应当依法重新招标。</w:t>
            </w:r>
          </w:p>
        </w:tc>
      </w:tr>
      <w:tr w14:paraId="44FB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53114E03">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.6</w:t>
            </w:r>
          </w:p>
        </w:tc>
        <w:tc>
          <w:tcPr>
            <w:tcW w:w="2234" w:type="dxa"/>
            <w:tcBorders>
              <w:tl2br w:val="nil"/>
              <w:tr2bl w:val="nil"/>
            </w:tcBorders>
            <w:vAlign w:val="center"/>
          </w:tcPr>
          <w:p w14:paraId="15A0DC68">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同义词语</w:t>
            </w:r>
          </w:p>
        </w:tc>
        <w:tc>
          <w:tcPr>
            <w:tcW w:w="6777" w:type="dxa"/>
            <w:tcBorders>
              <w:tl2br w:val="nil"/>
              <w:tr2bl w:val="nil"/>
            </w:tcBorders>
            <w:vAlign w:val="center"/>
          </w:tcPr>
          <w:p w14:paraId="623CA6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构成招标文件组成部分的“通用合同条款”、“专用合同条款”和“设计任务书”等章节中出现的措辞“发包人”和“承包人”，在招标投标阶段应当分别按“招标人”和“投标人”进行理解。</w:t>
            </w:r>
          </w:p>
        </w:tc>
      </w:tr>
      <w:tr w14:paraId="333C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19CD075D">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7</w:t>
            </w:r>
          </w:p>
        </w:tc>
        <w:tc>
          <w:tcPr>
            <w:tcW w:w="2234" w:type="dxa"/>
            <w:tcBorders>
              <w:tl2br w:val="nil"/>
              <w:tr2bl w:val="nil"/>
            </w:tcBorders>
            <w:vAlign w:val="center"/>
          </w:tcPr>
          <w:p w14:paraId="6565AA7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Cs/>
                <w:color w:val="auto"/>
                <w:kern w:val="0"/>
                <w:sz w:val="24"/>
                <w:szCs w:val="28"/>
              </w:rPr>
              <w:t>有下列情形之一的，评标委员会应当否决其投标</w:t>
            </w:r>
          </w:p>
        </w:tc>
        <w:tc>
          <w:tcPr>
            <w:tcW w:w="6777" w:type="dxa"/>
            <w:tcBorders>
              <w:tl2br w:val="nil"/>
              <w:tr2bl w:val="nil"/>
            </w:tcBorders>
            <w:vAlign w:val="center"/>
          </w:tcPr>
          <w:p w14:paraId="1400C7BA">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（一）投标文件未经投标单位盖章和单位负责人或委托代理人签字；</w:t>
            </w:r>
          </w:p>
          <w:p w14:paraId="70F6E653">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（二）投标人不符合国家或者招标文件规定的资格条件；</w:t>
            </w:r>
          </w:p>
          <w:p w14:paraId="47B4CE5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（三）同一投标人提交两个以上不同的投标文件或者投标报价，但招标文件要求提交备选投标的除外；</w:t>
            </w:r>
          </w:p>
          <w:p w14:paraId="27337BC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（四）投标报价低于成本或者高于招标文件设定的最高投标限价；</w:t>
            </w:r>
          </w:p>
          <w:p w14:paraId="0A8D6F2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（五）投标文件没有对招标文件的实质性要求和条件作出响应；</w:t>
            </w:r>
          </w:p>
          <w:p w14:paraId="095ACE3D">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kern w:val="0"/>
                <w:sz w:val="24"/>
                <w:szCs w:val="28"/>
              </w:rPr>
              <w:t>（六）投标人有串通投标、弄虚作假、行贿等违法行为。</w:t>
            </w:r>
          </w:p>
        </w:tc>
      </w:tr>
      <w:tr w14:paraId="26EF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167" w:type="dxa"/>
            <w:tcBorders>
              <w:tl2br w:val="nil"/>
              <w:tr2bl w:val="nil"/>
            </w:tcBorders>
            <w:vAlign w:val="center"/>
          </w:tcPr>
          <w:p w14:paraId="48F5AE70">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8</w:t>
            </w:r>
          </w:p>
        </w:tc>
        <w:tc>
          <w:tcPr>
            <w:tcW w:w="2234" w:type="dxa"/>
            <w:tcBorders>
              <w:tl2br w:val="nil"/>
              <w:tr2bl w:val="nil"/>
            </w:tcBorders>
            <w:vAlign w:val="center"/>
          </w:tcPr>
          <w:p w14:paraId="0834653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c>
          <w:tcPr>
            <w:tcW w:w="6777" w:type="dxa"/>
            <w:tcBorders>
              <w:tl2br w:val="nil"/>
              <w:tr2bl w:val="nil"/>
            </w:tcBorders>
            <w:vAlign w:val="center"/>
          </w:tcPr>
          <w:p w14:paraId="446C07F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注 ： 因本项目实行网上投标。 如项目发布澄清、补充、修改信息，将在发布招标公告的同媒介发布。公告自发布之日起即视为通知到潜在投标人。</w:t>
            </w:r>
          </w:p>
        </w:tc>
      </w:tr>
      <w:tr w14:paraId="7C7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3F283AB">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9</w:t>
            </w:r>
          </w:p>
        </w:tc>
        <w:tc>
          <w:tcPr>
            <w:tcW w:w="2234" w:type="dxa"/>
            <w:tcBorders>
              <w:tl2br w:val="nil"/>
              <w:tr2bl w:val="nil"/>
            </w:tcBorders>
            <w:vAlign w:val="center"/>
          </w:tcPr>
          <w:p w14:paraId="4480764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中标人未履行相关义务的责任</w:t>
            </w:r>
          </w:p>
        </w:tc>
        <w:tc>
          <w:tcPr>
            <w:tcW w:w="6777" w:type="dxa"/>
            <w:tcBorders>
              <w:tl2br w:val="nil"/>
              <w:tr2bl w:val="nil"/>
            </w:tcBorders>
            <w:vAlign w:val="center"/>
          </w:tcPr>
          <w:p w14:paraId="66F9F1E9">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中标人未履行相关义务的，公共资源交易监督管理部门将依法对中标人进行处理，追究相关责任：</w:t>
            </w:r>
          </w:p>
          <w:p w14:paraId="424CC71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（1）中标后，中标人被公共资源交易监督管理部门查实存在违法行为，不满足中标条件的，由招标人取消其中标资格，并做好项目后续工作；</w:t>
            </w:r>
          </w:p>
          <w:p w14:paraId="7ED5CD81">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（2）合同签订后，中标人存在规定时间内不组织人员进场开工、不履行合同义务等情况，招标人有权解除合同，追究其违约责任，并报公共资源交易监督管理部门。</w:t>
            </w:r>
          </w:p>
        </w:tc>
      </w:tr>
      <w:tr w14:paraId="661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67" w:type="dxa"/>
            <w:tcBorders>
              <w:tl2br w:val="nil"/>
              <w:tr2bl w:val="nil"/>
            </w:tcBorders>
            <w:vAlign w:val="center"/>
          </w:tcPr>
          <w:p w14:paraId="0C17846E">
            <w:pPr>
              <w:keepNext w:val="0"/>
              <w:keepLines w:val="0"/>
              <w:suppressLineNumbers w:val="0"/>
              <w:autoSpaceDE w:val="0"/>
              <w:autoSpaceDN w:val="0"/>
              <w:spacing w:before="0" w:beforeAutospacing="0" w:after="0" w:afterAutospacing="0" w:line="500" w:lineRule="exact"/>
              <w:ind w:left="0" w:right="0"/>
              <w:jc w:val="center"/>
              <w:rPr>
                <w:rFonts w:hint="default" w:ascii="仿宋" w:hAnsi="仿宋" w:cs="仿宋"/>
                <w:color w:val="auto"/>
                <w:sz w:val="24"/>
                <w:szCs w:val="24"/>
                <w:lang w:val="en-US" w:bidi="zh-CN"/>
              </w:rPr>
            </w:pPr>
            <w:r>
              <w:rPr>
                <w:rFonts w:hint="eastAsia" w:ascii="仿宋" w:hAnsi="仿宋" w:cs="仿宋"/>
                <w:color w:val="auto"/>
                <w:sz w:val="24"/>
                <w:szCs w:val="24"/>
                <w:lang w:val="en-US" w:bidi="zh-CN"/>
              </w:rPr>
              <w:t>9.10</w:t>
            </w:r>
          </w:p>
        </w:tc>
        <w:tc>
          <w:tcPr>
            <w:tcW w:w="2234" w:type="dxa"/>
            <w:tcBorders>
              <w:tl2br w:val="nil"/>
              <w:tr2bl w:val="nil"/>
            </w:tcBorders>
            <w:vAlign w:val="center"/>
          </w:tcPr>
          <w:p w14:paraId="0AA2957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质保期</w:t>
            </w:r>
          </w:p>
        </w:tc>
        <w:tc>
          <w:tcPr>
            <w:tcW w:w="6777" w:type="dxa"/>
            <w:tcBorders>
              <w:tl2br w:val="nil"/>
              <w:tr2bl w:val="nil"/>
            </w:tcBorders>
            <w:vAlign w:val="center"/>
          </w:tcPr>
          <w:p w14:paraId="012F90C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质保期不低于质量检验验收部门验收合格之日起两年,其中电梯主要部件和安全保护装置的质保期自监督检验合格日期算起不得低于五年。供应商可自由竞报最长质保期。</w:t>
            </w:r>
          </w:p>
          <w:p w14:paraId="713F2A55">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注：</w:t>
            </w:r>
            <w:r>
              <w:rPr>
                <w:rFonts w:hint="eastAsia" w:ascii="仿宋" w:hAnsi="仿宋" w:eastAsia="仿宋" w:cs="仿宋"/>
                <w:color w:val="auto"/>
                <w:sz w:val="24"/>
                <w:szCs w:val="28"/>
              </w:rPr>
              <w:t>质保期内电梯日常维护保养及维修均由中标人负责，并提出维护方案。</w:t>
            </w:r>
          </w:p>
        </w:tc>
      </w:tr>
      <w:tr w14:paraId="7CF8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67" w:type="dxa"/>
            <w:tcBorders>
              <w:tl2br w:val="nil"/>
              <w:tr2bl w:val="nil"/>
            </w:tcBorders>
            <w:vAlign w:val="center"/>
          </w:tcPr>
          <w:p w14:paraId="5525E64C">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解释权</w:t>
            </w:r>
          </w:p>
        </w:tc>
        <w:tc>
          <w:tcPr>
            <w:tcW w:w="9011" w:type="dxa"/>
            <w:gridSpan w:val="2"/>
            <w:tcBorders>
              <w:tl2br w:val="nil"/>
              <w:tr2bl w:val="nil"/>
            </w:tcBorders>
            <w:vAlign w:val="center"/>
          </w:tcPr>
          <w:p w14:paraId="7E55DED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本招标文件的最终解释权归招标人，当对一个问题有多种解释时以招标人的书面解释为准。招标文件未做须知明示，而又有相关法律、法规规定的，招标人对此所做解释以相关的法律、法规规定为依据。</w:t>
            </w:r>
          </w:p>
          <w:p w14:paraId="6AA3FC39">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构成本招标文件的各个组成文件应互为解释，互为说明。</w:t>
            </w:r>
          </w:p>
          <w:p w14:paraId="3014E16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如有不明确或不一致：</w:t>
            </w:r>
          </w:p>
          <w:p w14:paraId="1A826D68">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（1）构成合同文件组成内容的，以合同文件约定内容为准，且以专用合同条款约定的合同文件优先顺序解释；</w:t>
            </w:r>
          </w:p>
          <w:p w14:paraId="6340DF0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（2）招标文件各个组成文件按招标公告（投标邀请书）、投标人须知、评标办法、投标文件格式的先后顺序解释；</w:t>
            </w:r>
          </w:p>
          <w:p w14:paraId="14D17FB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（3）同一组成文件（章节）中就同一事项的规定或约定不一致的，以编排顺序在后者为准；</w:t>
            </w:r>
          </w:p>
          <w:p w14:paraId="348DC94C">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（4）同一组成文件不同版本之间有不一致的，以形成时间在后者为准；</w:t>
            </w:r>
          </w:p>
          <w:p w14:paraId="1230DD15">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（5）投标文件中其他章节与投标人须知有不一致的内容，以投标人须知内容为准。</w:t>
            </w:r>
          </w:p>
          <w:p w14:paraId="31511478">
            <w:pPr>
              <w:pStyle w:val="56"/>
              <w:keepNext w:val="0"/>
              <w:keepLines w:val="0"/>
              <w:suppressLineNumbers w:val="0"/>
              <w:spacing w:before="0" w:beforeAutospacing="0" w:after="0" w:afterAutospacing="0"/>
              <w:ind w:left="0" w:right="0" w:firstLine="420"/>
              <w:rPr>
                <w:rFonts w:hint="eastAsia" w:ascii="仿宋" w:hAnsi="仿宋" w:eastAsia="仿宋" w:cs="仿宋"/>
                <w:color w:val="auto"/>
                <w:sz w:val="24"/>
                <w:szCs w:val="24"/>
              </w:rPr>
            </w:pPr>
            <w:r>
              <w:rPr>
                <w:rFonts w:hint="eastAsia" w:ascii="仿宋" w:hAnsi="仿宋" w:eastAsia="仿宋" w:cs="仿宋"/>
                <w:color w:val="auto"/>
                <w:sz w:val="24"/>
                <w:szCs w:val="24"/>
              </w:rPr>
              <w:t>按本款前述规定仍不能形成结论的，由招标人负责解释。</w:t>
            </w:r>
          </w:p>
        </w:tc>
      </w:tr>
      <w:tr w14:paraId="17C8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167" w:type="dxa"/>
            <w:tcBorders>
              <w:tl2br w:val="nil"/>
              <w:tr2bl w:val="nil"/>
            </w:tcBorders>
            <w:vAlign w:val="center"/>
          </w:tcPr>
          <w:p w14:paraId="2DCB623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bookmarkStart w:id="14" w:name="_Toc534190077"/>
            <w:r>
              <w:rPr>
                <w:rFonts w:hint="eastAsia" w:ascii="仿宋" w:hAnsi="仿宋" w:eastAsia="仿宋" w:cs="仿宋"/>
                <w:color w:val="auto"/>
                <w:sz w:val="24"/>
                <w:szCs w:val="24"/>
              </w:rPr>
              <w:t>电子招投标须知</w:t>
            </w:r>
          </w:p>
        </w:tc>
        <w:tc>
          <w:tcPr>
            <w:tcW w:w="9011" w:type="dxa"/>
            <w:gridSpan w:val="2"/>
            <w:tcBorders>
              <w:tl2br w:val="nil"/>
              <w:tr2bl w:val="nil"/>
            </w:tcBorders>
            <w:vAlign w:val="center"/>
          </w:tcPr>
          <w:p w14:paraId="50BBA6C3">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1.本次招标为电子系统,投标人应通过赢标电子招标采购交易系统（http://hzsjyzx.cn:50000）上传经 CA 加密的电子投标文件。</w:t>
            </w:r>
          </w:p>
          <w:p w14:paraId="64DDC752">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2.在线递交电子投标文件前，投标人应当使用投标客户端</w:t>
            </w:r>
            <w:r>
              <w:rPr>
                <w:rFonts w:hint="eastAsia" w:ascii="仿宋" w:hAnsi="仿宋" w:eastAsia="仿宋" w:cs="仿宋"/>
                <w:color w:val="auto"/>
                <w:sz w:val="24"/>
                <w:szCs w:val="24"/>
                <w:lang w:eastAsia="zh-CN"/>
              </w:rPr>
              <w:t>及</w:t>
            </w:r>
            <w:r>
              <w:rPr>
                <w:rFonts w:hint="eastAsia" w:ascii="仿宋" w:hAnsi="仿宋" w:eastAsia="仿宋" w:cs="仿宋"/>
                <w:color w:val="auto"/>
                <w:sz w:val="24"/>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4"/>
                <w:szCs w:val="24"/>
                <w:lang w:eastAsia="zh-CN"/>
              </w:rPr>
              <w:t>登录</w:t>
            </w:r>
            <w:r>
              <w:rPr>
                <w:rFonts w:hint="eastAsia" w:ascii="仿宋" w:hAnsi="仿宋" w:eastAsia="仿宋" w:cs="仿宋"/>
                <w:color w:val="auto"/>
                <w:sz w:val="24"/>
                <w:szCs w:val="24"/>
              </w:rPr>
              <w:t>赢标电子招标采购交易系统（http://hzsjyzx.cn:50000）递交电子投标文件。</w:t>
            </w:r>
          </w:p>
          <w:p w14:paraId="7FE38BCF">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45B05879">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479BE3E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6D3FFE8B">
            <w:pPr>
              <w:keepNext w:val="0"/>
              <w:keepLines w:val="0"/>
              <w:suppressLineNumbers w:val="0"/>
              <w:tabs>
                <w:tab w:val="left" w:pos="1758"/>
              </w:tabs>
              <w:spacing w:before="0" w:beforeAutospacing="0" w:after="0" w:afterAutospacing="0" w:line="420" w:lineRule="exact"/>
              <w:ind w:left="0" w:right="134" w:rightChars="64"/>
              <w:rPr>
                <w:rFonts w:hint="eastAsia" w:ascii="仿宋" w:hAnsi="仿宋" w:eastAsia="仿宋" w:cs="仿宋"/>
                <w:color w:val="auto"/>
                <w:sz w:val="24"/>
                <w:szCs w:val="24"/>
              </w:rPr>
            </w:pPr>
            <w:r>
              <w:rPr>
                <w:rFonts w:hint="eastAsia" w:ascii="仿宋" w:hAnsi="仿宋" w:eastAsia="仿宋" w:cs="仿宋"/>
                <w:color w:val="auto"/>
                <w:sz w:val="24"/>
                <w:szCs w:val="24"/>
              </w:rPr>
              <w:t>6.投标人在使用电子招投标平台时，如有任何疑问，请咨询系统技术支持：李经理 15020110313。</w:t>
            </w:r>
          </w:p>
        </w:tc>
      </w:tr>
      <w:tr w14:paraId="4A4F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67" w:type="dxa"/>
            <w:tcBorders>
              <w:tl2br w:val="nil"/>
              <w:tr2bl w:val="nil"/>
            </w:tcBorders>
            <w:vAlign w:val="center"/>
          </w:tcPr>
          <w:p w14:paraId="1576BC6E">
            <w:pPr>
              <w:keepNext w:val="0"/>
              <w:keepLines w:val="0"/>
              <w:suppressLineNumbers w:val="0"/>
              <w:wordWrap w:val="0"/>
              <w:spacing w:before="0" w:beforeAutospacing="0" w:after="0" w:afterAutospacing="0" w:line="42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电子招投标的应急措施：</w:t>
            </w:r>
          </w:p>
        </w:tc>
        <w:tc>
          <w:tcPr>
            <w:tcW w:w="9011" w:type="dxa"/>
            <w:gridSpan w:val="2"/>
            <w:tcBorders>
              <w:tl2br w:val="nil"/>
              <w:tr2bl w:val="nil"/>
            </w:tcBorders>
            <w:vAlign w:val="center"/>
          </w:tcPr>
          <w:p w14:paraId="0328787B">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电子开标、评标如出现下列原因，导致系统无法正常运行或无法正常评标时，应采取应急措施： </w:t>
            </w:r>
          </w:p>
          <w:p w14:paraId="1099CAFB">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系统服务器发生故障，无法访问或无法使用系统； </w:t>
            </w:r>
          </w:p>
          <w:p w14:paraId="16A9554A">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系统的软件或数据库出现错误，不能进行正常操作； </w:t>
            </w:r>
          </w:p>
          <w:p w14:paraId="75911112">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系统发现有安全漏洞，有潜在的泄密危险；</w:t>
            </w:r>
          </w:p>
          <w:p w14:paraId="1512A7E5">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病毒发作或受到外来病毒的攻击；</w:t>
            </w:r>
          </w:p>
          <w:p w14:paraId="1E24E52D">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采购代理机构的 CA 锁失效等原因导致无法解密的；</w:t>
            </w:r>
          </w:p>
          <w:p w14:paraId="3D051313">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其他不可抗拒的客观原因造成开评标系统无法正常使用。 </w:t>
            </w:r>
          </w:p>
          <w:p w14:paraId="5E56967B">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出现上述情况时，对于未开标的项目应暂停开标，对已在系统内评审的，也应立即停止。采取应急措施时，必须对原有资料及信息作妥善保密处理。</w:t>
            </w:r>
          </w:p>
        </w:tc>
      </w:tr>
      <w:tr w14:paraId="53FC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78" w:type="dxa"/>
            <w:gridSpan w:val="3"/>
            <w:tcBorders>
              <w:tl2br w:val="nil"/>
              <w:tr2bl w:val="nil"/>
            </w:tcBorders>
            <w:vAlign w:val="center"/>
          </w:tcPr>
          <w:p w14:paraId="612E4088">
            <w:pPr>
              <w:keepNext w:val="0"/>
              <w:keepLines w:val="0"/>
              <w:suppressLineNumbers w:val="0"/>
              <w:autoSpaceDE w:val="0"/>
              <w:autoSpaceDN w:val="0"/>
              <w:spacing w:before="0" w:beforeAutospacing="0" w:after="0" w:afterAutospacing="0" w:line="500" w:lineRule="exact"/>
              <w:ind w:left="0" w:right="21" w:firstLine="241" w:firstLineChars="100"/>
              <w:jc w:val="left"/>
              <w:rPr>
                <w:rFonts w:hint="eastAsia" w:ascii="仿宋" w:hAnsi="仿宋" w:eastAsia="仿宋" w:cs="仿宋"/>
                <w:color w:val="auto"/>
                <w:sz w:val="24"/>
                <w:szCs w:val="24"/>
              </w:rPr>
            </w:pPr>
            <w:r>
              <w:rPr>
                <w:rFonts w:hint="eastAsia" w:ascii="仿宋" w:hAnsi="仿宋" w:eastAsia="仿宋" w:cs="仿宋"/>
                <w:b/>
                <w:color w:val="auto"/>
                <w:sz w:val="24"/>
                <w:szCs w:val="24"/>
                <w:lang w:val="zh-CN" w:bidi="zh-CN"/>
              </w:rPr>
              <w:t>本</w:t>
            </w:r>
            <w:r>
              <w:rPr>
                <w:rFonts w:hint="eastAsia" w:ascii="仿宋" w:hAnsi="仿宋" w:eastAsia="仿宋" w:cs="仿宋"/>
                <w:b/>
                <w:color w:val="auto"/>
                <w:sz w:val="24"/>
                <w:szCs w:val="24"/>
                <w:lang w:bidi="zh-CN"/>
              </w:rPr>
              <w:t>招标</w:t>
            </w:r>
            <w:r>
              <w:rPr>
                <w:rFonts w:hint="eastAsia" w:ascii="仿宋" w:hAnsi="仿宋" w:eastAsia="仿宋" w:cs="仿宋"/>
                <w:b/>
                <w:color w:val="auto"/>
                <w:sz w:val="24"/>
                <w:szCs w:val="24"/>
                <w:lang w:val="zh-CN" w:bidi="zh-CN"/>
              </w:rPr>
              <w:t>文件的最终解释权归</w:t>
            </w:r>
            <w:r>
              <w:rPr>
                <w:rFonts w:hint="eastAsia" w:ascii="仿宋" w:hAnsi="仿宋" w:eastAsia="仿宋" w:cs="仿宋"/>
                <w:b/>
                <w:color w:val="auto"/>
                <w:sz w:val="24"/>
                <w:szCs w:val="24"/>
                <w:lang w:bidi="zh-CN"/>
              </w:rPr>
              <w:t>招标人</w:t>
            </w:r>
            <w:r>
              <w:rPr>
                <w:rFonts w:hint="eastAsia" w:ascii="仿宋" w:hAnsi="仿宋" w:eastAsia="仿宋" w:cs="仿宋"/>
                <w:b/>
                <w:color w:val="auto"/>
                <w:sz w:val="24"/>
                <w:szCs w:val="24"/>
                <w:lang w:val="zh-CN" w:bidi="zh-CN"/>
              </w:rPr>
              <w:t>所有</w:t>
            </w:r>
          </w:p>
        </w:tc>
      </w:tr>
    </w:tbl>
    <w:p w14:paraId="587D95F3">
      <w:pPr>
        <w:rPr>
          <w:color w:val="auto"/>
        </w:rPr>
      </w:pPr>
    </w:p>
    <w:p w14:paraId="1D3F37D9">
      <w:pPr>
        <w:rPr>
          <w:color w:val="auto"/>
        </w:rPr>
      </w:pPr>
    </w:p>
    <w:p w14:paraId="058A8699">
      <w:pPr>
        <w:pStyle w:val="3"/>
        <w:spacing w:before="0" w:after="0" w:line="360" w:lineRule="auto"/>
        <w:rPr>
          <w:rFonts w:ascii="Times New Roman" w:hAnsi="Times New Roman"/>
          <w:color w:val="auto"/>
          <w:sz w:val="24"/>
          <w:szCs w:val="24"/>
        </w:rPr>
      </w:pPr>
      <w:r>
        <w:rPr>
          <w:rFonts w:ascii="Times New Roman" w:hAnsi="Times New Roman"/>
          <w:color w:val="auto"/>
          <w:sz w:val="24"/>
          <w:szCs w:val="24"/>
        </w:rPr>
        <w:t>1. 总则</w:t>
      </w:r>
      <w:bookmarkEnd w:id="14"/>
    </w:p>
    <w:p w14:paraId="72A3E0A5">
      <w:pPr>
        <w:pStyle w:val="4"/>
        <w:spacing w:before="0" w:after="0" w:line="360" w:lineRule="auto"/>
        <w:ind w:firstLine="118"/>
        <w:rPr>
          <w:rFonts w:ascii="Times New Roman" w:hAnsi="Times New Roman"/>
          <w:color w:val="auto"/>
          <w:sz w:val="24"/>
          <w:szCs w:val="24"/>
        </w:rPr>
      </w:pPr>
      <w:bookmarkStart w:id="15" w:name="_Toc534190078"/>
      <w:r>
        <w:rPr>
          <w:rFonts w:ascii="Times New Roman" w:hAnsi="Times New Roman"/>
          <w:color w:val="auto"/>
          <w:sz w:val="24"/>
          <w:szCs w:val="24"/>
        </w:rPr>
        <w:t>1.1 招标项目概况</w:t>
      </w:r>
      <w:bookmarkEnd w:id="15"/>
    </w:p>
    <w:p w14:paraId="6B0D514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1.1.1 根据《中华人民共和国招标投标法》、《中华人民共和国招标投标法实施条例》等有关法律、法规和规章的规定，本招标项目已具备招标条件，现对本项目施工进行招标。</w:t>
      </w:r>
    </w:p>
    <w:p w14:paraId="1F84B3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 招标人：见投标人须知前附表。</w:t>
      </w:r>
    </w:p>
    <w:p w14:paraId="23B31E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 招标代理机构：见投标人须知前附表。</w:t>
      </w:r>
    </w:p>
    <w:p w14:paraId="701503E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1.1.4 项目名称：见投标人须知前附表。</w:t>
      </w:r>
    </w:p>
    <w:p w14:paraId="68A057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1.1.5 建设地点：见投标人须知前附表。</w:t>
      </w:r>
    </w:p>
    <w:p w14:paraId="00A7302E">
      <w:pPr>
        <w:tabs>
          <w:tab w:val="left" w:pos="1476"/>
        </w:tabs>
        <w:autoSpaceDE w:val="0"/>
        <w:autoSpaceDN w:val="0"/>
        <w:spacing w:before="31" w:beforeLines="10" w:after="31" w:afterLines="1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bidi="zh-CN"/>
        </w:rPr>
        <w:t>1.1.6 项目规模</w:t>
      </w:r>
      <w:r>
        <w:rPr>
          <w:rFonts w:hint="eastAsia" w:ascii="仿宋" w:hAnsi="仿宋" w:eastAsia="仿宋" w:cs="仿宋"/>
          <w:color w:val="auto"/>
          <w:sz w:val="24"/>
          <w:szCs w:val="24"/>
          <w:lang w:val="zh-CN" w:bidi="zh-CN"/>
        </w:rPr>
        <w:t>：</w:t>
      </w:r>
      <w:r>
        <w:rPr>
          <w:rFonts w:hint="eastAsia" w:ascii="仿宋" w:hAnsi="仿宋" w:eastAsia="仿宋" w:cs="仿宋"/>
          <w:color w:val="auto"/>
          <w:spacing w:val="-5"/>
          <w:sz w:val="24"/>
          <w:szCs w:val="24"/>
          <w:lang w:bidi="zh-CN"/>
        </w:rPr>
        <w:t>详见投标人须知前附表</w:t>
      </w:r>
      <w:r>
        <w:rPr>
          <w:rFonts w:hint="eastAsia" w:ascii="仿宋" w:hAnsi="仿宋" w:eastAsia="仿宋" w:cs="仿宋"/>
          <w:color w:val="auto"/>
          <w:sz w:val="24"/>
          <w:szCs w:val="24"/>
          <w:lang w:val="zh-CN" w:bidi="zh-CN"/>
        </w:rPr>
        <w:t>。</w:t>
      </w:r>
    </w:p>
    <w:p w14:paraId="36C839E8">
      <w:pPr>
        <w:pStyle w:val="4"/>
        <w:spacing w:before="0" w:after="0" w:line="360" w:lineRule="auto"/>
        <w:ind w:firstLine="118"/>
        <w:rPr>
          <w:rFonts w:ascii="Times New Roman" w:hAnsi="Times New Roman"/>
          <w:color w:val="auto"/>
          <w:sz w:val="24"/>
          <w:szCs w:val="24"/>
        </w:rPr>
      </w:pPr>
      <w:bookmarkStart w:id="16" w:name="_Toc534190079"/>
      <w:r>
        <w:rPr>
          <w:rFonts w:ascii="Times New Roman" w:hAnsi="Times New Roman"/>
          <w:color w:val="auto"/>
          <w:sz w:val="24"/>
          <w:szCs w:val="24"/>
        </w:rPr>
        <w:t>1.2 招标项目的资金来源和落实情况</w:t>
      </w:r>
      <w:bookmarkEnd w:id="16"/>
    </w:p>
    <w:p w14:paraId="042617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1.2.1 资金来源：见投标人须知前附表。</w:t>
      </w:r>
    </w:p>
    <w:p w14:paraId="539D9C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1.2.2 资金落实情况：见投标人须知前附表。</w:t>
      </w:r>
    </w:p>
    <w:p w14:paraId="5EAAC48E">
      <w:pPr>
        <w:pStyle w:val="4"/>
        <w:spacing w:before="0" w:after="0" w:line="360" w:lineRule="auto"/>
        <w:ind w:firstLine="118"/>
        <w:rPr>
          <w:rFonts w:ascii="Times New Roman" w:hAnsi="Times New Roman"/>
          <w:color w:val="auto"/>
          <w:sz w:val="24"/>
          <w:szCs w:val="24"/>
        </w:rPr>
      </w:pPr>
      <w:bookmarkStart w:id="17" w:name="_Toc534190080"/>
      <w:r>
        <w:rPr>
          <w:rFonts w:ascii="Times New Roman" w:hAnsi="Times New Roman"/>
          <w:color w:val="auto"/>
          <w:sz w:val="24"/>
          <w:szCs w:val="24"/>
        </w:rPr>
        <w:t>1.3招标范围、</w:t>
      </w:r>
      <w:bookmarkEnd w:id="17"/>
      <w:r>
        <w:rPr>
          <w:rFonts w:hint="eastAsia" w:ascii="Times New Roman" w:hAnsi="Times New Roman"/>
          <w:color w:val="auto"/>
          <w:sz w:val="24"/>
          <w:szCs w:val="24"/>
        </w:rPr>
        <w:t>计划工期及质量要求</w:t>
      </w:r>
    </w:p>
    <w:p w14:paraId="707362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 招标范围：见投标人须知前附表。</w:t>
      </w:r>
    </w:p>
    <w:p w14:paraId="329552C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1.3.2 计划工期：见投标人须知前附表。</w:t>
      </w:r>
    </w:p>
    <w:p w14:paraId="3B6AF60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1.3.3 质量要求：见投标人须知前附表。</w:t>
      </w:r>
    </w:p>
    <w:p w14:paraId="744B04A6">
      <w:pPr>
        <w:pStyle w:val="4"/>
        <w:spacing w:before="0" w:after="0" w:line="360" w:lineRule="auto"/>
        <w:ind w:firstLine="118"/>
        <w:rPr>
          <w:rFonts w:ascii="Times New Roman" w:hAnsi="Times New Roman"/>
          <w:color w:val="auto"/>
          <w:sz w:val="24"/>
          <w:szCs w:val="24"/>
        </w:rPr>
      </w:pPr>
      <w:bookmarkStart w:id="18" w:name="_Toc534190081"/>
      <w:r>
        <w:rPr>
          <w:rFonts w:ascii="Times New Roman" w:hAnsi="Times New Roman"/>
          <w:color w:val="auto"/>
          <w:sz w:val="24"/>
          <w:szCs w:val="24"/>
        </w:rPr>
        <w:t>1.4投标人资格要求</w:t>
      </w:r>
      <w:bookmarkEnd w:id="18"/>
    </w:p>
    <w:p w14:paraId="485641B7">
      <w:pPr>
        <w:spacing w:line="360" w:lineRule="auto"/>
        <w:ind w:firstLine="480" w:firstLineChars="200"/>
        <w:rPr>
          <w:rFonts w:hint="eastAsia" w:ascii="仿宋" w:hAnsi="仿宋" w:eastAsia="仿宋" w:cs="仿宋"/>
          <w:color w:val="auto"/>
          <w:sz w:val="24"/>
          <w:szCs w:val="24"/>
        </w:rPr>
      </w:pPr>
      <w:bookmarkStart w:id="19" w:name="_Toc534190082"/>
      <w:r>
        <w:rPr>
          <w:rFonts w:hint="eastAsia" w:ascii="仿宋" w:hAnsi="仿宋" w:eastAsia="仿宋" w:cs="仿宋"/>
          <w:color w:val="auto"/>
          <w:sz w:val="24"/>
          <w:szCs w:val="24"/>
        </w:rPr>
        <w:t xml:space="preserve">1.4.1 投标人应具备承担本项目资格条件、能力。 </w:t>
      </w:r>
    </w:p>
    <w:p w14:paraId="2ABC0A0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（l）资格条件：见投标人须知前附表</w:t>
      </w:r>
    </w:p>
    <w:p w14:paraId="3231D812">
      <w:pPr>
        <w:spacing w:line="480" w:lineRule="exact"/>
        <w:ind w:firstLine="480" w:firstLineChars="200"/>
        <w:rPr>
          <w:rFonts w:asciiTheme="majorEastAsia" w:hAnsiTheme="majorEastAsia" w:eastAsiaTheme="majorEastAsia"/>
          <w:color w:val="auto"/>
          <w:sz w:val="24"/>
          <w:szCs w:val="24"/>
        </w:rPr>
      </w:pPr>
      <w:r>
        <w:rPr>
          <w:rFonts w:hint="eastAsia" w:ascii="仿宋" w:hAnsi="仿宋" w:eastAsia="仿宋" w:cs="仿宋"/>
          <w:color w:val="auto"/>
          <w:sz w:val="24"/>
          <w:szCs w:val="24"/>
        </w:rPr>
        <w:t>（2）其他要求：见投标人须知前附表。</w:t>
      </w:r>
      <w:r>
        <w:rPr>
          <w:rFonts w:hint="eastAsia" w:asciiTheme="majorEastAsia" w:hAnsiTheme="majorEastAsia" w:eastAsiaTheme="majorEastAsia"/>
          <w:color w:val="auto"/>
          <w:sz w:val="24"/>
          <w:szCs w:val="24"/>
        </w:rPr>
        <w:t xml:space="preserve"> </w:t>
      </w:r>
    </w:p>
    <w:p w14:paraId="173998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 投标人不得存在以下情形之一：</w:t>
      </w:r>
    </w:p>
    <w:p w14:paraId="41B69D8D">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（l）为招标人不具有独立法人资格的附属机构（单位）；</w:t>
      </w:r>
    </w:p>
    <w:p w14:paraId="1B2B9DEA">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（2）为本招标项目前期准备提供设计或咨询服务的，但设计施工总承包的除外；</w:t>
      </w:r>
    </w:p>
    <w:p w14:paraId="63C31AF8">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（3）为本招标项目的监理人；</w:t>
      </w:r>
    </w:p>
    <w:p w14:paraId="644A8803">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（4）为本招标项目的代建人；</w:t>
      </w:r>
    </w:p>
    <w:p w14:paraId="562A6BE1">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（5）为本招标项目提供招标代理服务的；</w:t>
      </w:r>
    </w:p>
    <w:p w14:paraId="2B45248B">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（6）与本招标项目的监理人或代建人或招标代理机构同为一个法定代表人的；</w:t>
      </w:r>
    </w:p>
    <w:p w14:paraId="51C842D0">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（7）与本招标项目的监理人或代建人或招标代理机构相互控股或参股的；</w:t>
      </w:r>
    </w:p>
    <w:p w14:paraId="0DFD4CF4">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（8）与本招标项目的监理人或代建人或招标代理机构相互任职或工作的；</w:t>
      </w:r>
    </w:p>
    <w:p w14:paraId="07602F65">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（9）被责令停业的；</w:t>
      </w:r>
    </w:p>
    <w:p w14:paraId="539ECE3B">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（10）被暂停或取消投标资格的；</w:t>
      </w:r>
    </w:p>
    <w:p w14:paraId="370E27FD">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（11）财产被接管或冻结的；</w:t>
      </w:r>
    </w:p>
    <w:p w14:paraId="14AC42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（12）在最近三年内有骗取中标或严重违约或重大工程质量问题的。</w:t>
      </w:r>
    </w:p>
    <w:p w14:paraId="5B82AA42">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1.5 费用承担</w:t>
      </w:r>
      <w:bookmarkEnd w:id="19"/>
    </w:p>
    <w:p w14:paraId="1A7733CC">
      <w:pPr>
        <w:spacing w:line="360" w:lineRule="auto"/>
        <w:ind w:firstLine="480" w:firstLineChars="200"/>
        <w:rPr>
          <w:rFonts w:hint="eastAsia" w:ascii="仿宋" w:hAnsi="仿宋" w:eastAsia="仿宋" w:cs="仿宋"/>
          <w:color w:val="auto"/>
          <w:sz w:val="24"/>
          <w:szCs w:val="24"/>
        </w:rPr>
      </w:pPr>
      <w:bookmarkStart w:id="20" w:name="_Toc534190083"/>
      <w:r>
        <w:rPr>
          <w:rFonts w:hint="eastAsia" w:ascii="仿宋" w:hAnsi="仿宋" w:eastAsia="仿宋" w:cs="仿宋"/>
          <w:color w:val="auto"/>
          <w:sz w:val="24"/>
          <w:szCs w:val="24"/>
        </w:rPr>
        <w:t>投标人准备和参加投标活动发生的费用自理。</w:t>
      </w:r>
    </w:p>
    <w:p w14:paraId="6D72AC4B">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1.6保密</w:t>
      </w:r>
      <w:bookmarkEnd w:id="20"/>
    </w:p>
    <w:p w14:paraId="780BBA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参与招标投标活动的各方应对招标文件和投标文件中</w:t>
      </w:r>
      <w:bookmarkStart w:id="21" w:name="_Toc384308214"/>
      <w:bookmarkStart w:id="22" w:name="_Toc369531519"/>
      <w:bookmarkStart w:id="23" w:name="_Toc5326"/>
      <w:bookmarkStart w:id="24" w:name="_Toc352691477"/>
      <w:bookmarkStart w:id="25" w:name="_Toc361508589"/>
      <w:r>
        <w:rPr>
          <w:rFonts w:hint="eastAsia" w:ascii="仿宋" w:hAnsi="仿宋" w:eastAsia="仿宋" w:cs="仿宋"/>
          <w:color w:val="auto"/>
          <w:sz w:val="24"/>
          <w:szCs w:val="24"/>
        </w:rPr>
        <w:t>的商业和技术等秘密保密</w:t>
      </w:r>
      <w:bookmarkEnd w:id="21"/>
      <w:bookmarkEnd w:id="22"/>
      <w:bookmarkEnd w:id="23"/>
      <w:bookmarkEnd w:id="24"/>
      <w:bookmarkEnd w:id="25"/>
      <w:r>
        <w:rPr>
          <w:rFonts w:hint="eastAsia" w:ascii="仿宋" w:hAnsi="仿宋" w:eastAsia="仿宋" w:cs="仿宋"/>
          <w:color w:val="auto"/>
          <w:sz w:val="24"/>
          <w:szCs w:val="24"/>
        </w:rPr>
        <w:t>，否则应承担相应的法律责任。</w:t>
      </w:r>
    </w:p>
    <w:p w14:paraId="1B57F634">
      <w:pPr>
        <w:spacing w:line="360" w:lineRule="auto"/>
        <w:rPr>
          <w:rFonts w:hint="eastAsia" w:ascii="Times New Roman" w:hAnsi="Times New Roman" w:eastAsia="黑体" w:cs="Times New Roman"/>
          <w:color w:val="auto"/>
          <w:kern w:val="2"/>
          <w:sz w:val="24"/>
          <w:szCs w:val="24"/>
          <w:lang w:val="en-US" w:eastAsia="zh-CN" w:bidi="ar-SA"/>
        </w:rPr>
      </w:pPr>
      <w:bookmarkStart w:id="26" w:name="_Toc534190084"/>
      <w:r>
        <w:rPr>
          <w:rFonts w:hint="eastAsia" w:ascii="Times New Roman" w:hAnsi="Times New Roman" w:eastAsia="黑体" w:cs="Times New Roman"/>
          <w:color w:val="auto"/>
          <w:kern w:val="2"/>
          <w:sz w:val="24"/>
          <w:szCs w:val="24"/>
          <w:lang w:val="en-US" w:eastAsia="zh-CN" w:bidi="ar-SA"/>
        </w:rPr>
        <w:t>1.7 语言文字</w:t>
      </w:r>
      <w:bookmarkEnd w:id="26"/>
    </w:p>
    <w:p w14:paraId="7022166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招标投标文件使用的语言文字为中文。专用术语使用外文的，应附有中文注释。</w:t>
      </w:r>
    </w:p>
    <w:p w14:paraId="29A9ADCD">
      <w:pPr>
        <w:spacing w:line="360" w:lineRule="auto"/>
        <w:rPr>
          <w:rFonts w:hint="eastAsia" w:ascii="Times New Roman" w:hAnsi="Times New Roman" w:eastAsia="黑体" w:cs="Times New Roman"/>
          <w:color w:val="auto"/>
          <w:kern w:val="2"/>
          <w:sz w:val="24"/>
          <w:szCs w:val="24"/>
          <w:lang w:val="en-US" w:eastAsia="zh-CN" w:bidi="ar-SA"/>
        </w:rPr>
      </w:pPr>
      <w:bookmarkStart w:id="27" w:name="_Toc534190085"/>
      <w:r>
        <w:rPr>
          <w:rFonts w:hint="eastAsia" w:ascii="Times New Roman" w:hAnsi="Times New Roman" w:eastAsia="黑体" w:cs="Times New Roman"/>
          <w:color w:val="auto"/>
          <w:kern w:val="2"/>
          <w:sz w:val="24"/>
          <w:szCs w:val="24"/>
          <w:lang w:val="en-US" w:eastAsia="zh-CN" w:bidi="ar-SA"/>
        </w:rPr>
        <w:t>1.8计量单位</w:t>
      </w:r>
      <w:bookmarkEnd w:id="27"/>
    </w:p>
    <w:p w14:paraId="74E2C6A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所有计量均采用中华人民共和国法定计量单位。</w:t>
      </w:r>
    </w:p>
    <w:p w14:paraId="29D0CFD9">
      <w:pPr>
        <w:spacing w:line="360" w:lineRule="auto"/>
        <w:rPr>
          <w:rFonts w:hint="eastAsia" w:ascii="Times New Roman" w:hAnsi="Times New Roman" w:eastAsia="黑体" w:cs="Times New Roman"/>
          <w:color w:val="auto"/>
          <w:kern w:val="2"/>
          <w:sz w:val="24"/>
          <w:szCs w:val="24"/>
          <w:lang w:val="en-US" w:eastAsia="zh-CN" w:bidi="ar-SA"/>
        </w:rPr>
      </w:pPr>
      <w:bookmarkStart w:id="28" w:name="_Toc534190086"/>
      <w:bookmarkStart w:id="29" w:name="_Toc485303284"/>
      <w:r>
        <w:rPr>
          <w:rFonts w:hint="eastAsia" w:ascii="Times New Roman" w:hAnsi="Times New Roman" w:eastAsia="黑体" w:cs="Times New Roman"/>
          <w:color w:val="auto"/>
          <w:kern w:val="2"/>
          <w:sz w:val="24"/>
          <w:szCs w:val="24"/>
          <w:lang w:val="en-US" w:eastAsia="zh-CN" w:bidi="ar-SA"/>
        </w:rPr>
        <w:t>1.9</w:t>
      </w:r>
      <w:bookmarkEnd w:id="28"/>
      <w:bookmarkEnd w:id="29"/>
      <w:r>
        <w:rPr>
          <w:rFonts w:hint="eastAsia" w:ascii="Times New Roman" w:hAnsi="Times New Roman" w:eastAsia="黑体" w:cs="Times New Roman"/>
          <w:color w:val="auto"/>
          <w:kern w:val="2"/>
          <w:sz w:val="24"/>
          <w:szCs w:val="24"/>
          <w:lang w:val="en-US" w:eastAsia="zh-CN" w:bidi="ar-SA"/>
        </w:rPr>
        <w:t>踏勘现场</w:t>
      </w:r>
    </w:p>
    <w:p w14:paraId="1114DA6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1.9.1招标人不统一组织勘察现场，投标人自行勘察。</w:t>
      </w:r>
    </w:p>
    <w:p w14:paraId="29CF7E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1.9.2投标人踏勘现场发生的费用自理。</w:t>
      </w:r>
    </w:p>
    <w:p w14:paraId="619E4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1.9.3除招标人的原因外，投标人自行负责在踏勘现场中所发生的人员伤亡和财产损失。</w:t>
      </w:r>
    </w:p>
    <w:p w14:paraId="45DDCF82">
      <w:pPr>
        <w:spacing w:line="360" w:lineRule="auto"/>
        <w:rPr>
          <w:rFonts w:hint="eastAsia" w:ascii="Times New Roman" w:hAnsi="Times New Roman" w:eastAsia="黑体" w:cs="Times New Roman"/>
          <w:color w:val="auto"/>
          <w:kern w:val="2"/>
          <w:sz w:val="24"/>
          <w:szCs w:val="24"/>
          <w:lang w:val="en-US" w:eastAsia="zh-CN" w:bidi="ar-SA"/>
        </w:rPr>
      </w:pPr>
      <w:bookmarkStart w:id="30" w:name="_Toc460423853"/>
      <w:bookmarkStart w:id="31" w:name="_Toc247592877"/>
      <w:bookmarkStart w:id="32" w:name="_Toc515369017"/>
      <w:bookmarkStart w:id="33" w:name="_Toc515368930"/>
      <w:bookmarkStart w:id="34" w:name="_Toc453949349"/>
      <w:bookmarkStart w:id="35" w:name="_Toc11709955"/>
      <w:bookmarkStart w:id="36" w:name="_Toc460619085"/>
      <w:bookmarkStart w:id="37" w:name="_Toc493606953"/>
      <w:bookmarkStart w:id="38" w:name="_Toc408147747"/>
      <w:bookmarkStart w:id="39" w:name="_Toc22359"/>
      <w:bookmarkStart w:id="40" w:name="_Toc490841992"/>
      <w:bookmarkStart w:id="41" w:name="_Toc493602405"/>
      <w:bookmarkStart w:id="42" w:name="_Toc534190088"/>
      <w:r>
        <w:rPr>
          <w:rFonts w:hint="eastAsia" w:ascii="Times New Roman" w:hAnsi="Times New Roman" w:eastAsia="黑体" w:cs="Times New Roman"/>
          <w:color w:val="auto"/>
          <w:kern w:val="2"/>
          <w:sz w:val="24"/>
          <w:szCs w:val="24"/>
          <w:lang w:val="en-US" w:eastAsia="zh-CN" w:bidi="ar-SA"/>
        </w:rPr>
        <w:t>1.10 投标预备会</w:t>
      </w:r>
      <w:bookmarkEnd w:id="30"/>
      <w:bookmarkEnd w:id="31"/>
      <w:bookmarkEnd w:id="32"/>
      <w:bookmarkEnd w:id="33"/>
      <w:bookmarkEnd w:id="34"/>
      <w:bookmarkEnd w:id="35"/>
      <w:bookmarkEnd w:id="36"/>
      <w:bookmarkEnd w:id="37"/>
      <w:bookmarkEnd w:id="38"/>
      <w:bookmarkEnd w:id="39"/>
      <w:bookmarkEnd w:id="40"/>
      <w:bookmarkEnd w:id="41"/>
    </w:p>
    <w:p w14:paraId="2CA7806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1.10.1 投标人须知前附表规定召开投标预备会的，招标人按投标人须知前附表规定的时间和地点召开投标预备会，澄清投标人提出的问题。</w:t>
      </w:r>
    </w:p>
    <w:p w14:paraId="7DDA813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1.10.2 投标人应在投标人须知前附表规定的时间前，以书面形式将提出的问题送达招标人，以便招标人在会议期间澄清。</w:t>
      </w:r>
    </w:p>
    <w:p w14:paraId="33AD8BF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1.10.3 投标预备会后，招标人在投标人须知前附表规定的时间内，将对投标人所提问题的澄清，以书面形式通知所有购买招标文件的投标人。该澄清内容为招标文件的组成部分。</w:t>
      </w:r>
    </w:p>
    <w:p w14:paraId="1248A08A">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 xml:space="preserve">1.11转包、分包 </w:t>
      </w:r>
    </w:p>
    <w:p w14:paraId="11237CB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工程不允许转包；本工程未经业主批准，中标人不得擅自分包。中标人按照合同约定或者经招标人同意，可将中标项目的部分非主体、非关键性工作分包给他人完成。但是，分包行为应当遵守四项限制性规定：（1）分包内容只能是非主体、非关键性工作，主体和关键性工作不得分包；（2）接受分包单位应当具有相应资格条件和履约能力；（3）分包应按照合同约定或者取得招标人同意后进行；（4）接受分包的单位不得再次分包，分包只能进行一次。为了维护招标人的权益，中标人与接受分包的单位应当就分包工作向招标人承担连带责任。</w:t>
      </w:r>
    </w:p>
    <w:p w14:paraId="401B78B9">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1.1</w:t>
      </w:r>
      <w:bookmarkEnd w:id="42"/>
      <w:r>
        <w:rPr>
          <w:rFonts w:hint="eastAsia" w:ascii="Times New Roman" w:hAnsi="Times New Roman" w:eastAsia="黑体" w:cs="Times New Roman"/>
          <w:color w:val="auto"/>
          <w:kern w:val="2"/>
          <w:sz w:val="24"/>
          <w:szCs w:val="24"/>
          <w:lang w:val="en-US" w:eastAsia="zh-CN" w:bidi="ar-SA"/>
        </w:rPr>
        <w:t>2 偏离</w:t>
      </w:r>
    </w:p>
    <w:p w14:paraId="37D4F9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p w14:paraId="5B51D5DD">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3" w:name="_Toc534190089"/>
      <w:r>
        <w:rPr>
          <w:rFonts w:ascii="Times New Roman" w:hAnsi="Times New Roman" w:eastAsia="黑体" w:cs="Times New Roman"/>
          <w:b w:val="0"/>
          <w:color w:val="auto"/>
          <w:kern w:val="2"/>
          <w:sz w:val="24"/>
          <w:szCs w:val="24"/>
          <w:lang w:val="en-US" w:eastAsia="zh-CN" w:bidi="ar-SA"/>
        </w:rPr>
        <w:t>2. 招标文件</w:t>
      </w:r>
      <w:bookmarkEnd w:id="43"/>
    </w:p>
    <w:p w14:paraId="17511034">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4" w:name="_Toc534190090"/>
      <w:r>
        <w:rPr>
          <w:rFonts w:ascii="Times New Roman" w:hAnsi="Times New Roman" w:eastAsia="黑体" w:cs="Times New Roman"/>
          <w:b w:val="0"/>
          <w:color w:val="auto"/>
          <w:kern w:val="2"/>
          <w:sz w:val="24"/>
          <w:szCs w:val="24"/>
          <w:lang w:val="en-US" w:eastAsia="zh-CN" w:bidi="ar-SA"/>
        </w:rPr>
        <w:t>2.1 招标文件的组成</w:t>
      </w:r>
      <w:bookmarkEnd w:id="44"/>
    </w:p>
    <w:p w14:paraId="0C9B1ED2">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（1）招标公告；</w:t>
      </w:r>
    </w:p>
    <w:p w14:paraId="2897126F">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（2）投标人须知；</w:t>
      </w:r>
    </w:p>
    <w:p w14:paraId="4DC3027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（3）评标办法及定标办法</w:t>
      </w:r>
    </w:p>
    <w:p w14:paraId="6F564D16">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（4）合同条款及格式；</w:t>
      </w:r>
    </w:p>
    <w:p w14:paraId="42FED7C3">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（5）工程量清单</w:t>
      </w:r>
      <w:r>
        <w:rPr>
          <w:rFonts w:hint="eastAsia" w:ascii="仿宋" w:hAnsi="仿宋" w:cs="仿宋"/>
          <w:color w:val="auto"/>
          <w:sz w:val="24"/>
          <w:szCs w:val="24"/>
          <w:lang w:val="en-US" w:eastAsia="zh-CN"/>
        </w:rPr>
        <w:t>及图纸</w:t>
      </w:r>
      <w:r>
        <w:rPr>
          <w:rFonts w:hint="eastAsia" w:ascii="仿宋" w:hAnsi="仿宋" w:eastAsia="仿宋" w:cs="仿宋"/>
          <w:color w:val="auto"/>
          <w:sz w:val="24"/>
          <w:szCs w:val="24"/>
        </w:rPr>
        <w:t>；</w:t>
      </w:r>
    </w:p>
    <w:p w14:paraId="386AE14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）技术标准和要求；</w:t>
      </w:r>
    </w:p>
    <w:p w14:paraId="646E064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）投标文件格式；</w:t>
      </w:r>
    </w:p>
    <w:p w14:paraId="706A27E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）投标人须知前附表规定的其他材料。</w:t>
      </w:r>
    </w:p>
    <w:p w14:paraId="3354102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根据本章第1.10款、第2.2款和第2.3款对招标文件所作的澄清、修改，构成招标文件的组成部分。</w:t>
      </w:r>
      <w:bookmarkStart w:id="45" w:name="_Toc485303289"/>
      <w:bookmarkStart w:id="46" w:name="_Toc534190091"/>
      <w:bookmarkStart w:id="47" w:name="_Toc152045540"/>
      <w:bookmarkStart w:id="48" w:name="_Toc144974508"/>
      <w:bookmarkStart w:id="49" w:name="_Toc352691484"/>
      <w:bookmarkStart w:id="50" w:name="_Toc384308220"/>
      <w:bookmarkStart w:id="51" w:name="_Toc300834960"/>
      <w:bookmarkStart w:id="52" w:name="_Toc247513963"/>
      <w:bookmarkStart w:id="53" w:name="_Toc369531526"/>
      <w:bookmarkStart w:id="54" w:name="_Toc247527564"/>
      <w:bookmarkStart w:id="55" w:name="_Toc361508595"/>
      <w:bookmarkStart w:id="56" w:name="_Toc16623"/>
      <w:bookmarkStart w:id="57" w:name="_Toc152042316"/>
    </w:p>
    <w:p w14:paraId="2758D99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2.2 招标文件的澄清</w:t>
      </w:r>
      <w:bookmarkEnd w:id="45"/>
      <w:bookmarkEnd w:id="46"/>
      <w:bookmarkStart w:id="58" w:name="_Toc485303290"/>
      <w:bookmarkStart w:id="59" w:name="_Toc352691479"/>
    </w:p>
    <w:p w14:paraId="2C8E7F54">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2A56ECA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2.2.2澄清的内容可能影响投标文件编制的，在投标截止时间15日前，以公告形式在招标公告发布的网站发布，但不指明澄清问题的来源；不足15日的，顺延提交投标文件的截止时间。</w:t>
      </w:r>
      <w:bookmarkStart w:id="60" w:name="_Toc534190092"/>
    </w:p>
    <w:p w14:paraId="01397A9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2.3 招标文件的修</w:t>
      </w:r>
      <w:bookmarkStart w:id="61" w:name="_Toc16514"/>
      <w:bookmarkStart w:id="62" w:name="_Toc369531521"/>
      <w:r>
        <w:rPr>
          <w:rFonts w:hint="eastAsia" w:ascii="仿宋" w:hAnsi="仿宋" w:eastAsia="仿宋" w:cs="仿宋"/>
          <w:color w:val="auto"/>
          <w:sz w:val="24"/>
          <w:szCs w:val="24"/>
        </w:rPr>
        <w:t>改</w:t>
      </w:r>
      <w:bookmarkEnd w:id="58"/>
      <w:bookmarkEnd w:id="60"/>
    </w:p>
    <w:bookmarkEnd w:id="59"/>
    <w:bookmarkEnd w:id="61"/>
    <w:bookmarkEnd w:id="62"/>
    <w:p w14:paraId="17694CCE">
      <w:pPr>
        <w:spacing w:line="360" w:lineRule="auto"/>
        <w:ind w:firstLine="480" w:firstLineChars="200"/>
        <w:rPr>
          <w:rFonts w:hint="eastAsia" w:ascii="仿宋" w:hAnsi="仿宋" w:eastAsia="仿宋" w:cs="仿宋"/>
          <w:bCs/>
          <w:color w:val="auto"/>
          <w:sz w:val="24"/>
          <w:szCs w:val="24"/>
        </w:rPr>
      </w:pPr>
      <w:bookmarkStart w:id="63" w:name="_Toc534190093"/>
      <w:r>
        <w:rPr>
          <w:rFonts w:hint="eastAsia" w:ascii="仿宋" w:hAnsi="仿宋" w:eastAsia="仿宋" w:cs="仿宋"/>
          <w:bCs/>
          <w:color w:val="auto"/>
          <w:sz w:val="24"/>
          <w:szCs w:val="24"/>
        </w:rPr>
        <w:t>2.3.1</w:t>
      </w:r>
      <w:r>
        <w:rPr>
          <w:rFonts w:hint="eastAsia" w:ascii="仿宋" w:hAnsi="仿宋" w:eastAsia="仿宋" w:cs="仿宋"/>
          <w:color w:val="auto"/>
          <w:sz w:val="24"/>
          <w:szCs w:val="24"/>
        </w:rPr>
        <w:t>在投标截止时间15日前，招标人可以公告形式发布修改招标文件。如果修改招标文件的时间距投标截止时间不足 15 日的，顺延提交投标文件的截止时间。</w:t>
      </w:r>
    </w:p>
    <w:p w14:paraId="3BEA457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sz w:val="24"/>
          <w:szCs w:val="24"/>
        </w:rPr>
        <w:t>2.3.2 招标文件一经网上发布，视作已发放给所有投标人，不再予以书面回复通知。</w:t>
      </w:r>
    </w:p>
    <w:bookmarkEnd w:id="47"/>
    <w:bookmarkEnd w:id="48"/>
    <w:bookmarkEnd w:id="49"/>
    <w:bookmarkEnd w:id="50"/>
    <w:bookmarkEnd w:id="51"/>
    <w:bookmarkEnd w:id="52"/>
    <w:bookmarkEnd w:id="53"/>
    <w:bookmarkEnd w:id="54"/>
    <w:bookmarkEnd w:id="55"/>
    <w:bookmarkEnd w:id="56"/>
    <w:bookmarkEnd w:id="57"/>
    <w:bookmarkEnd w:id="63"/>
    <w:p w14:paraId="6E3ABCE8">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4" w:name="_Toc534190094"/>
      <w:r>
        <w:rPr>
          <w:rFonts w:ascii="Times New Roman" w:hAnsi="Times New Roman" w:eastAsia="黑体" w:cs="Times New Roman"/>
          <w:b w:val="0"/>
          <w:color w:val="auto"/>
          <w:kern w:val="2"/>
          <w:sz w:val="24"/>
          <w:szCs w:val="24"/>
          <w:lang w:val="en-US" w:eastAsia="zh-CN" w:bidi="ar-SA"/>
        </w:rPr>
        <w:t>3. 投标文件</w:t>
      </w:r>
      <w:bookmarkEnd w:id="64"/>
    </w:p>
    <w:p w14:paraId="6F47E857">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5" w:name="_Toc534190095"/>
      <w:r>
        <w:rPr>
          <w:rFonts w:ascii="Times New Roman" w:hAnsi="Times New Roman" w:eastAsia="黑体" w:cs="Times New Roman"/>
          <w:b w:val="0"/>
          <w:color w:val="auto"/>
          <w:kern w:val="2"/>
          <w:sz w:val="24"/>
          <w:szCs w:val="24"/>
          <w:lang w:val="en-US" w:eastAsia="zh-CN" w:bidi="ar-SA"/>
        </w:rPr>
        <w:t>3.1 投标文件的组成</w:t>
      </w:r>
      <w:bookmarkEnd w:id="65"/>
    </w:p>
    <w:p w14:paraId="35CF968D">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3.1.1 投标文件应包括下列内容：</w:t>
      </w:r>
    </w:p>
    <w:p w14:paraId="790343E0">
      <w:pPr>
        <w:spacing w:line="360" w:lineRule="auto"/>
        <w:ind w:firstLine="480" w:firstLineChars="200"/>
        <w:rPr>
          <w:rFonts w:hint="eastAsia" w:ascii="仿宋" w:hAnsi="仿宋" w:eastAsia="仿宋" w:cs="仿宋"/>
          <w:color w:val="auto"/>
          <w:sz w:val="24"/>
          <w:szCs w:val="24"/>
        </w:rPr>
      </w:pPr>
      <w:bookmarkStart w:id="66" w:name="_Toc534190096"/>
      <w:r>
        <w:rPr>
          <w:rFonts w:hint="eastAsia" w:ascii="仿宋" w:hAnsi="仿宋" w:eastAsia="仿宋" w:cs="仿宋"/>
          <w:color w:val="auto"/>
          <w:sz w:val="24"/>
          <w:szCs w:val="24"/>
        </w:rPr>
        <w:t>（1）投标函</w:t>
      </w:r>
    </w:p>
    <w:p w14:paraId="1F8EBA3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（2）报价一览表</w:t>
      </w:r>
    </w:p>
    <w:p w14:paraId="5F9022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（3）法定代表人身份证明或法人授权委托书</w:t>
      </w:r>
    </w:p>
    <w:p w14:paraId="290223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）已标价工程量清单</w:t>
      </w:r>
    </w:p>
    <w:p w14:paraId="1E9A81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）施工组织设计</w:t>
      </w:r>
    </w:p>
    <w:p w14:paraId="3F59D65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）项目管理机构</w:t>
      </w:r>
    </w:p>
    <w:p w14:paraId="76388D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）资格审查资料</w:t>
      </w:r>
    </w:p>
    <w:p w14:paraId="7F5A3C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）对招标文件的认同程度的声明</w:t>
      </w:r>
    </w:p>
    <w:p w14:paraId="002BCBB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）其他材料</w:t>
      </w:r>
    </w:p>
    <w:p w14:paraId="0971B1A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3.2 投标报价</w:t>
      </w:r>
      <w:bookmarkEnd w:id="66"/>
    </w:p>
    <w:p w14:paraId="0A4071E5">
      <w:pPr>
        <w:shd w:val="clear" w:color="auto" w:fill="auto"/>
        <w:spacing w:line="360" w:lineRule="auto"/>
        <w:ind w:firstLine="496" w:firstLineChars="200"/>
        <w:rPr>
          <w:rFonts w:hint="eastAsia" w:ascii="仿宋" w:hAnsi="仿宋" w:eastAsia="仿宋" w:cs="仿宋"/>
          <w:color w:val="auto"/>
          <w:spacing w:val="4"/>
          <w:sz w:val="24"/>
          <w:highlight w:val="none"/>
        </w:rPr>
      </w:pPr>
      <w:bookmarkStart w:id="67" w:name="_Toc534190097"/>
      <w:r>
        <w:rPr>
          <w:rFonts w:hint="eastAsia" w:ascii="仿宋" w:hAnsi="仿宋" w:eastAsia="仿宋" w:cs="仿宋"/>
          <w:color w:val="auto"/>
          <w:spacing w:val="4"/>
          <w:sz w:val="24"/>
          <w:highlight w:val="none"/>
        </w:rPr>
        <w:t>3.2.1投标报价依据</w:t>
      </w:r>
    </w:p>
    <w:p w14:paraId="0D220BE2">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投标人的投标报价依据：工程设计文件，招标文件及有关资料，拟定的施工方案，工程量清单构成要素的市场价格和国家省市有关计价文件规定，本工程施工现场情况和企业自身实际情况以及施工期间的各种风险因素等。</w:t>
      </w:r>
    </w:p>
    <w:p w14:paraId="540CDB7D">
      <w:pPr>
        <w:shd w:val="clear" w:color="auto" w:fill="auto"/>
        <w:spacing w:line="360" w:lineRule="auto"/>
        <w:ind w:firstLine="498" w:firstLineChars="200"/>
        <w:rPr>
          <w:rFonts w:hint="eastAsia" w:ascii="仿宋" w:hAnsi="仿宋" w:eastAsia="仿宋" w:cs="仿宋"/>
          <w:b/>
          <w:bCs/>
          <w:color w:val="auto"/>
          <w:spacing w:val="4"/>
          <w:sz w:val="24"/>
          <w:highlight w:val="none"/>
        </w:rPr>
      </w:pPr>
      <w:r>
        <w:rPr>
          <w:rFonts w:hint="eastAsia" w:ascii="仿宋" w:hAnsi="仿宋" w:eastAsia="仿宋" w:cs="仿宋"/>
          <w:b/>
          <w:bCs/>
          <w:color w:val="auto"/>
          <w:spacing w:val="4"/>
          <w:sz w:val="24"/>
          <w:highlight w:val="none"/>
        </w:rPr>
        <w:t>3.2.2投标报价说明</w:t>
      </w:r>
    </w:p>
    <w:p w14:paraId="35FE926A">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投标人的投标报价应按照本须知第3.2.1项的依据，采用工程量清单计价模式，结合本工程实际情况和企业自身情况实行自主报价。投标人的投标报价不得高于招标人公布的投标报价最高限价，不得低于其企业成本，不得减少工程造价的构成</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否则经评标委员会评定后，其投标文件作无效标处理</w:t>
      </w:r>
      <w:r>
        <w:rPr>
          <w:rFonts w:hint="eastAsia" w:ascii="仿宋" w:hAnsi="仿宋" w:eastAsia="仿宋" w:cs="仿宋"/>
          <w:color w:val="auto"/>
          <w:spacing w:val="4"/>
          <w:sz w:val="24"/>
          <w:highlight w:val="none"/>
        </w:rPr>
        <w:t>。</w:t>
      </w:r>
      <w:r>
        <w:rPr>
          <w:rFonts w:hint="eastAsia" w:ascii="仿宋" w:hAnsi="仿宋" w:eastAsia="仿宋" w:cs="仿宋"/>
          <w:color w:val="auto"/>
          <w:sz w:val="24"/>
          <w:szCs w:val="24"/>
          <w:highlight w:val="none"/>
        </w:rPr>
        <w:t>对规费和税金的内容，应执行国家（和省市）最新规定。</w:t>
      </w:r>
    </w:p>
    <w:p w14:paraId="1B05642D">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（2）投标人的投标报价</w:t>
      </w:r>
    </w:p>
    <w:p w14:paraId="55E831AB">
      <w:pPr>
        <w:shd w:val="clear" w:color="auto" w:fill="auto"/>
        <w:spacing w:line="360" w:lineRule="auto"/>
        <w:ind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rPr>
        <w:t>投标文件报价中的单价和合价均采用人民币表示</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rPr>
        <w:t>投标报价应包括现行工程造价构成的全部内容</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rPr>
        <w:t>为完成清单项目需要而发生的零星工程项目</w:t>
      </w:r>
      <w:r>
        <w:rPr>
          <w:rFonts w:hint="eastAsia" w:ascii="仿宋" w:hAnsi="仿宋" w:eastAsia="仿宋" w:cs="仿宋"/>
          <w:color w:val="auto"/>
          <w:spacing w:val="4"/>
          <w:sz w:val="24"/>
          <w:highlight w:val="none"/>
          <w:lang w:val="en-US" w:eastAsia="zh-CN"/>
        </w:rPr>
        <w:t>费用</w:t>
      </w:r>
      <w:r>
        <w:rPr>
          <w:rFonts w:hint="eastAsia" w:ascii="仿宋" w:hAnsi="仿宋" w:eastAsia="仿宋" w:cs="仿宋"/>
          <w:color w:val="auto"/>
          <w:spacing w:val="4"/>
          <w:sz w:val="24"/>
          <w:highlight w:val="none"/>
        </w:rPr>
        <w:t>，已包含在有关项目的单价和合价中，发包人不另行支付</w:t>
      </w:r>
      <w:r>
        <w:rPr>
          <w:rFonts w:hint="eastAsia" w:ascii="仿宋" w:hAnsi="仿宋" w:eastAsia="仿宋" w:cs="仿宋"/>
          <w:color w:val="auto"/>
          <w:spacing w:val="4"/>
          <w:sz w:val="24"/>
          <w:highlight w:val="none"/>
          <w:lang w:eastAsia="zh-CN"/>
        </w:rPr>
        <w:t>。</w:t>
      </w:r>
    </w:p>
    <w:p w14:paraId="3D395061">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w:t>
      </w:r>
      <w:r>
        <w:rPr>
          <w:rFonts w:hint="eastAsia" w:ascii="仿宋" w:hAnsi="仿宋" w:eastAsia="仿宋" w:cs="仿宋"/>
          <w:b/>
          <w:color w:val="auto"/>
          <w:sz w:val="24"/>
          <w:highlight w:val="none"/>
        </w:rPr>
        <w:t>投标价格采用工程量清单报价</w:t>
      </w:r>
      <w:r>
        <w:rPr>
          <w:rFonts w:hint="eastAsia" w:ascii="仿宋" w:hAnsi="仿宋" w:eastAsia="仿宋" w:cs="仿宋"/>
          <w:color w:val="auto"/>
          <w:sz w:val="24"/>
          <w:highlight w:val="none"/>
        </w:rPr>
        <w:t>，</w:t>
      </w:r>
      <w:r>
        <w:rPr>
          <w:rFonts w:hint="eastAsia" w:ascii="仿宋" w:hAnsi="仿宋" w:eastAsia="仿宋" w:cs="仿宋"/>
          <w:color w:val="auto"/>
          <w:sz w:val="24"/>
          <w:szCs w:val="24"/>
          <w:highlight w:val="none"/>
        </w:rPr>
        <w:t>投标人编制的工程量清单报价与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发出的工程量清单必须一致，工程量清单中的序号、项目编码、名称、数量及单位</w:t>
      </w:r>
      <w:r>
        <w:rPr>
          <w:rFonts w:hint="eastAsia" w:ascii="仿宋" w:hAnsi="仿宋" w:eastAsia="仿宋" w:cs="仿宋"/>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专业工程暂估价（如涉及）、材料暂估价（如涉及）</w:t>
      </w:r>
      <w:r>
        <w:rPr>
          <w:rFonts w:hint="eastAsia" w:ascii="仿宋" w:hAnsi="仿宋" w:eastAsia="仿宋" w:cs="仿宋"/>
          <w:color w:val="auto"/>
          <w:sz w:val="24"/>
          <w:szCs w:val="24"/>
          <w:highlight w:val="none"/>
        </w:rPr>
        <w:t>不得删除或修改，否则做无效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处理。</w:t>
      </w:r>
      <w:r>
        <w:rPr>
          <w:rFonts w:hint="eastAsia" w:ascii="仿宋" w:hAnsi="仿宋" w:eastAsia="仿宋" w:cs="仿宋"/>
          <w:color w:val="auto"/>
          <w:sz w:val="24"/>
          <w:highlight w:val="none"/>
        </w:rPr>
        <w:t>投标人在计算报价时，应充分考虑企业自身实力和承受风险的能力。</w:t>
      </w:r>
    </w:p>
    <w:p w14:paraId="21D7D582">
      <w:pPr>
        <w:pStyle w:val="15"/>
        <w:shd w:val="clear" w:color="auto" w:fill="auto"/>
        <w:tabs>
          <w:tab w:val="left" w:pos="0"/>
          <w:tab w:val="left" w:pos="780"/>
        </w:tabs>
        <w:spacing w:after="0" w:line="420" w:lineRule="exact"/>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（4）投标报价还应根据招标人提供的招标文件、工程量清单、补充资料、施工现场条件、招标文件答疑等有关资料。</w:t>
      </w:r>
    </w:p>
    <w:p w14:paraId="0D0D618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4"/>
          <w:sz w:val="24"/>
          <w:highlight w:val="none"/>
        </w:rPr>
        <w:t>（5）承包人应充分考虑企业自身实力和承受风险的能力，合同包含的所有风险及责任以及投标人踏勘施工现场所发现的特殊因素，不得以任何理由予以重复。</w:t>
      </w:r>
    </w:p>
    <w:p w14:paraId="2BA02A4C">
      <w:pPr>
        <w:pStyle w:val="15"/>
        <w:shd w:val="clear" w:color="auto" w:fill="auto"/>
        <w:tabs>
          <w:tab w:val="left" w:pos="0"/>
          <w:tab w:val="left" w:pos="780"/>
        </w:tabs>
        <w:spacing w:after="0"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）材料价格参考当前市场价格及自身情况自主报价。</w:t>
      </w:r>
      <w:r>
        <w:rPr>
          <w:rFonts w:hint="eastAsia" w:ascii="仿宋" w:hAnsi="仿宋" w:eastAsia="仿宋" w:cs="仿宋"/>
          <w:color w:val="auto"/>
          <w:spacing w:val="4"/>
          <w:sz w:val="24"/>
          <w:highlight w:val="none"/>
        </w:rPr>
        <w:t>专门用于本工程施工的所有设备、设施和材料一经运到施工现场，即应被视为专供工程施工使用，由承包人负责保管，招标人不再单独支付保管费。</w:t>
      </w:r>
    </w:p>
    <w:p w14:paraId="4600B4B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7</w:t>
      </w:r>
      <w:r>
        <w:rPr>
          <w:rFonts w:hint="eastAsia" w:ascii="仿宋" w:hAnsi="仿宋" w:eastAsia="仿宋" w:cs="仿宋"/>
          <w:color w:val="auto"/>
          <w:spacing w:val="4"/>
          <w:sz w:val="24"/>
          <w:highlight w:val="none"/>
        </w:rPr>
        <w:t>）投标人的投标报价不得对不可竞争费进行让利或优惠，否则，将被作为无效投标处理。</w:t>
      </w:r>
    </w:p>
    <w:p w14:paraId="0B38986E">
      <w:pPr>
        <w:shd w:val="clear" w:color="auto" w:fill="auto"/>
        <w:spacing w:line="360" w:lineRule="auto"/>
        <w:ind w:firstLine="496" w:firstLineChars="200"/>
        <w:rPr>
          <w:rFonts w:hint="eastAsia" w:ascii="仿宋" w:hAnsi="仿宋" w:eastAsia="仿宋" w:cs="仿宋"/>
          <w:color w:val="auto"/>
          <w:sz w:val="24"/>
          <w:szCs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8</w:t>
      </w:r>
      <w:r>
        <w:rPr>
          <w:rFonts w:hint="eastAsia" w:ascii="仿宋" w:hAnsi="仿宋" w:eastAsia="仿宋" w:cs="仿宋"/>
          <w:color w:val="auto"/>
          <w:spacing w:val="4"/>
          <w:sz w:val="24"/>
          <w:highlight w:val="none"/>
        </w:rPr>
        <w:t>）本工程采用</w:t>
      </w:r>
      <w:r>
        <w:rPr>
          <w:rFonts w:hint="eastAsia" w:ascii="仿宋" w:hAnsi="仿宋" w:eastAsia="仿宋" w:cs="仿宋"/>
          <w:b/>
          <w:bCs/>
          <w:color w:val="auto"/>
          <w:spacing w:val="4"/>
          <w:sz w:val="24"/>
          <w:highlight w:val="none"/>
          <w:lang w:val="en-US" w:eastAsia="zh-CN"/>
        </w:rPr>
        <w:t>固定总价</w:t>
      </w:r>
      <w:r>
        <w:rPr>
          <w:rFonts w:hint="eastAsia" w:ascii="仿宋" w:hAnsi="仿宋" w:eastAsia="仿宋" w:cs="仿宋"/>
          <w:b/>
          <w:bCs/>
          <w:color w:val="auto"/>
          <w:spacing w:val="4"/>
          <w:sz w:val="24"/>
          <w:highlight w:val="none"/>
        </w:rPr>
        <w:t>合同</w:t>
      </w:r>
      <w:r>
        <w:rPr>
          <w:rFonts w:hint="eastAsia" w:ascii="仿宋" w:hAnsi="仿宋" w:eastAsia="仿宋" w:cs="仿宋"/>
          <w:color w:val="auto"/>
          <w:spacing w:val="4"/>
          <w:sz w:val="24"/>
          <w:highlight w:val="none"/>
        </w:rPr>
        <w:t>。招标工程量清单与计价表中列明的所有需要填写单价和合价的项目，投标人均应填写且只允许有一个报价。</w:t>
      </w:r>
      <w:r>
        <w:rPr>
          <w:rFonts w:hint="eastAsia" w:ascii="仿宋" w:hAnsi="仿宋" w:eastAsia="仿宋" w:cs="仿宋"/>
          <w:color w:val="auto"/>
          <w:sz w:val="24"/>
          <w:szCs w:val="24"/>
          <w:highlight w:val="none"/>
          <w:lang w:val="en-US" w:eastAsia="zh-CN"/>
        </w:rPr>
        <w:t>若投标人没有填写单价、合价的项目，或因计算错误而减少或遗漏，视为投标方的减让，招标人将认为此项费用已包括在其他项目单价、合价中，竣工结算时，此项目不得重新组价予以调整。</w:t>
      </w:r>
    </w:p>
    <w:p w14:paraId="3402EACE">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9</w:t>
      </w:r>
      <w:r>
        <w:rPr>
          <w:rFonts w:hint="eastAsia" w:ascii="仿宋" w:hAnsi="仿宋" w:eastAsia="仿宋" w:cs="仿宋"/>
          <w:color w:val="auto"/>
          <w:spacing w:val="4"/>
          <w:sz w:val="24"/>
          <w:highlight w:val="none"/>
        </w:rPr>
        <w:t>）投标人在投标截止时间前修改投标函中的投标报价总额，应同时修改投标文件“价格清单”中的相应报价，投标报价总额为各分项金额之和。此修改须符合本章第4.</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款的有关要求。</w:t>
      </w:r>
    </w:p>
    <w:p w14:paraId="00D4DBF0">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（1</w:t>
      </w:r>
      <w:r>
        <w:rPr>
          <w:rFonts w:hint="eastAsia" w:ascii="仿宋" w:hAnsi="仿宋" w:eastAsia="仿宋" w:cs="仿宋"/>
          <w:color w:val="auto"/>
          <w:spacing w:val="4"/>
          <w:sz w:val="24"/>
          <w:highlight w:val="none"/>
          <w:lang w:val="en-US" w:eastAsia="zh-CN"/>
        </w:rPr>
        <w:t>0</w:t>
      </w:r>
      <w:r>
        <w:rPr>
          <w:rFonts w:hint="eastAsia" w:ascii="仿宋" w:hAnsi="仿宋" w:eastAsia="仿宋" w:cs="仿宋"/>
          <w:color w:val="auto"/>
          <w:spacing w:val="4"/>
          <w:sz w:val="24"/>
          <w:highlight w:val="none"/>
        </w:rPr>
        <w:t>）本项目所发生的二次提水、停水、停电、误工损失、临时用水、用电等费用，由投标人综合考虑进入报价，不再办理现场签证。提水、停水、停电、误工损失、临时用水、用电等费用，由投标人综合考虑进入报价，不再办理现场签证。</w:t>
      </w:r>
    </w:p>
    <w:p w14:paraId="4BF196B9">
      <w:pPr>
        <w:pStyle w:val="15"/>
        <w:shd w:val="clear" w:color="auto" w:fill="auto"/>
        <w:tabs>
          <w:tab w:val="left" w:pos="0"/>
          <w:tab w:val="left" w:pos="780"/>
        </w:tabs>
        <w:spacing w:after="0" w:line="360" w:lineRule="auto"/>
        <w:ind w:left="0" w:leftChars="0" w:firstLine="480"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 投标人编制的工程量清单报价必须严格执行工程量清单计价办法并进行综合单价</w:t>
      </w:r>
      <w:r>
        <w:rPr>
          <w:rFonts w:hint="eastAsia" w:ascii="仿宋" w:hAnsi="仿宋" w:eastAsia="仿宋" w:cs="仿宋"/>
          <w:color w:val="auto"/>
          <w:spacing w:val="4"/>
          <w:sz w:val="24"/>
          <w:highlight w:val="none"/>
        </w:rPr>
        <w:t>分析，否则，作为无效投标予以否决</w:t>
      </w:r>
      <w:r>
        <w:rPr>
          <w:rFonts w:hint="eastAsia" w:ascii="仿宋" w:hAnsi="仿宋" w:eastAsia="仿宋" w:cs="仿宋"/>
          <w:color w:val="auto"/>
          <w:spacing w:val="4"/>
          <w:sz w:val="24"/>
          <w:highlight w:val="none"/>
          <w:lang w:eastAsia="zh-CN"/>
        </w:rPr>
        <w:t>。</w:t>
      </w:r>
    </w:p>
    <w:p w14:paraId="00106A0C">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12</w:t>
      </w:r>
      <w:r>
        <w:rPr>
          <w:rFonts w:hint="eastAsia" w:ascii="仿宋" w:hAnsi="仿宋" w:eastAsia="仿宋" w:cs="仿宋"/>
          <w:color w:val="auto"/>
          <w:spacing w:val="4"/>
          <w:sz w:val="24"/>
          <w:highlight w:val="none"/>
          <w:lang w:eastAsia="zh-CN"/>
        </w:rPr>
        <w:t>）投标人可先到工地踏勘以充分了解工地位置、情况、道路、储存空间、装卸限制及任何其他足以影响承包价的情况，任何因忽视或误解工地情况而导致的索赔或工期延长申请将不被批准。招标人未对项目调整时，中标人不得以任何理由要求增加合同金额。</w:t>
      </w:r>
    </w:p>
    <w:p w14:paraId="2B53FF6F">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13）</w:t>
      </w:r>
      <w:r>
        <w:rPr>
          <w:rFonts w:hint="eastAsia" w:ascii="仿宋" w:hAnsi="仿宋" w:eastAsia="仿宋" w:cs="仿宋"/>
          <w:color w:val="auto"/>
          <w:spacing w:val="4"/>
          <w:sz w:val="24"/>
          <w:highlight w:val="none"/>
          <w:lang w:eastAsia="zh-CN"/>
        </w:rPr>
        <w:t>投标人要仔细踏勘现场，根据现有场地科学合理进行现场布置，组织施工，合理利用临时用地。由中标人产生的建筑垃圾，工程竣工时由中标人清运，地点自行考虑，由此产生的费用，投标时在报价中包含。</w:t>
      </w:r>
    </w:p>
    <w:p w14:paraId="3C05DA2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14</w:t>
      </w:r>
      <w:r>
        <w:rPr>
          <w:rFonts w:hint="eastAsia" w:ascii="仿宋" w:hAnsi="仿宋" w:eastAsia="仿宋" w:cs="仿宋"/>
          <w:color w:val="auto"/>
          <w:spacing w:val="4"/>
          <w:sz w:val="24"/>
          <w:highlight w:val="none"/>
          <w:lang w:eastAsia="zh-CN"/>
        </w:rPr>
        <w:t>）投标人不得采用不平衡报价的方式进行报价，投标人的投标单价明显高于或低于市场价格的，经评标委员会评定后，其投标文件作无效标处理。在施工过程中，若招标人发现有不平衡报价情况，招标人有权在总价不变的情况下调整综合单价。</w:t>
      </w:r>
    </w:p>
    <w:p w14:paraId="2D459067">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15）</w:t>
      </w:r>
      <w:r>
        <w:rPr>
          <w:rFonts w:hint="eastAsia" w:ascii="仿宋" w:hAnsi="仿宋" w:eastAsia="仿宋" w:cs="仿宋"/>
          <w:color w:val="auto"/>
          <w:spacing w:val="4"/>
          <w:sz w:val="24"/>
          <w:highlight w:val="none"/>
          <w:lang w:eastAsia="zh-CN"/>
        </w:rPr>
        <w:t>施工的报价范围：</w:t>
      </w:r>
    </w:p>
    <w:p w14:paraId="0017DAD0">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1）报价范围：投标人需按要求报总报价和保修期内的维护方案（含大修）及相应的费用清单（含材料、设备、备品备件、易损件）。</w:t>
      </w:r>
    </w:p>
    <w:p w14:paraId="16A67FB3">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报价：按招标文件给定的设备数量、技术参数分项报出成套设备的单价、合计单项价和总价，如果单价与合计单项价（计算）不符，以单价为准；如果合计单项价之和与报价总价不符，则以合计单项价之和为准。除招标文件有特殊要求，招标人不接受有任何选择的报价。合同为固定总价合同，除招标人设计变更外，其它任何因素在供货、安装期内总价均不予调整。在合同执行期间，如工期顺延，价格不再调整。投标人在计算报价时，应充分考虑企业自身实力和承受风险的能力。</w:t>
      </w:r>
    </w:p>
    <w:p w14:paraId="3CB58A97">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3） 设备总价应含井道改造费用（投标人必须保证按照双方确认的土建图纸施工，否则产生的土建修改费由投标人自行承担）、土建配合费、电梯设备费、包装费、运输费、装卸（含出厂装车费、工地卸车费、二次搬运等费用）、安装费（含吊装、厂家须提前配合查勘现场，土建整改后符合安装条件）、调试费、保管费、管理费、保修费、技术培训费、食宿费、交通费、井道照明的施工费用、各种辅材费用（井道内视频、网络、监控线缆）、相关部门检验检测费（含消防联动）、保险费、相关税费（包括关税、商检、手续费等）、风险费、施工用水、施工及试运行用电、施工及调试用电缆（至主控机房）、智能化安装配合费、五方对讲通话系统施工费、租赁脚手架、垂直运输费、办理施工许可证、办理电梯安全核验合格报告、办理当地技术监督部门合格证书注册备案等，直至由质量技术监督局等部门验收合格并向招标人提交“电梯安全核验合格证书”、双方正式移交前的一次性费用、施工现场技术资料费，即交钥匙工程。在报价内所能提供的备品备件列表注明。设备涉及的专利费用，招标人均认为已包含在投标报价中。设备涉及到的专利问题，招标人均不对此承担任何责任。质保期内，电梯年检费用包含在总价内。</w:t>
      </w:r>
    </w:p>
    <w:p w14:paraId="756B1ACB">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4） 提供详细的培训计划和售后服务措施（包括维修及售后服务承诺）。详述保修期满后的委托维保措施、内容和费用（列表）。质保期不低于质量检验验收部门验收合格之日起两年（自由竞报），质保期内电梯日常维护保养及维修均由中标人负责，并提出维护方案。投标人应列出质保期后，如果业主与供货方签订维保合同，每年每台电梯全包的维修保养费用以及维保内容；并列出保修期外的大修维护方案及相应的费用清单（含材料、设备、备品备件、易损件等，注明名称、型号和价格）。</w:t>
      </w:r>
    </w:p>
    <w:p w14:paraId="5C0E4BFC">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 应分别标明每种设备的品牌、型号、性能、产地、设备单价、材料费、运费、安装费、吊装费、维护费用等所有费用、合计价。本项目所有报价应为包括外购、外协、配套件、原材料及生产制造、油漆、包装、保险、税费（进口部分还要包括关税、商检、手续费等）、管理、检验、运杂费、装卸费、安装调试、培训、配合、检测验收、图纸资料及保修等全部费用的报价。</w:t>
      </w:r>
    </w:p>
    <w:p w14:paraId="4989A729">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 所有的设备或材料（包括所有的配件）的供货、安装、调试、试运行、检测验收等必须按照国家电梯供货及安装相关规范及技术要求完成，并达到招标人满意。</w:t>
      </w:r>
    </w:p>
    <w:p w14:paraId="11C8806D">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7） 招标人采购的投标人的设备、材料及招标文件其他内容中，如存在环保安全缺陷问题，并因此给招标人带来的全部经济损失由中标人承担。</w:t>
      </w:r>
    </w:p>
    <w:p w14:paraId="7F46FB7D">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8） 投标人按提供的技术参数进行报价，中标后，设备具体制造尺寸以招标人、设计院、中标人三方确认后的图纸尺寸为准。</w:t>
      </w:r>
    </w:p>
    <w:p w14:paraId="5863AA29">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9）交货按标书（合同）要求时间交货，运输方式投标人自定。</w:t>
      </w:r>
    </w:p>
    <w:p w14:paraId="080D86E8">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10） 安全文明施工费按照现行文件规定计取，进入报价。在施工中如果出现人员伤亡、财产损失均由施工方承担。</w:t>
      </w:r>
    </w:p>
    <w:p w14:paraId="7B11F583">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11）</w:t>
      </w:r>
      <w:r>
        <w:rPr>
          <w:rFonts w:hint="eastAsia" w:ascii="仿宋" w:hAnsi="仿宋" w:cs="仿宋"/>
          <w:color w:val="auto"/>
          <w:spacing w:val="4"/>
          <w:sz w:val="24"/>
          <w:highlight w:val="none"/>
          <w:lang w:val="en-US" w:eastAsia="zh-CN"/>
        </w:rPr>
        <w:t>总承包单位</w:t>
      </w:r>
      <w:r>
        <w:rPr>
          <w:rFonts w:hint="eastAsia" w:ascii="仿宋" w:hAnsi="仿宋" w:eastAsia="仿宋" w:cs="仿宋"/>
          <w:color w:val="auto"/>
          <w:spacing w:val="4"/>
          <w:sz w:val="24"/>
          <w:highlight w:val="none"/>
          <w:lang w:eastAsia="zh-CN"/>
        </w:rPr>
        <w:t>施工工程的建筑</w:t>
      </w:r>
      <w:r>
        <w:rPr>
          <w:rFonts w:hint="eastAsia" w:ascii="仿宋" w:hAnsi="仿宋" w:eastAsia="仿宋" w:cs="仿宋"/>
          <w:color w:val="auto"/>
          <w:spacing w:val="4"/>
          <w:sz w:val="24"/>
          <w:highlight w:val="none"/>
          <w:lang w:val="en-US" w:eastAsia="zh-CN"/>
        </w:rPr>
        <w:t>达不到电梯施工要求</w:t>
      </w:r>
      <w:r>
        <w:rPr>
          <w:rFonts w:hint="eastAsia" w:ascii="仿宋" w:hAnsi="仿宋" w:eastAsia="仿宋" w:cs="仿宋"/>
          <w:color w:val="auto"/>
          <w:spacing w:val="4"/>
          <w:sz w:val="24"/>
          <w:highlight w:val="none"/>
          <w:lang w:eastAsia="zh-CN"/>
        </w:rPr>
        <w:t>等遗留的一切问题处理的费用全部进入报价。</w:t>
      </w:r>
    </w:p>
    <w:p w14:paraId="4815CF09">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12</w:t>
      </w:r>
      <w:r>
        <w:rPr>
          <w:rFonts w:hint="eastAsia" w:ascii="仿宋" w:hAnsi="仿宋" w:eastAsia="仿宋" w:cs="仿宋"/>
          <w:color w:val="auto"/>
          <w:spacing w:val="4"/>
          <w:sz w:val="24"/>
          <w:highlight w:val="none"/>
          <w:lang w:eastAsia="zh-CN"/>
        </w:rPr>
        <w:t>）除非合同中另有规定，投标总报价中是完成设计图纸内的全部内容，含分部分项工程费合价、措施项目费、其他项目费、规费、税金、所有配套费、垃圾清理（运）费、发包方分包的工程施工配合费、大型机械迁移费、各种设备的调试费等现行工程造价构成的所有内容、政策性文件规定的各种费用、劳动力及机械等价格上涨、国家政策性调整、因发包人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除暂估价外，此</w:t>
      </w:r>
      <w:r>
        <w:rPr>
          <w:rFonts w:hint="eastAsia" w:ascii="仿宋" w:hAnsi="仿宋" w:eastAsia="仿宋" w:cs="仿宋"/>
          <w:color w:val="auto"/>
          <w:spacing w:val="4"/>
          <w:sz w:val="24"/>
          <w:highlight w:val="none"/>
          <w:lang w:val="en-US" w:eastAsia="zh-CN"/>
        </w:rPr>
        <w:t>总</w:t>
      </w:r>
      <w:r>
        <w:rPr>
          <w:rFonts w:hint="eastAsia" w:ascii="仿宋" w:hAnsi="仿宋" w:eastAsia="仿宋" w:cs="仿宋"/>
          <w:color w:val="auto"/>
          <w:spacing w:val="4"/>
          <w:sz w:val="24"/>
          <w:highlight w:val="none"/>
          <w:lang w:eastAsia="zh-CN"/>
        </w:rPr>
        <w:t>价一次包干，不再调整。</w:t>
      </w:r>
    </w:p>
    <w:p w14:paraId="19A35E4B">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13</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电梯配电箱</w:t>
      </w:r>
      <w:r>
        <w:rPr>
          <w:rFonts w:hint="eastAsia" w:ascii="仿宋" w:hAnsi="仿宋" w:eastAsia="仿宋" w:cs="仿宋"/>
          <w:color w:val="auto"/>
          <w:spacing w:val="4"/>
          <w:sz w:val="24"/>
          <w:highlight w:val="none"/>
          <w:lang w:eastAsia="zh-CN"/>
        </w:rPr>
        <w:t>与</w:t>
      </w:r>
      <w:r>
        <w:rPr>
          <w:rFonts w:hint="eastAsia" w:ascii="仿宋" w:hAnsi="仿宋" w:eastAsia="仿宋" w:cs="仿宋"/>
          <w:color w:val="auto"/>
          <w:spacing w:val="4"/>
          <w:sz w:val="24"/>
          <w:highlight w:val="none"/>
          <w:lang w:val="en-US" w:eastAsia="zh-CN"/>
        </w:rPr>
        <w:t>电梯连接之间的电缆进入</w:t>
      </w:r>
      <w:r>
        <w:rPr>
          <w:rFonts w:hint="eastAsia" w:ascii="仿宋" w:hAnsi="仿宋" w:eastAsia="仿宋" w:cs="仿宋"/>
          <w:color w:val="auto"/>
          <w:spacing w:val="4"/>
          <w:sz w:val="24"/>
          <w:highlight w:val="none"/>
          <w:lang w:eastAsia="zh-CN"/>
        </w:rPr>
        <w:t>报价内，</w:t>
      </w:r>
      <w:r>
        <w:rPr>
          <w:rFonts w:hint="eastAsia" w:ascii="仿宋" w:hAnsi="仿宋" w:eastAsia="仿宋" w:cs="仿宋"/>
          <w:color w:val="auto"/>
          <w:spacing w:val="4"/>
          <w:sz w:val="24"/>
          <w:highlight w:val="none"/>
          <w:lang w:val="en-US" w:eastAsia="zh-CN"/>
        </w:rPr>
        <w:t>电缆必须满足电梯的使用要求及规范要求</w:t>
      </w:r>
      <w:r>
        <w:rPr>
          <w:rFonts w:hint="eastAsia" w:ascii="仿宋" w:hAnsi="仿宋" w:eastAsia="仿宋" w:cs="仿宋"/>
          <w:color w:val="auto"/>
          <w:spacing w:val="4"/>
          <w:sz w:val="24"/>
          <w:highlight w:val="none"/>
          <w:lang w:eastAsia="zh-CN"/>
        </w:rPr>
        <w:t>。</w:t>
      </w:r>
    </w:p>
    <w:p w14:paraId="3D5C172C">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14</w:t>
      </w:r>
      <w:r>
        <w:rPr>
          <w:rFonts w:hint="eastAsia" w:ascii="仿宋" w:hAnsi="仿宋" w:eastAsia="仿宋" w:cs="仿宋"/>
          <w:color w:val="auto"/>
          <w:spacing w:val="4"/>
          <w:sz w:val="24"/>
          <w:highlight w:val="none"/>
          <w:lang w:eastAsia="zh-CN"/>
        </w:rPr>
        <w:t>）现行的规范、地方性文件、质量通病整改措施、政策性文件、法律法规等一切要求的内容全部计入报价内；</w:t>
      </w:r>
    </w:p>
    <w:p w14:paraId="591F758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15</w:t>
      </w:r>
      <w:r>
        <w:rPr>
          <w:rFonts w:hint="eastAsia" w:ascii="仿宋" w:hAnsi="仿宋" w:eastAsia="仿宋" w:cs="仿宋"/>
          <w:color w:val="auto"/>
          <w:spacing w:val="4"/>
          <w:sz w:val="24"/>
          <w:highlight w:val="none"/>
          <w:lang w:eastAsia="zh-CN"/>
        </w:rPr>
        <w:t>）工程定位复测、工程点交、场地清理费用进入报价；</w:t>
      </w:r>
    </w:p>
    <w:p w14:paraId="6D5F613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16</w:t>
      </w:r>
      <w:r>
        <w:rPr>
          <w:rFonts w:hint="eastAsia" w:ascii="仿宋" w:hAnsi="仿宋" w:eastAsia="仿宋" w:cs="仿宋"/>
          <w:color w:val="auto"/>
          <w:spacing w:val="4"/>
          <w:sz w:val="24"/>
          <w:highlight w:val="none"/>
          <w:lang w:eastAsia="zh-CN"/>
        </w:rPr>
        <w:t>）因施工场地狭小等特殊情况而发生的二次搬运费用以及各种材料设备运至现场卸车后搬运至储藏地点或使用地点、储藏地点至使用地点的搬运费用，临时设施根据施工需要多次搬迁的费用等进入报价。</w:t>
      </w:r>
    </w:p>
    <w:p w14:paraId="7A5A9F7B">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17</w:t>
      </w:r>
      <w:r>
        <w:rPr>
          <w:rFonts w:hint="eastAsia" w:ascii="仿宋" w:hAnsi="仿宋" w:eastAsia="仿宋" w:cs="仿宋"/>
          <w:color w:val="auto"/>
          <w:spacing w:val="4"/>
          <w:sz w:val="24"/>
          <w:highlight w:val="none"/>
          <w:lang w:eastAsia="zh-CN"/>
        </w:rPr>
        <w:t>）施工用自来水、用电费用全部进入报价。</w:t>
      </w:r>
    </w:p>
    <w:p w14:paraId="42867BE7">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18</w:t>
      </w:r>
      <w:r>
        <w:rPr>
          <w:rFonts w:hint="eastAsia" w:ascii="仿宋" w:hAnsi="仿宋" w:eastAsia="仿宋" w:cs="仿宋"/>
          <w:color w:val="auto"/>
          <w:spacing w:val="4"/>
          <w:sz w:val="24"/>
          <w:highlight w:val="none"/>
          <w:lang w:eastAsia="zh-CN"/>
        </w:rPr>
        <w:t>）实际执行的《施工组织设计》包含的一切费用全部进入报价，结算时不再按实结算。</w:t>
      </w:r>
    </w:p>
    <w:p w14:paraId="690FF81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19</w:t>
      </w:r>
      <w:r>
        <w:rPr>
          <w:rFonts w:hint="eastAsia" w:ascii="仿宋" w:hAnsi="仿宋" w:eastAsia="仿宋" w:cs="仿宋"/>
          <w:color w:val="auto"/>
          <w:spacing w:val="4"/>
          <w:sz w:val="24"/>
          <w:highlight w:val="none"/>
          <w:lang w:eastAsia="zh-CN"/>
        </w:rPr>
        <w:t>）依据相关规定，在工程验收中的各种检测、评审、检查等各种费用，全部进入报价。</w:t>
      </w:r>
    </w:p>
    <w:p w14:paraId="13B4128E">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的编制及费用由投标人负责，进入报价，但竣工图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由此引起的费用全部进入报价；</w:t>
      </w:r>
    </w:p>
    <w:p w14:paraId="49316E31">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21）</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，由投标人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，由此引起的所有费用，全部进入报价。</w:t>
      </w:r>
    </w:p>
    <w:p w14:paraId="30524BB8">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22）工程资料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，确保工程档案完整、准确、系统、规范和安全，此费用进入报价。</w:t>
      </w:r>
    </w:p>
    <w:p w14:paraId="2AFCD740">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2</w:t>
      </w:r>
      <w:r>
        <w:rPr>
          <w:rFonts w:hint="eastAsia" w:ascii="仿宋" w:hAnsi="仿宋" w:cs="仿宋"/>
          <w:color w:val="auto"/>
          <w:spacing w:val="4"/>
          <w:sz w:val="24"/>
          <w:highlight w:val="none"/>
          <w:lang w:val="en-US" w:eastAsia="zh-CN"/>
        </w:rPr>
        <w:t>3</w:t>
      </w:r>
      <w:r>
        <w:rPr>
          <w:rFonts w:hint="eastAsia" w:ascii="仿宋" w:hAnsi="仿宋" w:eastAsia="仿宋" w:cs="仿宋"/>
          <w:color w:val="auto"/>
          <w:spacing w:val="4"/>
          <w:sz w:val="24"/>
          <w:highlight w:val="none"/>
          <w:lang w:eastAsia="zh-CN"/>
        </w:rPr>
        <w:t>）投标文件报价中的单价和合价均采用人民币表示。</w:t>
      </w:r>
    </w:p>
    <w:p w14:paraId="21786E1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lang w:val="en-US" w:eastAsia="zh-CN"/>
        </w:rPr>
        <w:t>2</w:t>
      </w:r>
      <w:r>
        <w:rPr>
          <w:rFonts w:hint="eastAsia" w:ascii="仿宋" w:hAnsi="仿宋" w:cs="仿宋"/>
          <w:color w:val="auto"/>
          <w:spacing w:val="4"/>
          <w:sz w:val="24"/>
          <w:highlight w:val="none"/>
          <w:lang w:val="en-US" w:eastAsia="zh-CN"/>
        </w:rPr>
        <w:t>4</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z w:val="24"/>
          <w:highlight w:val="none"/>
        </w:rPr>
        <w:t>本合同文件适用的标准、规范的编号及名称：以招标文件第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p>
    <w:p w14:paraId="0FA14CE8">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3.3 投标有效期</w:t>
      </w:r>
      <w:bookmarkEnd w:id="67"/>
    </w:p>
    <w:p w14:paraId="73E73E9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3.3.1 除投标人须知前附表另有规定外，投标有效期为90日历天。</w:t>
      </w:r>
    </w:p>
    <w:p w14:paraId="3E74E36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3.3.2 在投标有效期内，投标人撤销投标文件的，应承担招标文件和法律规定的责任。</w:t>
      </w:r>
    </w:p>
    <w:p w14:paraId="67358B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3.3.3 出现特殊情况需要延长投标有效期的，招标人以书面形式通知所有投标人延长投标有效期。</w:t>
      </w:r>
    </w:p>
    <w:p w14:paraId="68DD276A">
      <w:pPr>
        <w:spacing w:line="360" w:lineRule="auto"/>
        <w:rPr>
          <w:rFonts w:hint="eastAsia" w:ascii="Times New Roman" w:hAnsi="Times New Roman" w:eastAsia="黑体" w:cs="Times New Roman"/>
          <w:b w:val="0"/>
          <w:color w:val="auto"/>
          <w:kern w:val="2"/>
          <w:sz w:val="24"/>
          <w:szCs w:val="24"/>
          <w:lang w:val="en-US" w:eastAsia="zh-CN" w:bidi="ar-SA"/>
        </w:rPr>
      </w:pPr>
      <w:bookmarkStart w:id="68" w:name="_Toc534190098"/>
      <w:r>
        <w:rPr>
          <w:rFonts w:hint="eastAsia" w:ascii="Times New Roman" w:hAnsi="Times New Roman" w:eastAsia="黑体" w:cs="Times New Roman"/>
          <w:b w:val="0"/>
          <w:color w:val="auto"/>
          <w:kern w:val="2"/>
          <w:sz w:val="24"/>
          <w:szCs w:val="24"/>
          <w:lang w:val="en-US" w:eastAsia="zh-CN" w:bidi="ar-SA"/>
        </w:rPr>
        <w:t>3.4 投标保证金</w:t>
      </w:r>
      <w:bookmarkEnd w:id="68"/>
    </w:p>
    <w:p w14:paraId="6710458F">
      <w:pPr>
        <w:spacing w:line="360" w:lineRule="auto"/>
        <w:ind w:firstLine="960" w:firstLineChars="4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无</w:t>
      </w:r>
    </w:p>
    <w:p w14:paraId="100883FA">
      <w:pPr>
        <w:spacing w:line="360" w:lineRule="auto"/>
        <w:rPr>
          <w:rFonts w:hint="eastAsia" w:ascii="Times New Roman" w:hAnsi="Times New Roman" w:eastAsia="黑体" w:cs="Times New Roman"/>
          <w:b w:val="0"/>
          <w:color w:val="auto"/>
          <w:kern w:val="2"/>
          <w:sz w:val="24"/>
          <w:szCs w:val="24"/>
          <w:lang w:val="en-US" w:eastAsia="zh-CN" w:bidi="ar-SA"/>
        </w:rPr>
      </w:pPr>
      <w:bookmarkStart w:id="69" w:name="_Toc534190099"/>
      <w:r>
        <w:rPr>
          <w:rFonts w:hint="eastAsia" w:ascii="Times New Roman" w:hAnsi="Times New Roman" w:eastAsia="黑体" w:cs="Times New Roman"/>
          <w:b w:val="0"/>
          <w:color w:val="auto"/>
          <w:kern w:val="2"/>
          <w:sz w:val="24"/>
          <w:szCs w:val="24"/>
          <w:lang w:val="en-US" w:eastAsia="zh-CN" w:bidi="ar-SA"/>
        </w:rPr>
        <w:t>3.5 资格审查资料</w:t>
      </w:r>
      <w:bookmarkEnd w:id="69"/>
    </w:p>
    <w:p w14:paraId="11C259B4">
      <w:pPr>
        <w:spacing w:line="360" w:lineRule="auto"/>
        <w:ind w:firstLine="480" w:firstLineChars="200"/>
        <w:rPr>
          <w:rFonts w:hint="eastAsia" w:ascii="仿宋" w:hAnsi="仿宋" w:eastAsia="仿宋" w:cs="仿宋"/>
          <w:color w:val="auto"/>
          <w:sz w:val="24"/>
          <w:szCs w:val="24"/>
        </w:rPr>
      </w:pPr>
      <w:bookmarkStart w:id="70" w:name="_Toc534190100"/>
      <w:r>
        <w:rPr>
          <w:rFonts w:hint="eastAsia" w:ascii="仿宋" w:hAnsi="仿宋" w:eastAsia="仿宋" w:cs="仿宋"/>
          <w:color w:val="auto"/>
          <w:sz w:val="24"/>
          <w:szCs w:val="24"/>
        </w:rPr>
        <w:t xml:space="preserve"> 3.5.1资格审查由评标委员会采用资格后审合格制。如未按要求提供相关材料，其资格审查不合格。</w:t>
      </w:r>
    </w:p>
    <w:p w14:paraId="377D5D0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3.5.2在招标过程中，投标人名称发生变更的，必须提供主管部门出具的相关证明，否则其投标将被拒绝。</w:t>
      </w:r>
    </w:p>
    <w:p w14:paraId="72FF4CF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3.5.3投标人还需提供涉及评标加分的相关证明材料，如未按要求提供，对应加分项目不得分。</w:t>
      </w:r>
    </w:p>
    <w:p w14:paraId="17396C7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3.6 备选投标方案</w:t>
      </w:r>
      <w:bookmarkEnd w:id="70"/>
    </w:p>
    <w:p w14:paraId="7BC236FE">
      <w:pPr>
        <w:spacing w:line="360" w:lineRule="auto"/>
        <w:ind w:firstLine="480" w:firstLineChars="200"/>
        <w:rPr>
          <w:rFonts w:hint="eastAsia" w:ascii="仿宋" w:hAnsi="仿宋" w:eastAsia="仿宋" w:cs="仿宋"/>
          <w:color w:val="auto"/>
          <w:sz w:val="24"/>
          <w:szCs w:val="24"/>
        </w:rPr>
      </w:pPr>
      <w:bookmarkStart w:id="71" w:name="_Toc534190101"/>
      <w:r>
        <w:rPr>
          <w:rFonts w:hint="eastAsia" w:ascii="仿宋" w:hAnsi="仿宋" w:eastAsia="仿宋" w:cs="仿宋"/>
          <w:color w:val="auto"/>
          <w:sz w:val="24"/>
          <w:szCs w:val="24"/>
        </w:rPr>
        <w:t>除投标人须知前附表另有规定外，投标人不得递交备选投标方案。</w:t>
      </w:r>
    </w:p>
    <w:p w14:paraId="3B36DDC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3.7 投标文件的编制</w:t>
      </w:r>
      <w:bookmarkEnd w:id="71"/>
    </w:p>
    <w:p w14:paraId="29C9E6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3.7.1 投标文件应按第</w:t>
      </w:r>
      <w:r>
        <w:rPr>
          <w:rFonts w:hint="eastAsia" w:ascii="仿宋" w:hAnsi="仿宋" w:cs="仿宋"/>
          <w:color w:val="auto"/>
          <w:sz w:val="24"/>
          <w:szCs w:val="24"/>
          <w:lang w:val="en-US" w:eastAsia="zh-CN"/>
        </w:rPr>
        <w:t>八</w:t>
      </w:r>
      <w:r>
        <w:rPr>
          <w:rFonts w:hint="eastAsia" w:ascii="仿宋" w:hAnsi="仿宋" w:eastAsia="仿宋" w:cs="仿宋"/>
          <w:color w:val="auto"/>
          <w:sz w:val="24"/>
          <w:szCs w:val="24"/>
        </w:rPr>
        <w:t>章“投标文件格式”进行编写，如有必要，可以增加附页，作为投标文件的组成部分。</w:t>
      </w:r>
    </w:p>
    <w:p w14:paraId="5864C0C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14:paraId="7A29841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3.7.3投标文件应尽量避免涂改、行间插字或删除。如果出现上述情况，改动之处应加盖单位章或由投标人的法定代表人签字或盖章确认。签字或盖章的具体要求须</w:t>
      </w:r>
      <w:r>
        <w:rPr>
          <w:rFonts w:hint="eastAsia" w:ascii="仿宋" w:hAnsi="仿宋" w:eastAsia="仿宋" w:cs="仿宋"/>
          <w:color w:val="auto"/>
          <w:sz w:val="24"/>
          <w:szCs w:val="24"/>
          <w:lang w:eastAsia="zh-CN"/>
        </w:rPr>
        <w:t>附和</w:t>
      </w:r>
      <w:r>
        <w:rPr>
          <w:rFonts w:hint="eastAsia" w:ascii="仿宋" w:hAnsi="仿宋" w:eastAsia="仿宋" w:cs="仿宋"/>
          <w:color w:val="auto"/>
          <w:sz w:val="24"/>
          <w:szCs w:val="24"/>
        </w:rPr>
        <w:t xml:space="preserve">投标人须知前附表要求。 </w:t>
      </w:r>
    </w:p>
    <w:p w14:paraId="46195E86">
      <w:pPr>
        <w:spacing w:line="360" w:lineRule="auto"/>
        <w:rPr>
          <w:rFonts w:hint="eastAsia" w:ascii="Times New Roman" w:hAnsi="Times New Roman" w:eastAsia="黑体" w:cs="Times New Roman"/>
          <w:b w:val="0"/>
          <w:color w:val="auto"/>
          <w:kern w:val="2"/>
          <w:sz w:val="24"/>
          <w:szCs w:val="24"/>
          <w:lang w:val="en-US" w:eastAsia="zh-CN" w:bidi="ar-SA"/>
        </w:rPr>
      </w:pPr>
      <w:bookmarkStart w:id="72" w:name="_Toc534190102"/>
      <w:r>
        <w:rPr>
          <w:rFonts w:hint="eastAsia" w:ascii="Times New Roman" w:hAnsi="Times New Roman" w:eastAsia="黑体" w:cs="Times New Roman"/>
          <w:b w:val="0"/>
          <w:color w:val="auto"/>
          <w:kern w:val="2"/>
          <w:sz w:val="24"/>
          <w:szCs w:val="24"/>
          <w:lang w:val="en-US" w:eastAsia="zh-CN" w:bidi="ar-SA"/>
        </w:rPr>
        <w:t>4. 投标</w:t>
      </w:r>
      <w:bookmarkEnd w:id="72"/>
    </w:p>
    <w:p w14:paraId="515B5E5A">
      <w:pPr>
        <w:spacing w:line="360" w:lineRule="auto"/>
        <w:rPr>
          <w:rFonts w:hint="eastAsia" w:ascii="Times New Roman" w:hAnsi="Times New Roman" w:eastAsia="黑体" w:cs="Times New Roman"/>
          <w:b w:val="0"/>
          <w:color w:val="auto"/>
          <w:kern w:val="2"/>
          <w:sz w:val="24"/>
          <w:szCs w:val="24"/>
          <w:lang w:val="en-US" w:eastAsia="zh-CN" w:bidi="ar-SA"/>
        </w:rPr>
      </w:pPr>
      <w:bookmarkStart w:id="73" w:name="_Toc534190103"/>
      <w:r>
        <w:rPr>
          <w:rFonts w:hint="eastAsia" w:ascii="Times New Roman" w:hAnsi="Times New Roman" w:eastAsia="黑体" w:cs="Times New Roman"/>
          <w:b w:val="0"/>
          <w:color w:val="auto"/>
          <w:kern w:val="2"/>
          <w:sz w:val="24"/>
          <w:szCs w:val="24"/>
          <w:lang w:val="en-US" w:eastAsia="zh-CN" w:bidi="ar-SA"/>
        </w:rPr>
        <w:t>4.1 投标文件的</w:t>
      </w:r>
      <w:bookmarkEnd w:id="73"/>
      <w:r>
        <w:rPr>
          <w:rFonts w:hint="eastAsia" w:ascii="Times New Roman" w:hAnsi="Times New Roman" w:eastAsia="黑体" w:cs="Times New Roman"/>
          <w:b w:val="0"/>
          <w:color w:val="auto"/>
          <w:kern w:val="2"/>
          <w:sz w:val="24"/>
          <w:szCs w:val="24"/>
          <w:lang w:val="en-US" w:eastAsia="zh-CN" w:bidi="ar-SA"/>
        </w:rPr>
        <w:t>递交</w:t>
      </w:r>
    </w:p>
    <w:p w14:paraId="3FBFBE5F">
      <w:pPr>
        <w:spacing w:line="360" w:lineRule="auto"/>
        <w:ind w:firstLine="480" w:firstLineChars="200"/>
        <w:rPr>
          <w:rFonts w:hint="eastAsia" w:ascii="仿宋" w:hAnsi="仿宋" w:eastAsia="仿宋" w:cs="仿宋"/>
          <w:color w:val="auto"/>
          <w:sz w:val="24"/>
          <w:szCs w:val="24"/>
        </w:rPr>
      </w:pPr>
      <w:bookmarkStart w:id="74" w:name="_Toc247085716"/>
      <w:bookmarkStart w:id="75" w:name="_Toc246996945"/>
      <w:bookmarkStart w:id="76" w:name="_Toc515369032"/>
      <w:bookmarkStart w:id="77" w:name="_Toc515368945"/>
      <w:bookmarkStart w:id="78" w:name="_Toc179632576"/>
      <w:bookmarkStart w:id="79" w:name="_Toc460423867"/>
      <w:bookmarkStart w:id="80" w:name="_Toc490842006"/>
      <w:bookmarkStart w:id="81" w:name="_Toc493602419"/>
      <w:bookmarkStart w:id="82" w:name="_Toc493606967"/>
      <w:bookmarkStart w:id="83" w:name="_Toc453949364"/>
      <w:bookmarkStart w:id="84" w:name="_Toc460619099"/>
      <w:bookmarkStart w:id="85" w:name="_Toc408147763"/>
      <w:bookmarkStart w:id="86" w:name="_Toc21076"/>
      <w:bookmarkStart w:id="87" w:name="_Toc246996202"/>
      <w:bookmarkStart w:id="88" w:name="_Toc534190105"/>
      <w:r>
        <w:rPr>
          <w:rFonts w:hint="eastAsia" w:ascii="仿宋" w:hAnsi="仿宋" w:eastAsia="仿宋" w:cs="仿宋"/>
          <w:color w:val="auto"/>
          <w:sz w:val="24"/>
          <w:szCs w:val="24"/>
        </w:rPr>
        <w:t>4.1.1投标人应在投标人须知前附表规定的投标截止时间前递交加密文件，在电子招投标交易平台上传。</w:t>
      </w:r>
    </w:p>
    <w:p w14:paraId="10224B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4.1.2中</w:t>
      </w:r>
      <w:r>
        <w:rPr>
          <w:rFonts w:hint="eastAsia" w:ascii="仿宋" w:hAnsi="仿宋" w:cs="仿宋"/>
          <w:color w:val="auto"/>
          <w:sz w:val="24"/>
          <w:szCs w:val="24"/>
          <w:lang w:val="en-US" w:eastAsia="zh-CN"/>
        </w:rPr>
        <w:t>候选</w:t>
      </w:r>
      <w:r>
        <w:rPr>
          <w:rFonts w:hint="eastAsia" w:ascii="仿宋" w:hAnsi="仿宋" w:eastAsia="仿宋" w:cs="仿宋"/>
          <w:color w:val="auto"/>
          <w:sz w:val="24"/>
          <w:szCs w:val="24"/>
        </w:rPr>
        <w:t>人在定标会议前应按要求制作纸质版投标文件，内容须同递交的加密版电子投标文件保持一致，否则，由此引起的后果自行承担。</w:t>
      </w:r>
    </w:p>
    <w:p w14:paraId="62EC4B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4.1.3除投标人须知前附表另有规定外，投标人所递交的投标文件不予退还。</w:t>
      </w:r>
    </w:p>
    <w:p w14:paraId="2E5AF28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注：超过投标文件截止时间，将拒收投标文件；到投标文件截止时间，招标人或招标代理机构收到的投标文件少于3家的，招标人将依法重新组织招标。</w:t>
      </w:r>
    </w:p>
    <w:bookmarkEnd w:id="74"/>
    <w:bookmarkEnd w:id="75"/>
    <w:bookmarkEnd w:id="76"/>
    <w:bookmarkEnd w:id="77"/>
    <w:bookmarkEnd w:id="78"/>
    <w:bookmarkEnd w:id="79"/>
    <w:bookmarkEnd w:id="80"/>
    <w:bookmarkEnd w:id="81"/>
    <w:bookmarkEnd w:id="82"/>
    <w:bookmarkEnd w:id="83"/>
    <w:bookmarkEnd w:id="84"/>
    <w:bookmarkEnd w:id="85"/>
    <w:bookmarkEnd w:id="86"/>
    <w:bookmarkEnd w:id="87"/>
    <w:p w14:paraId="0B24678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4.2 投标文件的修改与撤回</w:t>
      </w:r>
      <w:bookmarkEnd w:id="88"/>
    </w:p>
    <w:p w14:paraId="10297590">
      <w:pPr>
        <w:spacing w:line="360" w:lineRule="auto"/>
        <w:ind w:firstLine="480" w:firstLineChars="200"/>
        <w:rPr>
          <w:rFonts w:hint="eastAsia" w:ascii="仿宋" w:hAnsi="仿宋" w:eastAsia="仿宋" w:cs="仿宋"/>
          <w:color w:val="auto"/>
          <w:sz w:val="24"/>
          <w:szCs w:val="24"/>
        </w:rPr>
      </w:pPr>
      <w:bookmarkStart w:id="89" w:name="_Toc534190106"/>
      <w:r>
        <w:rPr>
          <w:rFonts w:hint="eastAsia" w:ascii="仿宋" w:hAnsi="仿宋" w:eastAsia="仿宋" w:cs="仿宋"/>
          <w:color w:val="auto"/>
          <w:sz w:val="24"/>
          <w:szCs w:val="24"/>
        </w:rPr>
        <w:t>4.2.1投标人在规定的提交投标文件截止时间前，可随时登录赢标电子招标采购交易系统（http://hzsjyzx.cn:50000）补充、修改、撤回已上传的电子投标文件。需要补充或修改投标文件时，必须先撤回已上传的电子投标文件，修改后重新上传。</w:t>
      </w:r>
    </w:p>
    <w:p w14:paraId="1017E76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4.2.2重新上传的电子投标文件应按招标文件的规定编制、加密。在投标文件提交截止时间后不能修改、撤回投标文件。</w:t>
      </w:r>
    </w:p>
    <w:p w14:paraId="6C5F9CC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4.2.3除投标人须知前附表另有规定外，投标人所递交的投标文件不予退还。</w:t>
      </w:r>
    </w:p>
    <w:p w14:paraId="48902ABC">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5. 开标</w:t>
      </w:r>
      <w:bookmarkEnd w:id="89"/>
      <w:bookmarkStart w:id="90" w:name="_Toc11709974"/>
      <w:bookmarkStart w:id="91" w:name="_Toc29821"/>
      <w:bookmarkStart w:id="92" w:name="_Toc534190108"/>
    </w:p>
    <w:p w14:paraId="58939B9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 开标时间和地点</w:t>
      </w:r>
      <w:bookmarkEnd w:id="90"/>
      <w:bookmarkEnd w:id="91"/>
    </w:p>
    <w:p w14:paraId="71708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招标人在投标人须知前附表规定的开标时间和地点公开开标。</w:t>
      </w:r>
    </w:p>
    <w:p w14:paraId="028EAE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 开标程序</w:t>
      </w:r>
      <w:bookmarkEnd w:id="92"/>
    </w:p>
    <w:p w14:paraId="096D5B2A">
      <w:pPr>
        <w:spacing w:line="360" w:lineRule="auto"/>
        <w:ind w:firstLine="480" w:firstLineChars="200"/>
        <w:rPr>
          <w:rFonts w:hint="eastAsia" w:ascii="仿宋" w:hAnsi="仿宋" w:eastAsia="仿宋" w:cs="仿宋"/>
          <w:color w:val="auto"/>
          <w:sz w:val="24"/>
          <w:szCs w:val="24"/>
        </w:rPr>
      </w:pPr>
      <w:bookmarkStart w:id="93" w:name="_Toc19402"/>
      <w:bookmarkStart w:id="94" w:name="_Toc408147767"/>
      <w:bookmarkStart w:id="95" w:name="_Toc515368947"/>
      <w:bookmarkStart w:id="96" w:name="_Toc460423871"/>
      <w:bookmarkStart w:id="97" w:name="_Toc460619103"/>
      <w:bookmarkStart w:id="98" w:name="_Toc493606971"/>
      <w:bookmarkStart w:id="99" w:name="_Toc493602423"/>
      <w:bookmarkStart w:id="100" w:name="_Toc453949368"/>
      <w:bookmarkStart w:id="101" w:name="_Toc490842010"/>
      <w:bookmarkStart w:id="102" w:name="_Toc515369034"/>
      <w:bookmarkStart w:id="103" w:name="_Toc534190110"/>
      <w:r>
        <w:rPr>
          <w:rFonts w:hint="eastAsia" w:ascii="仿宋" w:hAnsi="仿宋" w:eastAsia="仿宋" w:cs="仿宋"/>
          <w:color w:val="auto"/>
          <w:sz w:val="24"/>
          <w:szCs w:val="24"/>
        </w:rPr>
        <w:t>主持人按下列程序进行开标：本项目为全流程电子化招投标，开标方式为不见面开标，具体开标流程及要求详见电子交易平台流程操作。</w:t>
      </w:r>
      <w:bookmarkEnd w:id="93"/>
      <w:bookmarkEnd w:id="94"/>
      <w:bookmarkEnd w:id="95"/>
      <w:bookmarkEnd w:id="96"/>
      <w:bookmarkEnd w:id="97"/>
      <w:bookmarkEnd w:id="98"/>
      <w:bookmarkEnd w:id="99"/>
      <w:bookmarkEnd w:id="100"/>
      <w:bookmarkEnd w:id="101"/>
      <w:bookmarkEnd w:id="102"/>
    </w:p>
    <w:p w14:paraId="0293351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6. 评标</w:t>
      </w:r>
      <w:bookmarkEnd w:id="103"/>
    </w:p>
    <w:p w14:paraId="1A930BFD">
      <w:pPr>
        <w:spacing w:line="360" w:lineRule="auto"/>
        <w:rPr>
          <w:rFonts w:hint="eastAsia" w:ascii="Times New Roman" w:hAnsi="Times New Roman" w:eastAsia="黑体" w:cs="Times New Roman"/>
          <w:b w:val="0"/>
          <w:color w:val="auto"/>
          <w:kern w:val="2"/>
          <w:sz w:val="24"/>
          <w:szCs w:val="24"/>
          <w:lang w:val="en-US" w:eastAsia="zh-CN" w:bidi="ar-SA"/>
        </w:rPr>
      </w:pPr>
      <w:bookmarkStart w:id="104" w:name="_Toc534190111"/>
      <w:r>
        <w:rPr>
          <w:rFonts w:hint="eastAsia" w:ascii="Times New Roman" w:hAnsi="Times New Roman" w:eastAsia="黑体" w:cs="Times New Roman"/>
          <w:b w:val="0"/>
          <w:color w:val="auto"/>
          <w:kern w:val="2"/>
          <w:sz w:val="24"/>
          <w:szCs w:val="24"/>
          <w:lang w:val="en-US" w:eastAsia="zh-CN" w:bidi="ar-SA"/>
        </w:rPr>
        <w:t>6.1 评标委员会</w:t>
      </w:r>
      <w:bookmarkEnd w:id="104"/>
    </w:p>
    <w:p w14:paraId="2CFF70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6.1.1 评标由招标人依法组建的评标委员会负责。评标委员会由招标人以及有关技术、经济等方面的专家组成。评标委员会成员人数以及技术、经济等方面专家的确定方式见投标人须知前附表。</w:t>
      </w:r>
    </w:p>
    <w:p w14:paraId="670A8D1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6.1.2 评标委员会成员有下列情形之一的，应当回避：</w:t>
      </w:r>
    </w:p>
    <w:p w14:paraId="251C03D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（1）投标人或投标人主要负责人的近亲属；</w:t>
      </w:r>
    </w:p>
    <w:p w14:paraId="4568E5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（2）项目主管部门或者行政监督部门的人员；</w:t>
      </w:r>
    </w:p>
    <w:p w14:paraId="01E9F3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（3）与投标人有经济利益关系，可能影响对投标公正评审的；</w:t>
      </w:r>
    </w:p>
    <w:p w14:paraId="634BD53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（4）曾因在招标、评</w:t>
      </w:r>
      <w:bookmarkStart w:id="105" w:name="_Toc247527580"/>
      <w:bookmarkStart w:id="106" w:name="_Toc384308237"/>
      <w:bookmarkStart w:id="107" w:name="_Toc352691499"/>
      <w:bookmarkStart w:id="108" w:name="_Toc152045555"/>
      <w:bookmarkStart w:id="109" w:name="_Toc152042331"/>
      <w:bookmarkStart w:id="110" w:name="_Toc361508612"/>
      <w:bookmarkStart w:id="111" w:name="_Toc247513979"/>
      <w:bookmarkStart w:id="112" w:name="_Toc6230"/>
      <w:bookmarkStart w:id="113" w:name="_Toc300834976"/>
      <w:bookmarkStart w:id="114" w:name="_Toc369531543"/>
      <w:bookmarkStart w:id="115" w:name="_Toc144974523"/>
      <w:r>
        <w:rPr>
          <w:rFonts w:hint="eastAsia" w:ascii="仿宋" w:hAnsi="仿宋" w:eastAsia="仿宋" w:cs="仿宋"/>
          <w:color w:val="auto"/>
          <w:sz w:val="24"/>
          <w:szCs w:val="24"/>
        </w:rPr>
        <w:t>标以及其他</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color w:val="auto"/>
          <w:sz w:val="24"/>
          <w:szCs w:val="24"/>
        </w:rPr>
        <w:t>与</w:t>
      </w:r>
      <w:bookmarkStart w:id="116" w:name="_Toc17703"/>
      <w:bookmarkStart w:id="117" w:name="_Toc300834977"/>
      <w:bookmarkStart w:id="118" w:name="_Toc152045556"/>
      <w:bookmarkStart w:id="119" w:name="_Toc247513980"/>
      <w:bookmarkStart w:id="120" w:name="_Toc352691500"/>
      <w:bookmarkStart w:id="121" w:name="_Toc361508613"/>
      <w:bookmarkStart w:id="122" w:name="_Toc144974524"/>
      <w:bookmarkStart w:id="123" w:name="_Toc384308238"/>
      <w:bookmarkStart w:id="124" w:name="_Toc152042332"/>
      <w:bookmarkStart w:id="125" w:name="_Toc247527581"/>
      <w:bookmarkStart w:id="126" w:name="_Toc369531544"/>
      <w:r>
        <w:rPr>
          <w:rFonts w:hint="eastAsia" w:ascii="仿宋" w:hAnsi="仿宋" w:eastAsia="仿宋" w:cs="仿宋"/>
          <w:color w:val="auto"/>
          <w:sz w:val="24"/>
          <w:szCs w:val="24"/>
        </w:rPr>
        <w:t>招标投标有关活动中从事违法行</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color w:val="auto"/>
          <w:sz w:val="24"/>
          <w:szCs w:val="24"/>
        </w:rPr>
        <w:t>为而受过行政处罚或刑事处罚的；</w:t>
      </w:r>
    </w:p>
    <w:p w14:paraId="10B353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（5）与投标人有其他利害关系。</w:t>
      </w:r>
    </w:p>
    <w:p w14:paraId="2A5D37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6.1.3 评标过程中，评标委员会成员有回避事由、擅离职守或者因健康等原因不能继续评标的，招标人有权更换。被更换的评标委员会成员作出的评审结论无效，由更换后的评标委员会成员重新进行评审。</w:t>
      </w:r>
    </w:p>
    <w:p w14:paraId="4C1DD014">
      <w:pPr>
        <w:spacing w:line="360" w:lineRule="auto"/>
        <w:rPr>
          <w:rFonts w:hint="eastAsia" w:ascii="Times New Roman" w:hAnsi="Times New Roman" w:eastAsia="黑体" w:cs="Times New Roman"/>
          <w:b w:val="0"/>
          <w:color w:val="auto"/>
          <w:kern w:val="2"/>
          <w:sz w:val="24"/>
          <w:szCs w:val="24"/>
          <w:lang w:val="en-US" w:eastAsia="zh-CN" w:bidi="ar-SA"/>
        </w:rPr>
      </w:pPr>
      <w:bookmarkStart w:id="127" w:name="_Toc534190112"/>
      <w:r>
        <w:rPr>
          <w:rFonts w:hint="eastAsia" w:ascii="Times New Roman" w:hAnsi="Times New Roman" w:eastAsia="黑体" w:cs="Times New Roman"/>
          <w:b w:val="0"/>
          <w:color w:val="auto"/>
          <w:kern w:val="2"/>
          <w:sz w:val="24"/>
          <w:szCs w:val="24"/>
          <w:lang w:val="en-US" w:eastAsia="zh-CN" w:bidi="ar-SA"/>
        </w:rPr>
        <w:t>6.2 评标原则</w:t>
      </w:r>
      <w:bookmarkEnd w:id="127"/>
    </w:p>
    <w:p w14:paraId="03408E2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评标活动遵循公平、公正、科学和择优的原</w:t>
      </w:r>
      <w:bookmarkStart w:id="128" w:name="_Toc247513981"/>
      <w:bookmarkStart w:id="129" w:name="_Toc352691501"/>
      <w:bookmarkStart w:id="130" w:name="_Toc361508614"/>
      <w:bookmarkStart w:id="131" w:name="_Toc144974525"/>
      <w:bookmarkStart w:id="132" w:name="_Toc152045557"/>
      <w:bookmarkStart w:id="133" w:name="_Toc300834978"/>
      <w:bookmarkStart w:id="134" w:name="_Toc384308239"/>
      <w:bookmarkStart w:id="135" w:name="_Toc152042333"/>
      <w:bookmarkStart w:id="136" w:name="_Toc247527582"/>
      <w:bookmarkStart w:id="137" w:name="_Toc369531545"/>
      <w:bookmarkStart w:id="138" w:name="_Toc18949"/>
      <w:r>
        <w:rPr>
          <w:rFonts w:hint="eastAsia" w:ascii="仿宋" w:hAnsi="仿宋" w:eastAsia="仿宋" w:cs="仿宋"/>
          <w:color w:val="auto"/>
          <w:sz w:val="24"/>
          <w:szCs w:val="24"/>
        </w:rPr>
        <w:t>则。</w:t>
      </w:r>
    </w:p>
    <w:p w14:paraId="7047DB88">
      <w:pPr>
        <w:spacing w:line="360" w:lineRule="auto"/>
        <w:rPr>
          <w:rFonts w:hint="eastAsia" w:ascii="Times New Roman" w:hAnsi="Times New Roman" w:eastAsia="黑体" w:cs="Times New Roman"/>
          <w:b w:val="0"/>
          <w:color w:val="auto"/>
          <w:kern w:val="2"/>
          <w:sz w:val="24"/>
          <w:szCs w:val="24"/>
          <w:lang w:val="en-US" w:eastAsia="zh-CN" w:bidi="ar-SA"/>
        </w:rPr>
      </w:pPr>
      <w:bookmarkStart w:id="139" w:name="_Toc534190113"/>
      <w:r>
        <w:rPr>
          <w:rFonts w:hint="eastAsia" w:ascii="Times New Roman" w:hAnsi="Times New Roman" w:eastAsia="黑体" w:cs="Times New Roman"/>
          <w:b w:val="0"/>
          <w:color w:val="auto"/>
          <w:kern w:val="2"/>
          <w:sz w:val="24"/>
          <w:szCs w:val="24"/>
          <w:lang w:val="en-US" w:eastAsia="zh-CN" w:bidi="ar-SA"/>
        </w:rPr>
        <w:t>6.3 评标</w:t>
      </w:r>
      <w:bookmarkEnd w:id="139"/>
    </w:p>
    <w:bookmarkEnd w:id="128"/>
    <w:bookmarkEnd w:id="129"/>
    <w:bookmarkEnd w:id="130"/>
    <w:bookmarkEnd w:id="131"/>
    <w:bookmarkEnd w:id="132"/>
    <w:bookmarkEnd w:id="133"/>
    <w:bookmarkEnd w:id="134"/>
    <w:bookmarkEnd w:id="135"/>
    <w:bookmarkEnd w:id="136"/>
    <w:bookmarkEnd w:id="137"/>
    <w:bookmarkEnd w:id="138"/>
    <w:p w14:paraId="7BD3DE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6.3.1评标委员会按照第三章、第四章“评标及定标办法”规定的方法、评审因素、标准和程序对投标文件进行评审。第三章第四章“评标及定标办法”没有规定的方法、评审因素和标准，不作为评标依据。</w:t>
      </w:r>
    </w:p>
    <w:p w14:paraId="2C9388B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6.3.2评标完成后，评标委员会应向招标人提交书面评标报告和定标候选人名单。评标委员会推荐定标候选人的数量见投标人须知前附表。</w:t>
      </w:r>
    </w:p>
    <w:p w14:paraId="364A922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6.3.3评委组长</w:t>
      </w:r>
      <w:r>
        <w:rPr>
          <w:rFonts w:hint="eastAsia" w:ascii="仿宋" w:hAnsi="仿宋" w:cs="仿宋"/>
          <w:color w:val="auto"/>
          <w:sz w:val="24"/>
          <w:szCs w:val="24"/>
          <w:lang w:val="en-US" w:eastAsia="zh-CN"/>
        </w:rPr>
        <w:t>或</w:t>
      </w:r>
      <w:r>
        <w:rPr>
          <w:rFonts w:hint="eastAsia" w:ascii="仿宋" w:hAnsi="仿宋" w:eastAsia="仿宋" w:cs="仿宋"/>
          <w:color w:val="auto"/>
          <w:sz w:val="24"/>
          <w:szCs w:val="24"/>
        </w:rPr>
        <w:t>其他任意1 名评委代表后期须参加项目定标会议，评委组长须在会议现场以书面形式汇报项目评标情况。</w:t>
      </w:r>
    </w:p>
    <w:p w14:paraId="0D1E825A">
      <w:pPr>
        <w:spacing w:line="360" w:lineRule="auto"/>
        <w:ind w:firstLine="480" w:firstLineChars="200"/>
        <w:rPr>
          <w:rFonts w:hint="eastAsia" w:ascii="仿宋" w:hAnsi="仿宋" w:eastAsia="仿宋" w:cs="仿宋"/>
          <w:color w:val="auto"/>
          <w:sz w:val="24"/>
          <w:szCs w:val="24"/>
        </w:rPr>
      </w:pPr>
      <w:bookmarkStart w:id="140" w:name="_Toc116662749"/>
      <w:r>
        <w:rPr>
          <w:rFonts w:hint="eastAsia" w:ascii="仿宋" w:hAnsi="仿宋" w:eastAsia="仿宋" w:cs="仿宋"/>
          <w:color w:val="auto"/>
          <w:sz w:val="24"/>
          <w:szCs w:val="24"/>
        </w:rPr>
        <w:t>6.4 定标候选人公示</w:t>
      </w:r>
      <w:bookmarkEnd w:id="140"/>
    </w:p>
    <w:p w14:paraId="07F64A8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招标人在收到评标报告之日起3日内，按照投标人须知前附表规定的公示媒介和期限依法公示定标候选人，公示期不得少于3</w:t>
      </w:r>
      <w:bookmarkStart w:id="141" w:name="_Toc116662750"/>
      <w:r>
        <w:rPr>
          <w:rFonts w:hint="eastAsia" w:ascii="仿宋" w:hAnsi="仿宋" w:eastAsia="仿宋" w:cs="仿宋"/>
          <w:color w:val="auto"/>
          <w:sz w:val="24"/>
          <w:szCs w:val="24"/>
        </w:rPr>
        <w:t>日。</w:t>
      </w:r>
    </w:p>
    <w:p w14:paraId="34C0BA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6.5 评标结果异议</w:t>
      </w:r>
      <w:bookmarkEnd w:id="141"/>
    </w:p>
    <w:p w14:paraId="5F52787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投标人或者其他利害关系人对评标结果有异议的，应在定标候选人公示期间通过电子交易系统在线提出或以其他书面形式提出。招标人将在收到异议之日起3日内作出答复；作出答复前，将暂停招标投标活动。</w:t>
      </w:r>
    </w:p>
    <w:p w14:paraId="021B88C7">
      <w:pPr>
        <w:spacing w:line="360" w:lineRule="auto"/>
        <w:ind w:firstLine="480" w:firstLineChars="200"/>
        <w:rPr>
          <w:rFonts w:hint="eastAsia" w:ascii="仿宋" w:hAnsi="仿宋" w:eastAsia="仿宋" w:cs="仿宋"/>
          <w:color w:val="auto"/>
          <w:sz w:val="24"/>
          <w:szCs w:val="24"/>
        </w:rPr>
      </w:pPr>
      <w:bookmarkStart w:id="142" w:name="_Toc116662751"/>
      <w:r>
        <w:rPr>
          <w:rFonts w:hint="eastAsia" w:ascii="仿宋" w:hAnsi="仿宋" w:eastAsia="仿宋" w:cs="仿宋"/>
          <w:color w:val="auto"/>
          <w:sz w:val="24"/>
          <w:szCs w:val="24"/>
        </w:rPr>
        <w:t>6.6 定标候选人履约能力审查</w:t>
      </w:r>
      <w:bookmarkEnd w:id="142"/>
    </w:p>
    <w:p w14:paraId="6379124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定标候选人的经营、财务状况发生较大变化或存在违法行为，招标人认为可能影响其履约能力的，将在发出中标通知书前提请原评标委员会按照招标文件规定的标准和方法进行审查确认。</w:t>
      </w:r>
    </w:p>
    <w:p w14:paraId="0AB6E4C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6.7定标候选人的补足</w:t>
      </w:r>
    </w:p>
    <w:p w14:paraId="695B44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公示期间，定标人放弃定标、因不可抗力不能履行合同或者被查实存在影响中标结果的违法行为等情形不符合定标条件，导致有效定标候选人少于规定数量时，招标人根据投标人须知前附表决定是否递补定标候选人。对于递补定标候选人需在相关网站公示不少于3日。</w:t>
      </w:r>
    </w:p>
    <w:p w14:paraId="656D94C9">
      <w:pPr>
        <w:spacing w:line="360" w:lineRule="auto"/>
        <w:rPr>
          <w:rFonts w:hint="eastAsia" w:ascii="Times New Roman" w:hAnsi="Times New Roman" w:eastAsia="黑体" w:cs="Times New Roman"/>
          <w:b w:val="0"/>
          <w:color w:val="auto"/>
          <w:kern w:val="2"/>
          <w:sz w:val="24"/>
          <w:szCs w:val="24"/>
          <w:lang w:val="en-US" w:eastAsia="zh-CN" w:bidi="ar-SA"/>
        </w:rPr>
      </w:pPr>
      <w:bookmarkStart w:id="143" w:name="_Toc534190114"/>
      <w:r>
        <w:rPr>
          <w:rFonts w:hint="eastAsia" w:ascii="Times New Roman" w:hAnsi="Times New Roman" w:eastAsia="黑体" w:cs="Times New Roman"/>
          <w:b w:val="0"/>
          <w:color w:val="auto"/>
          <w:kern w:val="2"/>
          <w:sz w:val="24"/>
          <w:szCs w:val="24"/>
          <w:lang w:val="en-US" w:eastAsia="zh-CN" w:bidi="ar-SA"/>
        </w:rPr>
        <w:t xml:space="preserve">7. </w:t>
      </w:r>
      <w:bookmarkEnd w:id="143"/>
      <w:r>
        <w:rPr>
          <w:rFonts w:hint="eastAsia" w:ascii="Times New Roman" w:hAnsi="Times New Roman" w:eastAsia="黑体" w:cs="Times New Roman"/>
          <w:b w:val="0"/>
          <w:color w:val="auto"/>
          <w:kern w:val="2"/>
          <w:sz w:val="24"/>
          <w:szCs w:val="24"/>
          <w:lang w:val="en-US" w:eastAsia="zh-CN" w:bidi="ar-SA"/>
        </w:rPr>
        <w:t>定标</w:t>
      </w:r>
    </w:p>
    <w:p w14:paraId="1CD4A2E1">
      <w:pPr>
        <w:spacing w:line="360" w:lineRule="auto"/>
        <w:ind w:firstLine="480" w:firstLineChars="200"/>
        <w:rPr>
          <w:rFonts w:hint="eastAsia" w:ascii="仿宋" w:hAnsi="仿宋" w:eastAsia="仿宋" w:cs="仿宋"/>
          <w:color w:val="auto"/>
          <w:sz w:val="24"/>
          <w:szCs w:val="24"/>
        </w:rPr>
      </w:pPr>
      <w:bookmarkStart w:id="144" w:name="_Toc534190120"/>
      <w:r>
        <w:rPr>
          <w:rFonts w:hint="eastAsia" w:ascii="仿宋" w:hAnsi="仿宋" w:eastAsia="仿宋" w:cs="仿宋"/>
          <w:color w:val="auto"/>
          <w:sz w:val="24"/>
          <w:szCs w:val="24"/>
        </w:rPr>
        <w:t xml:space="preserve">定标按下列程序进行： </w:t>
      </w:r>
    </w:p>
    <w:p w14:paraId="2E677AC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（1）组建定标监督委员会和定标委员会； </w:t>
      </w:r>
    </w:p>
    <w:p w14:paraId="0F80F38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（2）确定定标方案； </w:t>
      </w:r>
    </w:p>
    <w:p w14:paraId="359239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（3）确定中标人。</w:t>
      </w:r>
    </w:p>
    <w:p w14:paraId="488C686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7.1 组建定标监督委员会</w:t>
      </w:r>
    </w:p>
    <w:p w14:paraId="0AC3D2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7.1.1 招标人组建定标监督委员会。</w:t>
      </w:r>
    </w:p>
    <w:p w14:paraId="3C8526EB">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7.2 组建定标委员会 </w:t>
      </w:r>
    </w:p>
    <w:p w14:paraId="7A55F3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7.2.1 按照投标人须知前附表的规定，由招标人依法组建的定标委员会确定中标人。</w:t>
      </w:r>
    </w:p>
    <w:p w14:paraId="279FF7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7.2.2 定标委员会成员一般从定标成员库中产生，定标成员库分为A类库和B类库。</w:t>
      </w:r>
    </w:p>
    <w:p w14:paraId="41E6E09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A类库成员由下列人员组成：</w:t>
      </w:r>
    </w:p>
    <w:p w14:paraId="3D263A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市政府相关负责人；</w:t>
      </w:r>
    </w:p>
    <w:p w14:paraId="362F7E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招标人主要负责人；</w:t>
      </w:r>
    </w:p>
    <w:p w14:paraId="765C5E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相关市政府部门主要负责人；</w:t>
      </w:r>
    </w:p>
    <w:p w14:paraId="535FA8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经市政府批准的专业技术人员及其他人员。</w:t>
      </w:r>
    </w:p>
    <w:p w14:paraId="0EBA615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B类库成员由下列人员组成：</w:t>
      </w:r>
    </w:p>
    <w:p w14:paraId="7D20492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（1）招标人的领导班子成员、管理人员；</w:t>
      </w:r>
    </w:p>
    <w:p w14:paraId="29B5825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（2）招标人主管部门或者系统外相关专业技术人员。</w:t>
      </w:r>
    </w:p>
    <w:p w14:paraId="3BD87A4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项目选用定标成员库类别执行投标人须知前附表规定。定标工作由组建的定标委员会负责，定标委员会成员为5人及以上的单数。定标委员会组长负责组织定标等工作，定标委员会成员对所提出的意见承担责任。</w:t>
      </w:r>
    </w:p>
    <w:p w14:paraId="43469B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成员与定标候选人有利害关系的，必须回避。定标委员会成员应当客观、公正地履行职责，遵守职业道德，保守秘密。</w:t>
      </w:r>
    </w:p>
    <w:p w14:paraId="0F813FB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7.3考察定标候选人情况</w:t>
      </w:r>
    </w:p>
    <w:p w14:paraId="13057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招标人不组织对定标候选人进行考察。</w:t>
      </w:r>
    </w:p>
    <w:p w14:paraId="55571855">
      <w:pPr>
        <w:spacing w:line="360" w:lineRule="auto"/>
        <w:rPr>
          <w:rFonts w:hint="eastAsia" w:ascii="仿宋" w:hAnsi="仿宋" w:eastAsia="仿宋" w:cs="仿宋"/>
          <w:color w:val="auto"/>
          <w:sz w:val="24"/>
          <w:szCs w:val="24"/>
        </w:rPr>
      </w:pPr>
      <w:r>
        <w:rPr>
          <w:rFonts w:hint="eastAsia" w:ascii="Times New Roman" w:hAnsi="Times New Roman" w:eastAsia="黑体" w:cs="Times New Roman"/>
          <w:b w:val="0"/>
          <w:color w:val="auto"/>
          <w:kern w:val="2"/>
          <w:sz w:val="24"/>
          <w:szCs w:val="24"/>
          <w:lang w:val="en-US" w:eastAsia="zh-CN" w:bidi="ar-SA"/>
        </w:rPr>
        <w:t>7.4 定标方法</w:t>
      </w:r>
      <w:r>
        <w:rPr>
          <w:rFonts w:hint="eastAsia" w:ascii="仿宋" w:hAnsi="仿宋" w:eastAsia="仿宋" w:cs="仿宋"/>
          <w:color w:val="auto"/>
          <w:sz w:val="24"/>
          <w:szCs w:val="24"/>
        </w:rPr>
        <w:t xml:space="preserve"> </w:t>
      </w:r>
    </w:p>
    <w:p w14:paraId="4F4BBA8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7.4.1 招标人自定标候选人公示结束后3个工作日内组织定标会议（如有异议、投诉的，异议、投诉处理期不计算在此时间内；如招标人组织质询、考察的，质询、考察期不计算在此时间内)。如因招标文件约定及其他特殊原因，定标会议时间可以适当延期，但不得超过投标有效期。定标会议一般应在公共资源交易中心进行（同步录音、录像资料应提供给招标人作为工程技术档案保存），也可在招标人自行选定具备影音记录条件及封闭保密环境的地点举行。 </w:t>
      </w:r>
    </w:p>
    <w:p w14:paraId="75D064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7.4.2 对社会影响较大的重点工程项目、招投标过程有重大异议或被投诉的项目及其他认为需要的项目，定标会议须在公共资源交易场所进行。</w:t>
      </w:r>
    </w:p>
    <w:p w14:paraId="08D2EA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7.4.3定标委员会应当按照招标文件约定的定标方式客观、公正定标，确定中标人。具体定标方法详见投标人须知前附表。</w:t>
      </w:r>
    </w:p>
    <w:p w14:paraId="6B5C1CC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7.5 定标的其他情形 </w:t>
      </w:r>
    </w:p>
    <w:p w14:paraId="264523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7.5.1定标委员会确定的中标人出现放弃中标、不能履行合同等违法违规情形，招标人可以从余下的定标候选人中重新组织定标活动，或重新组织招标。 </w:t>
      </w:r>
    </w:p>
    <w:p w14:paraId="41721E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7.5.2 定标候选人公示期间，因异议或投诉导致定标候选人少于招标文件规定的数量时，招标人应当从以下后续处理方式中选择一种，具体为：（1） 。 </w:t>
      </w:r>
    </w:p>
    <w:p w14:paraId="2F3EB0F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（1）按照得分由高到低的顺序从其他有效投标人中依次递补；</w:t>
      </w:r>
    </w:p>
    <w:p w14:paraId="087FDD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（2）继续定标；</w:t>
      </w:r>
    </w:p>
    <w:p w14:paraId="099DB9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（3）重新评审，补充推荐定标候选人后再定标； </w:t>
      </w:r>
    </w:p>
    <w:p w14:paraId="223D32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（4）重新招标。 </w:t>
      </w:r>
    </w:p>
    <w:p w14:paraId="1D84CBB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7.6 中标结果公示 </w:t>
      </w:r>
    </w:p>
    <w:p w14:paraId="5A0159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确定中标人之日起3日内，按照投标人须知前附表规定的公示媒介依法公示中标结果。投标人或者其他利害关系人对依法必须进行招标的项目的中标结果有异议的，应当在中标结果公示期间提出。招标人应当自收到异议之日起3日内作出答复；作出答复前，应当暂停招标投标活动。</w:t>
      </w:r>
    </w:p>
    <w:p w14:paraId="196BE10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中标人不得无故放弃中标。若中标人放弃中标、因不可抗力不能履行合同或不按照招标文件要求提交履约保证的，招标人可以在剩余定标候选人中，按照原定标程序和方案，组织原定标委员会重新定标，也可以重新招标。</w:t>
      </w:r>
    </w:p>
    <w:p w14:paraId="5AFA9F3E">
      <w:pPr>
        <w:spacing w:line="360" w:lineRule="auto"/>
        <w:rPr>
          <w:rFonts w:hint="eastAsia" w:ascii="Times New Roman" w:hAnsi="Times New Roman" w:eastAsia="黑体" w:cs="Times New Roman"/>
          <w:b w:val="0"/>
          <w:color w:val="auto"/>
          <w:kern w:val="2"/>
          <w:sz w:val="24"/>
          <w:szCs w:val="24"/>
          <w:lang w:val="en-US" w:eastAsia="zh-CN" w:bidi="ar-SA"/>
        </w:rPr>
      </w:pPr>
      <w:bookmarkStart w:id="145" w:name="_Toc116662755"/>
      <w:r>
        <w:rPr>
          <w:rFonts w:hint="eastAsia" w:ascii="Times New Roman" w:hAnsi="Times New Roman" w:eastAsia="黑体" w:cs="Times New Roman"/>
          <w:b w:val="0"/>
          <w:color w:val="auto"/>
          <w:kern w:val="2"/>
          <w:sz w:val="24"/>
          <w:szCs w:val="24"/>
          <w:lang w:val="en-US" w:eastAsia="zh-CN" w:bidi="ar-SA"/>
        </w:rPr>
        <w:t>7.7 中标通知</w:t>
      </w:r>
      <w:bookmarkEnd w:id="145"/>
    </w:p>
    <w:p w14:paraId="54906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在本章规定的投标有效期内，招标人按照投标人须知前附表规定的形式向中标人发出中标通知书，同时将中标结果通知未中标的投标人。</w:t>
      </w:r>
    </w:p>
    <w:p w14:paraId="4D0F7CA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7.8履约担保</w:t>
      </w:r>
    </w:p>
    <w:p w14:paraId="38D5686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详见投标人须知前附表。 </w:t>
      </w:r>
    </w:p>
    <w:p w14:paraId="1913103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7.9 签订合同 </w:t>
      </w:r>
    </w:p>
    <w:p w14:paraId="2988067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7.9.1招标人和中标人应当在中标通知书约定的时间内，根据招标文件和中标人的投标文件订立书面合同。招标完成后，招标人或其委托的代理机构应及时向招标人、主管部门等提交招标投标归档资料。</w:t>
      </w:r>
    </w:p>
    <w:p w14:paraId="263AD4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7.9.2中标人如不按本招标文件的规定与招标人订立合同，则招标人将取消其中标资格，给招标人造成损失的，还应当予以赔偿，并依法承担相应的法律责任。</w:t>
      </w:r>
    </w:p>
    <w:p w14:paraId="1460A78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7.9.3发出中标通知书后，招标人无正当理由拒签合同给中标人造成损失的，还应当赔偿损失。</w:t>
      </w:r>
    </w:p>
    <w:p w14:paraId="4087B5B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7.9.4中标人应当按照合同约定履行义务，完成中标项目施工，不得将中标项目转包或违规分包。否则，将依照相关法律法规进行处理。</w:t>
      </w:r>
    </w:p>
    <w:p w14:paraId="039C0A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7.9.5中标人在投标文件中拟定的项目负责人，未经同意不得任意更换。施工中，招标人认为项目负责人不称职时，可以要求更换项目负责人。</w:t>
      </w:r>
    </w:p>
    <w:bookmarkEnd w:id="144"/>
    <w:p w14:paraId="252E4610">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8.重新招标和不再招标</w:t>
      </w:r>
    </w:p>
    <w:p w14:paraId="59422C1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8.1 重新招标</w:t>
      </w:r>
    </w:p>
    <w:p w14:paraId="78677B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有下列情形之一的，招标人将重新招标：</w:t>
      </w:r>
    </w:p>
    <w:p w14:paraId="469C9B1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（1）投标截止时间止，投标人少于3个的；</w:t>
      </w:r>
    </w:p>
    <w:p w14:paraId="2A23837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（2）经评标委员会评审后否决所有投标的或经评审有效投标人少于3个的；</w:t>
      </w:r>
    </w:p>
    <w:p w14:paraId="568904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（3）法律规定的其他情形。</w:t>
      </w:r>
    </w:p>
    <w:p w14:paraId="4720F159">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8.2 不再招标</w:t>
      </w:r>
    </w:p>
    <w:p w14:paraId="7AEE252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重新招标后投标人仍少于 3 个或者所有投标被否决的，属于必须审批或核准的工程建设项目，经原审批或核准部门批准后可不再进行招标。</w:t>
      </w:r>
    </w:p>
    <w:p w14:paraId="7464DCA1">
      <w:pPr>
        <w:spacing w:line="360" w:lineRule="auto"/>
        <w:rPr>
          <w:rFonts w:hint="eastAsia" w:ascii="Times New Roman" w:hAnsi="Times New Roman" w:eastAsia="黑体" w:cs="Times New Roman"/>
          <w:b w:val="0"/>
          <w:color w:val="auto"/>
          <w:kern w:val="2"/>
          <w:sz w:val="24"/>
          <w:szCs w:val="24"/>
          <w:lang w:val="en-US" w:eastAsia="zh-CN" w:bidi="ar-SA"/>
        </w:rPr>
      </w:pPr>
      <w:bookmarkStart w:id="146" w:name="_Toc24067"/>
      <w:bookmarkStart w:id="147" w:name="_Toc361508627"/>
      <w:bookmarkStart w:id="148" w:name="_Toc384308252"/>
      <w:bookmarkStart w:id="149" w:name="_Toc534190122"/>
      <w:bookmarkStart w:id="150" w:name="_Toc152042344"/>
      <w:bookmarkStart w:id="151" w:name="_Toc247527593"/>
      <w:bookmarkStart w:id="152" w:name="_Toc144974536"/>
      <w:bookmarkStart w:id="153" w:name="_Toc300834991"/>
      <w:bookmarkStart w:id="154" w:name="_Toc247513992"/>
      <w:bookmarkStart w:id="155" w:name="_Toc152045568"/>
      <w:r>
        <w:rPr>
          <w:rFonts w:hint="eastAsia" w:ascii="Times New Roman" w:hAnsi="Times New Roman" w:eastAsia="黑体" w:cs="Times New Roman"/>
          <w:b w:val="0"/>
          <w:color w:val="auto"/>
          <w:kern w:val="2"/>
          <w:sz w:val="24"/>
          <w:szCs w:val="24"/>
          <w:lang w:val="en-US" w:eastAsia="zh-CN" w:bidi="ar-SA"/>
        </w:rPr>
        <w:t>9.</w:t>
      </w:r>
      <w:bookmarkEnd w:id="146"/>
      <w:bookmarkEnd w:id="147"/>
      <w:bookmarkEnd w:id="148"/>
      <w:r>
        <w:rPr>
          <w:rFonts w:hint="eastAsia" w:ascii="Times New Roman" w:hAnsi="Times New Roman" w:eastAsia="黑体" w:cs="Times New Roman"/>
          <w:b w:val="0"/>
          <w:color w:val="auto"/>
          <w:kern w:val="2"/>
          <w:sz w:val="24"/>
          <w:szCs w:val="24"/>
          <w:lang w:val="en-US" w:eastAsia="zh-CN" w:bidi="ar-SA"/>
        </w:rPr>
        <w:t>纪律和监督</w:t>
      </w:r>
      <w:bookmarkEnd w:id="149"/>
    </w:p>
    <w:p w14:paraId="435C15A2">
      <w:pPr>
        <w:spacing w:line="360" w:lineRule="auto"/>
        <w:rPr>
          <w:rFonts w:hint="eastAsia" w:ascii="Times New Roman" w:hAnsi="Times New Roman" w:eastAsia="黑体" w:cs="Times New Roman"/>
          <w:b w:val="0"/>
          <w:color w:val="auto"/>
          <w:kern w:val="2"/>
          <w:sz w:val="24"/>
          <w:szCs w:val="24"/>
          <w:lang w:val="en-US" w:eastAsia="zh-CN" w:bidi="ar-SA"/>
        </w:rPr>
      </w:pPr>
      <w:bookmarkStart w:id="156" w:name="_Toc534190123"/>
      <w:r>
        <w:rPr>
          <w:rFonts w:hint="eastAsia" w:ascii="Times New Roman" w:hAnsi="Times New Roman" w:eastAsia="黑体" w:cs="Times New Roman"/>
          <w:b w:val="0"/>
          <w:color w:val="auto"/>
          <w:kern w:val="2"/>
          <w:sz w:val="24"/>
          <w:szCs w:val="24"/>
          <w:lang w:val="en-US" w:eastAsia="zh-CN" w:bidi="ar-SA"/>
        </w:rPr>
        <w:t>9.1 对招标人的纪律要求</w:t>
      </w:r>
      <w:bookmarkEnd w:id="156"/>
    </w:p>
    <w:p w14:paraId="620DAE8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招标人不得泄露招标投标活动中应当保密的情况和资料，不得与投标人串通损害国家利益、社会公共利益或者他人合法权益。</w:t>
      </w:r>
    </w:p>
    <w:p w14:paraId="0E594B27">
      <w:pPr>
        <w:spacing w:line="360" w:lineRule="auto"/>
        <w:rPr>
          <w:rFonts w:hint="eastAsia" w:ascii="Times New Roman" w:hAnsi="Times New Roman" w:eastAsia="黑体" w:cs="Times New Roman"/>
          <w:b w:val="0"/>
          <w:color w:val="auto"/>
          <w:kern w:val="2"/>
          <w:sz w:val="24"/>
          <w:szCs w:val="24"/>
          <w:lang w:val="en-US" w:eastAsia="zh-CN" w:bidi="ar-SA"/>
        </w:rPr>
      </w:pPr>
      <w:bookmarkStart w:id="157" w:name="_Toc534190124"/>
      <w:r>
        <w:rPr>
          <w:rFonts w:hint="eastAsia" w:ascii="Times New Roman" w:hAnsi="Times New Roman" w:eastAsia="黑体" w:cs="Times New Roman"/>
          <w:b w:val="0"/>
          <w:color w:val="auto"/>
          <w:kern w:val="2"/>
          <w:sz w:val="24"/>
          <w:szCs w:val="24"/>
          <w:lang w:val="en-US" w:eastAsia="zh-CN" w:bidi="ar-SA"/>
        </w:rPr>
        <w:t>9.2 对投标人的纪律要求</w:t>
      </w:r>
      <w:bookmarkEnd w:id="157"/>
    </w:p>
    <w:p w14:paraId="0AE4C5A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投标人在报名和递交投标文件所作登记的电话必须真实有效，且保持畅通。失去电话联络，所造成一切后果由投标方自行负责。</w:t>
      </w:r>
    </w:p>
    <w:p w14:paraId="2412F0C2">
      <w:pPr>
        <w:spacing w:line="360" w:lineRule="auto"/>
        <w:rPr>
          <w:rFonts w:hint="eastAsia" w:ascii="Times New Roman" w:hAnsi="Times New Roman" w:eastAsia="黑体" w:cs="Times New Roman"/>
          <w:b w:val="0"/>
          <w:color w:val="auto"/>
          <w:kern w:val="2"/>
          <w:sz w:val="24"/>
          <w:szCs w:val="24"/>
          <w:lang w:val="en-US" w:eastAsia="zh-CN" w:bidi="ar-SA"/>
        </w:rPr>
      </w:pPr>
      <w:bookmarkStart w:id="158" w:name="_Toc534190125"/>
      <w:r>
        <w:rPr>
          <w:rFonts w:hint="eastAsia" w:ascii="Times New Roman" w:hAnsi="Times New Roman" w:eastAsia="黑体" w:cs="Times New Roman"/>
          <w:b w:val="0"/>
          <w:color w:val="auto"/>
          <w:kern w:val="2"/>
          <w:sz w:val="24"/>
          <w:szCs w:val="24"/>
          <w:lang w:val="en-US" w:eastAsia="zh-CN" w:bidi="ar-SA"/>
        </w:rPr>
        <w:t>9.3 对评标委员会成员的纪律要求</w:t>
      </w:r>
      <w:bookmarkEnd w:id="158"/>
    </w:p>
    <w:p w14:paraId="5A77317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评标委员会成员不得收受他人的财物或者其他好处，不得向他人透露对投标文件的评审</w:t>
      </w:r>
      <w:bookmarkStart w:id="159" w:name="_Toc361508628"/>
      <w:bookmarkStart w:id="160" w:name="_Toc13644"/>
      <w:bookmarkStart w:id="161" w:name="_Toc384308253"/>
      <w:bookmarkStart w:id="162" w:name="_Toc352691515"/>
      <w:bookmarkStart w:id="163" w:name="_Toc369531559"/>
      <w:r>
        <w:rPr>
          <w:rFonts w:hint="eastAsia" w:ascii="仿宋" w:hAnsi="仿宋" w:eastAsia="仿宋" w:cs="仿宋"/>
          <w:color w:val="auto"/>
          <w:sz w:val="24"/>
          <w:szCs w:val="24"/>
        </w:rPr>
        <w:t>和比较、中标候选人</w:t>
      </w:r>
      <w:bookmarkEnd w:id="150"/>
      <w:bookmarkEnd w:id="151"/>
      <w:bookmarkEnd w:id="152"/>
      <w:bookmarkEnd w:id="153"/>
      <w:bookmarkEnd w:id="154"/>
      <w:bookmarkEnd w:id="155"/>
      <w:bookmarkEnd w:id="159"/>
      <w:bookmarkEnd w:id="160"/>
      <w:bookmarkEnd w:id="161"/>
      <w:bookmarkEnd w:id="162"/>
      <w:bookmarkEnd w:id="163"/>
      <w:r>
        <w:rPr>
          <w:rFonts w:hint="eastAsia" w:ascii="仿宋" w:hAnsi="仿宋" w:eastAsia="仿宋" w:cs="仿宋"/>
          <w:color w:val="auto"/>
          <w:sz w:val="24"/>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74740CF">
      <w:pPr>
        <w:spacing w:line="360" w:lineRule="auto"/>
        <w:rPr>
          <w:rFonts w:hint="eastAsia" w:ascii="Times New Roman" w:hAnsi="Times New Roman" w:eastAsia="黑体" w:cs="Times New Roman"/>
          <w:b w:val="0"/>
          <w:color w:val="auto"/>
          <w:kern w:val="2"/>
          <w:sz w:val="24"/>
          <w:szCs w:val="24"/>
          <w:lang w:val="en-US" w:eastAsia="zh-CN" w:bidi="ar-SA"/>
        </w:rPr>
      </w:pPr>
      <w:bookmarkStart w:id="164" w:name="_Toc534190126"/>
      <w:r>
        <w:rPr>
          <w:rFonts w:hint="eastAsia" w:ascii="Times New Roman" w:hAnsi="Times New Roman" w:eastAsia="黑体" w:cs="Times New Roman"/>
          <w:b w:val="0"/>
          <w:color w:val="auto"/>
          <w:kern w:val="2"/>
          <w:sz w:val="24"/>
          <w:szCs w:val="24"/>
          <w:lang w:val="en-US" w:eastAsia="zh-CN" w:bidi="ar-SA"/>
        </w:rPr>
        <w:t>9.4 对与评标活动有关的工作人员的纪律要求</w:t>
      </w:r>
      <w:bookmarkEnd w:id="164"/>
    </w:p>
    <w:p w14:paraId="1FD054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与评标活动有关的工作人员不得收受他人的财物或者其他好处，不得向他人透露对投标文件</w:t>
      </w:r>
      <w:bookmarkStart w:id="165" w:name="_Toc352691516"/>
      <w:bookmarkStart w:id="166" w:name="_Toc247527594"/>
      <w:bookmarkStart w:id="167" w:name="_Toc152045569"/>
      <w:bookmarkStart w:id="168" w:name="_Toc144974537"/>
      <w:bookmarkStart w:id="169" w:name="_Toc300834992"/>
      <w:bookmarkStart w:id="170" w:name="_Toc19429"/>
      <w:bookmarkStart w:id="171" w:name="_Toc361508629"/>
      <w:bookmarkStart w:id="172" w:name="_Toc369531560"/>
      <w:bookmarkStart w:id="173" w:name="_Toc247513993"/>
      <w:bookmarkStart w:id="174" w:name="_Toc384308254"/>
      <w:bookmarkStart w:id="175" w:name="_Toc152042345"/>
      <w:r>
        <w:rPr>
          <w:rFonts w:hint="eastAsia" w:ascii="仿宋" w:hAnsi="仿宋" w:eastAsia="仿宋" w:cs="仿宋"/>
          <w:color w:val="auto"/>
          <w:sz w:val="24"/>
          <w:szCs w:val="24"/>
        </w:rPr>
        <w:t>的评审和比较、中标</w:t>
      </w:r>
      <w:bookmarkEnd w:id="165"/>
      <w:bookmarkEnd w:id="166"/>
      <w:bookmarkEnd w:id="167"/>
      <w:bookmarkEnd w:id="168"/>
      <w:bookmarkEnd w:id="169"/>
      <w:bookmarkEnd w:id="170"/>
      <w:bookmarkEnd w:id="171"/>
      <w:bookmarkEnd w:id="172"/>
      <w:bookmarkEnd w:id="173"/>
      <w:bookmarkEnd w:id="174"/>
      <w:bookmarkEnd w:id="175"/>
      <w:r>
        <w:rPr>
          <w:rFonts w:hint="eastAsia" w:ascii="仿宋" w:hAnsi="仿宋" w:eastAsia="仿宋" w:cs="仿宋"/>
          <w:color w:val="auto"/>
          <w:sz w:val="24"/>
          <w:szCs w:val="24"/>
        </w:rPr>
        <w:t>候选人的推荐情况以及评标有关的其他情况。在评标活动中，与评标活动有关的工作人员不得擅离职守，影响评标程序正常进行。</w:t>
      </w:r>
    </w:p>
    <w:p w14:paraId="6E6B329B">
      <w:pPr>
        <w:spacing w:line="360" w:lineRule="auto"/>
        <w:rPr>
          <w:rFonts w:hint="eastAsia" w:ascii="Times New Roman" w:hAnsi="Times New Roman" w:eastAsia="黑体" w:cs="Times New Roman"/>
          <w:b w:val="0"/>
          <w:color w:val="auto"/>
          <w:kern w:val="2"/>
          <w:sz w:val="24"/>
          <w:szCs w:val="24"/>
          <w:lang w:val="en-US" w:eastAsia="zh-CN" w:bidi="ar-SA"/>
        </w:rPr>
      </w:pPr>
      <w:bookmarkStart w:id="176" w:name="_Toc534190127"/>
      <w:r>
        <w:rPr>
          <w:rFonts w:hint="eastAsia" w:ascii="Times New Roman" w:hAnsi="Times New Roman" w:eastAsia="黑体" w:cs="Times New Roman"/>
          <w:b w:val="0"/>
          <w:color w:val="auto"/>
          <w:kern w:val="2"/>
          <w:sz w:val="24"/>
          <w:szCs w:val="24"/>
          <w:lang w:val="en-US" w:eastAsia="zh-CN" w:bidi="ar-SA"/>
        </w:rPr>
        <w:t xml:space="preserve">9.5 </w:t>
      </w:r>
      <w:bookmarkEnd w:id="176"/>
      <w:r>
        <w:rPr>
          <w:rFonts w:hint="eastAsia" w:ascii="Times New Roman" w:hAnsi="Times New Roman" w:eastAsia="黑体" w:cs="Times New Roman"/>
          <w:b w:val="0"/>
          <w:color w:val="auto"/>
          <w:kern w:val="2"/>
          <w:sz w:val="24"/>
          <w:szCs w:val="24"/>
          <w:lang w:val="en-US" w:eastAsia="zh-CN" w:bidi="ar-SA"/>
        </w:rPr>
        <w:t>开标、评标、定标过程的异议、投诉</w:t>
      </w:r>
    </w:p>
    <w:p w14:paraId="25FDA09E">
      <w:pPr>
        <w:spacing w:line="360" w:lineRule="auto"/>
        <w:ind w:firstLine="480" w:firstLineChars="200"/>
        <w:rPr>
          <w:rFonts w:hint="eastAsia" w:ascii="仿宋" w:hAnsi="仿宋" w:eastAsia="仿宋" w:cs="仿宋"/>
          <w:color w:val="auto"/>
          <w:sz w:val="24"/>
          <w:szCs w:val="24"/>
        </w:rPr>
      </w:pPr>
      <w:bookmarkStart w:id="177" w:name="_Toc534190129"/>
      <w:bookmarkStart w:id="178" w:name="_Toc492300409"/>
      <w:r>
        <w:rPr>
          <w:rFonts w:hint="eastAsia" w:ascii="仿宋" w:hAnsi="仿宋" w:eastAsia="仿宋" w:cs="仿宋"/>
          <w:color w:val="auto"/>
          <w:sz w:val="24"/>
          <w:szCs w:val="24"/>
        </w:rPr>
        <w:t>投标人在开标过程中，对开标过程如有异议可当场提出，招标人或招标代理机构予以当场解答，投标人不得对已解答的异议再次进行投诉。</w:t>
      </w:r>
    </w:p>
    <w:p w14:paraId="72832C9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和其他利害关系人认为本工程招标投标活动不符合法律法规和规章规定，或者自身合法权益受到侵害，可依法向招标人或招标代理机构提出异议，招标人或招标代理机构应在规定时间内予以答复。联系方式和地址见招标公告。</w:t>
      </w:r>
    </w:p>
    <w:p w14:paraId="3B05556F">
      <w:pPr>
        <w:spacing w:line="360" w:lineRule="auto"/>
        <w:ind w:firstLine="480" w:firstLineChars="200"/>
        <w:rPr>
          <w:ins w:id="0" w:author="张三" w:date="2024-01-31T16:52:00Z"/>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如投标人和其他利害关系人对招标人和招标代理机构的异议处理不服或者在规定时间内</w:t>
      </w:r>
      <w:r>
        <w:rPr>
          <w:rFonts w:hint="eastAsia" w:ascii="仿宋" w:hAnsi="仿宋" w:eastAsia="仿宋" w:cs="仿宋"/>
          <w:color w:val="auto"/>
          <w:sz w:val="24"/>
          <w:szCs w:val="24"/>
          <w:lang w:val="en-US" w:eastAsia="zh-CN"/>
        </w:rPr>
        <w:t>招标人或招标代理机构未予答复的，有权向工程所在地招标投标监督管理机构投诉。</w:t>
      </w:r>
    </w:p>
    <w:p w14:paraId="63D6B21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10. 需要补充的其他内容</w:t>
      </w:r>
      <w:bookmarkEnd w:id="177"/>
      <w:bookmarkEnd w:id="178"/>
    </w:p>
    <w:p w14:paraId="3102093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需要补充的其他内容：见投标人须知前附表。</w:t>
      </w:r>
    </w:p>
    <w:p w14:paraId="47B6DFFF">
      <w:pPr>
        <w:pStyle w:val="55"/>
        <w:rPr>
          <w:rFonts w:ascii="Times New Roman" w:hAnsi="Times New Roman" w:eastAsia="黑体"/>
          <w:color w:val="auto"/>
          <w:sz w:val="28"/>
          <w:szCs w:val="20"/>
        </w:rPr>
      </w:pPr>
    </w:p>
    <w:p w14:paraId="3BACEC2F">
      <w:pPr>
        <w:rPr>
          <w:color w:val="auto"/>
        </w:rPr>
      </w:pPr>
      <w:r>
        <w:rPr>
          <w:color w:val="auto"/>
        </w:rPr>
        <w:br w:type="page"/>
      </w:r>
    </w:p>
    <w:p w14:paraId="483A23F6">
      <w:pPr>
        <w:numPr>
          <w:ilvl w:val="0"/>
          <w:numId w:val="2"/>
        </w:numPr>
        <w:jc w:val="center"/>
        <w:outlineLvl w:val="0"/>
        <w:rPr>
          <w:b/>
          <w:bCs/>
          <w:color w:val="auto"/>
          <w:sz w:val="36"/>
          <w:szCs w:val="36"/>
        </w:rPr>
      </w:pPr>
      <w:bookmarkStart w:id="179" w:name="_Toc534190130"/>
      <w:bookmarkStart w:id="180" w:name="_Toc31451"/>
      <w:r>
        <w:rPr>
          <w:b/>
          <w:bCs/>
          <w:color w:val="auto"/>
          <w:sz w:val="36"/>
          <w:szCs w:val="36"/>
        </w:rPr>
        <w:t>评标办法（综合评估法）</w:t>
      </w:r>
      <w:bookmarkEnd w:id="179"/>
      <w:bookmarkEnd w:id="180"/>
    </w:p>
    <w:p w14:paraId="045F4740">
      <w:pPr>
        <w:pStyle w:val="36"/>
        <w:ind w:left="0" w:leftChars="0" w:firstLine="0" w:firstLineChars="0"/>
        <w:rPr>
          <w:color w:val="auto"/>
        </w:rPr>
      </w:pPr>
    </w:p>
    <w:p w14:paraId="3CBFB7A9">
      <w:pPr>
        <w:spacing w:line="360" w:lineRule="auto"/>
        <w:jc w:val="center"/>
        <w:rPr>
          <w:rFonts w:ascii="宋体" w:hAnsi="宋体"/>
          <w:color w:val="auto"/>
          <w:sz w:val="24"/>
          <w:szCs w:val="21"/>
        </w:rPr>
      </w:pPr>
      <w:r>
        <w:rPr>
          <w:rFonts w:hint="eastAsia" w:ascii="宋体" w:hAnsi="宋体"/>
          <w:color w:val="auto"/>
          <w:sz w:val="24"/>
          <w:szCs w:val="21"/>
        </w:rPr>
        <w:t>评标办法前附表</w:t>
      </w:r>
    </w:p>
    <w:tbl>
      <w:tblPr>
        <w:tblStyle w:val="37"/>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111"/>
        <w:gridCol w:w="2349"/>
        <w:gridCol w:w="5487"/>
      </w:tblGrid>
      <w:tr w14:paraId="0F9D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04" w:type="dxa"/>
            <w:gridSpan w:val="2"/>
            <w:vAlign w:val="center"/>
          </w:tcPr>
          <w:p w14:paraId="52C9C46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条款号</w:t>
            </w:r>
          </w:p>
        </w:tc>
        <w:tc>
          <w:tcPr>
            <w:tcW w:w="2349" w:type="dxa"/>
            <w:vAlign w:val="center"/>
          </w:tcPr>
          <w:p w14:paraId="209B0C66">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因 素</w:t>
            </w:r>
          </w:p>
        </w:tc>
        <w:tc>
          <w:tcPr>
            <w:tcW w:w="5487" w:type="dxa"/>
            <w:vAlign w:val="center"/>
          </w:tcPr>
          <w:p w14:paraId="422CD52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标 准</w:t>
            </w:r>
          </w:p>
        </w:tc>
      </w:tr>
      <w:tr w14:paraId="25EC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exact"/>
          <w:jc w:val="center"/>
        </w:trPr>
        <w:tc>
          <w:tcPr>
            <w:tcW w:w="793" w:type="dxa"/>
            <w:vMerge w:val="restart"/>
            <w:vAlign w:val="center"/>
          </w:tcPr>
          <w:p w14:paraId="577B60FF">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2.1.1</w:t>
            </w:r>
          </w:p>
        </w:tc>
        <w:tc>
          <w:tcPr>
            <w:tcW w:w="1111" w:type="dxa"/>
            <w:vMerge w:val="restart"/>
            <w:vAlign w:val="center"/>
          </w:tcPr>
          <w:p w14:paraId="450D1EB9">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资格评审标准</w:t>
            </w:r>
          </w:p>
        </w:tc>
        <w:tc>
          <w:tcPr>
            <w:tcW w:w="2349" w:type="dxa"/>
            <w:vAlign w:val="center"/>
          </w:tcPr>
          <w:p w14:paraId="7FC2A4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营业执照</w:t>
            </w:r>
          </w:p>
        </w:tc>
        <w:tc>
          <w:tcPr>
            <w:tcW w:w="5487" w:type="dxa"/>
            <w:vAlign w:val="center"/>
          </w:tcPr>
          <w:p w14:paraId="7CFF7CD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具备有效的营业执照</w:t>
            </w:r>
          </w:p>
        </w:tc>
      </w:tr>
      <w:tr w14:paraId="515A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exact"/>
          <w:jc w:val="center"/>
        </w:trPr>
        <w:tc>
          <w:tcPr>
            <w:tcW w:w="793" w:type="dxa"/>
            <w:vMerge w:val="continue"/>
            <w:vAlign w:val="center"/>
          </w:tcPr>
          <w:p w14:paraId="1BBBD966">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1D9A29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7F5958E4">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lang w:val="en-US" w:eastAsia="zh-CN"/>
              </w:rPr>
              <w:t>投标人</w:t>
            </w:r>
            <w:r>
              <w:rPr>
                <w:rFonts w:hint="default" w:ascii="宋体" w:hAnsi="宋体" w:cs="宋体"/>
                <w:color w:val="auto"/>
                <w:sz w:val="24"/>
                <w:szCs w:val="24"/>
                <w:lang w:val="en-US" w:eastAsia="zh-CN"/>
              </w:rPr>
              <w:t>为电梯制造商的，须满足以下条件之一</w:t>
            </w:r>
          </w:p>
        </w:tc>
        <w:tc>
          <w:tcPr>
            <w:tcW w:w="5487" w:type="dxa"/>
            <w:vAlign w:val="center"/>
          </w:tcPr>
          <w:p w14:paraId="363F1AE8">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（1）旧证:具有相关行政主管部门颁发的《中华人民共和国特种设备制造许可证》(电梯 B级及以上)和《中华人民共和国特种设备安装改造维修许可证》（电梯B级及以上）</w:t>
            </w:r>
            <w:r>
              <w:rPr>
                <w:rFonts w:hint="eastAsia" w:ascii="宋体" w:hAnsi="宋体" w:cs="宋体"/>
                <w:color w:val="auto"/>
                <w:sz w:val="24"/>
                <w:szCs w:val="24"/>
                <w:lang w:val="en-US" w:eastAsia="zh-CN"/>
              </w:rPr>
              <w:t>。</w:t>
            </w:r>
          </w:p>
          <w:p w14:paraId="4C7EF4F4">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default" w:ascii="宋体" w:hAnsi="宋体" w:cs="宋体"/>
                <w:color w:val="auto"/>
                <w:sz w:val="24"/>
                <w:szCs w:val="24"/>
                <w:lang w:val="en-US" w:eastAsia="zh-CN"/>
              </w:rPr>
              <w:t>（2）新证:具有相关行政主管部门颁发的《中华人民共和国特种设备生产许可证》【许可项目：电梯制造（含安装、修理、改造），许可子项目含曳引驱动乘客电梯】</w:t>
            </w:r>
            <w:r>
              <w:rPr>
                <w:rFonts w:hint="eastAsia" w:ascii="宋体" w:hAnsi="宋体" w:cs="宋体"/>
                <w:color w:val="auto"/>
                <w:sz w:val="24"/>
                <w:szCs w:val="24"/>
                <w:lang w:val="en-US" w:eastAsia="zh-CN"/>
              </w:rPr>
              <w:t>。</w:t>
            </w:r>
          </w:p>
        </w:tc>
      </w:tr>
      <w:tr w14:paraId="0340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8" w:hRule="exact"/>
          <w:jc w:val="center"/>
        </w:trPr>
        <w:tc>
          <w:tcPr>
            <w:tcW w:w="793" w:type="dxa"/>
            <w:vMerge w:val="continue"/>
            <w:vAlign w:val="center"/>
          </w:tcPr>
          <w:p w14:paraId="6DF6D1AB">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9A57F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F52F3A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lang w:val="en-US" w:eastAsia="zh-CN"/>
              </w:rPr>
              <w:t>投标人</w:t>
            </w:r>
            <w:r>
              <w:rPr>
                <w:rFonts w:hint="default" w:ascii="宋体" w:hAnsi="宋体" w:cs="宋体"/>
                <w:color w:val="auto"/>
                <w:sz w:val="24"/>
                <w:szCs w:val="24"/>
                <w:lang w:val="en-US" w:eastAsia="zh-CN"/>
              </w:rPr>
              <w:t>为电梯代理商的，应具备以下条件</w:t>
            </w:r>
          </w:p>
        </w:tc>
        <w:tc>
          <w:tcPr>
            <w:tcW w:w="5487" w:type="dxa"/>
            <w:vAlign w:val="center"/>
          </w:tcPr>
          <w:p w14:paraId="381A587F">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（1）所代理设备的制造商须具备上述第2款规定的资格要求；</w:t>
            </w:r>
          </w:p>
          <w:p w14:paraId="7B7174D8">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（2）具备电梯制造商的授权委托书；</w:t>
            </w:r>
          </w:p>
          <w:p w14:paraId="6AE11A5C">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（3）代理商本身须具备以下条件之一：</w:t>
            </w:r>
          </w:p>
          <w:p w14:paraId="094C3515">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default" w:ascii="宋体" w:hAnsi="宋体" w:cs="宋体"/>
                <w:color w:val="auto"/>
                <w:sz w:val="24"/>
                <w:szCs w:val="24"/>
                <w:lang w:val="en-US" w:eastAsia="zh-CN"/>
              </w:rPr>
              <w:t>①</w:t>
            </w:r>
            <w:r>
              <w:rPr>
                <w:rFonts w:hint="eastAsia" w:ascii="宋体" w:hAnsi="宋体" w:cs="宋体"/>
                <w:color w:val="auto"/>
                <w:sz w:val="24"/>
                <w:szCs w:val="24"/>
                <w:lang w:val="en-US" w:eastAsia="zh-CN"/>
              </w:rPr>
              <w:t>旧证:并具备有效的《中华人民共和国特种设备安装改造维修许可证》（电梯B级及以上）；</w:t>
            </w:r>
          </w:p>
          <w:p w14:paraId="0EA0751F">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default" w:ascii="宋体" w:hAnsi="宋体" w:cs="宋体"/>
                <w:color w:val="auto"/>
                <w:sz w:val="24"/>
                <w:szCs w:val="24"/>
                <w:lang w:val="en-US" w:eastAsia="zh-CN"/>
              </w:rPr>
              <w:t>②</w:t>
            </w:r>
            <w:r>
              <w:rPr>
                <w:rFonts w:hint="eastAsia" w:ascii="宋体" w:hAnsi="宋体" w:cs="宋体"/>
                <w:color w:val="auto"/>
                <w:sz w:val="24"/>
                <w:szCs w:val="24"/>
                <w:lang w:val="en-US" w:eastAsia="zh-CN"/>
              </w:rPr>
              <w:t>新证:《中华人民共和国特种设备生产许可证》【许可项目：电梯安装（含修理），许可子项目含曳引驱动乘客电梯）】。</w:t>
            </w:r>
          </w:p>
        </w:tc>
      </w:tr>
      <w:tr w14:paraId="6D83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793" w:type="dxa"/>
            <w:vMerge w:val="continue"/>
            <w:vAlign w:val="center"/>
          </w:tcPr>
          <w:p w14:paraId="2B16006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494B05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05B7A60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法定代表人或其授权委托人身份证明</w:t>
            </w:r>
          </w:p>
        </w:tc>
        <w:tc>
          <w:tcPr>
            <w:tcW w:w="5487" w:type="dxa"/>
            <w:vAlign w:val="center"/>
          </w:tcPr>
          <w:p w14:paraId="0829A243">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法定代表人身份证或法人授权委托书（附法人身份证复印件）及委托代理人身份证</w:t>
            </w:r>
          </w:p>
        </w:tc>
      </w:tr>
      <w:tr w14:paraId="001D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0" w:hRule="exact"/>
          <w:jc w:val="center"/>
        </w:trPr>
        <w:tc>
          <w:tcPr>
            <w:tcW w:w="793" w:type="dxa"/>
            <w:vMerge w:val="continue"/>
            <w:vAlign w:val="center"/>
          </w:tcPr>
          <w:p w14:paraId="6F29F2C2">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F80C0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1F3E5696">
            <w:pPr>
              <w:keepNext w:val="0"/>
              <w:keepLines w:val="0"/>
              <w:suppressLineNumbers w:val="0"/>
              <w:spacing w:before="0" w:beforeAutospacing="0" w:after="0" w:afterAutospacing="0"/>
              <w:ind w:left="0" w:right="0" w:firstLine="480" w:firstLineChars="200"/>
              <w:jc w:val="left"/>
              <w:rPr>
                <w:rFonts w:hint="default" w:ascii="宋体" w:hAnsi="宋体" w:cs="宋体"/>
                <w:color w:val="auto"/>
                <w:sz w:val="24"/>
                <w:szCs w:val="24"/>
              </w:rPr>
            </w:pPr>
            <w:r>
              <w:rPr>
                <w:rFonts w:hint="eastAsia" w:ascii="宋体" w:hAnsi="宋体" w:cs="宋体"/>
                <w:color w:val="auto"/>
                <w:sz w:val="24"/>
                <w:szCs w:val="24"/>
              </w:rPr>
              <w:t>信誉要求</w:t>
            </w:r>
          </w:p>
        </w:tc>
        <w:tc>
          <w:tcPr>
            <w:tcW w:w="5487" w:type="dxa"/>
            <w:vAlign w:val="center"/>
          </w:tcPr>
          <w:p w14:paraId="36EA9A8D">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在“中国执行信息公开网”或“信用中国”中被列入失信被执行人、经营（活动）异常名录、重大税收违法失信主体以及严重失信主体名单的投标人；不得参与本项目的投标</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须提供网页查询截图。</w:t>
            </w:r>
          </w:p>
        </w:tc>
      </w:tr>
      <w:tr w14:paraId="2C0C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exact"/>
          <w:jc w:val="center"/>
        </w:trPr>
        <w:tc>
          <w:tcPr>
            <w:tcW w:w="793" w:type="dxa"/>
            <w:vMerge w:val="restart"/>
            <w:vAlign w:val="center"/>
          </w:tcPr>
          <w:p w14:paraId="1B6EC9DD">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2.1.2</w:t>
            </w:r>
          </w:p>
        </w:tc>
        <w:tc>
          <w:tcPr>
            <w:tcW w:w="1111" w:type="dxa"/>
            <w:vMerge w:val="restart"/>
            <w:vAlign w:val="center"/>
          </w:tcPr>
          <w:p w14:paraId="3EECC55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形式评审标准</w:t>
            </w:r>
          </w:p>
        </w:tc>
        <w:tc>
          <w:tcPr>
            <w:tcW w:w="2349" w:type="dxa"/>
            <w:vAlign w:val="center"/>
          </w:tcPr>
          <w:p w14:paraId="1BE4C40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投标人名称</w:t>
            </w:r>
          </w:p>
        </w:tc>
        <w:tc>
          <w:tcPr>
            <w:tcW w:w="5487" w:type="dxa"/>
            <w:vAlign w:val="center"/>
          </w:tcPr>
          <w:p w14:paraId="295553B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与营业执照、资质证书、安全生产许可证一致</w:t>
            </w:r>
          </w:p>
        </w:tc>
      </w:tr>
      <w:tr w14:paraId="206B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exact"/>
          <w:jc w:val="center"/>
        </w:trPr>
        <w:tc>
          <w:tcPr>
            <w:tcW w:w="793" w:type="dxa"/>
            <w:vMerge w:val="continue"/>
            <w:vAlign w:val="center"/>
          </w:tcPr>
          <w:p w14:paraId="54A4984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53D41C83">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990FA4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投标函签字盖章</w:t>
            </w:r>
          </w:p>
        </w:tc>
        <w:tc>
          <w:tcPr>
            <w:tcW w:w="5487" w:type="dxa"/>
            <w:vAlign w:val="center"/>
          </w:tcPr>
          <w:p w14:paraId="2FD671C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lang w:eastAsia="zh-CN"/>
              </w:rPr>
              <w:t>由</w:t>
            </w:r>
            <w:r>
              <w:rPr>
                <w:rFonts w:hint="eastAsia" w:ascii="宋体" w:hAnsi="宋体" w:cs="宋体"/>
                <w:color w:val="auto"/>
                <w:sz w:val="24"/>
                <w:szCs w:val="24"/>
              </w:rPr>
              <w:t>法定代表人或其委托代理人签字（或盖章）并加盖单位公章</w:t>
            </w:r>
          </w:p>
        </w:tc>
      </w:tr>
      <w:tr w14:paraId="0F71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793" w:type="dxa"/>
            <w:vMerge w:val="continue"/>
            <w:vAlign w:val="center"/>
          </w:tcPr>
          <w:p w14:paraId="5A9A9AB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5E57E1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51E0FF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投标文件格式</w:t>
            </w:r>
          </w:p>
        </w:tc>
        <w:tc>
          <w:tcPr>
            <w:tcW w:w="5487" w:type="dxa"/>
            <w:vAlign w:val="center"/>
          </w:tcPr>
          <w:p w14:paraId="135309E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w:t>
            </w:r>
            <w:r>
              <w:rPr>
                <w:rFonts w:hint="eastAsia" w:ascii="宋体" w:hAnsi="宋体" w:cs="宋体"/>
                <w:color w:val="auto"/>
                <w:sz w:val="24"/>
                <w:szCs w:val="24"/>
                <w:lang w:val="en-US" w:eastAsia="zh-CN"/>
              </w:rPr>
              <w:t>八</w:t>
            </w:r>
            <w:r>
              <w:rPr>
                <w:rFonts w:hint="eastAsia" w:ascii="宋体" w:hAnsi="宋体" w:cs="宋体"/>
                <w:color w:val="auto"/>
                <w:sz w:val="24"/>
                <w:szCs w:val="24"/>
              </w:rPr>
              <w:t>章“投标文件格式”的要求</w:t>
            </w:r>
          </w:p>
        </w:tc>
      </w:tr>
      <w:tr w14:paraId="2914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exact"/>
          <w:jc w:val="center"/>
        </w:trPr>
        <w:tc>
          <w:tcPr>
            <w:tcW w:w="793" w:type="dxa"/>
            <w:vMerge w:val="continue"/>
            <w:vAlign w:val="center"/>
          </w:tcPr>
          <w:p w14:paraId="4B2C154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61F001B">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1D9CA0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报价唯一</w:t>
            </w:r>
          </w:p>
        </w:tc>
        <w:tc>
          <w:tcPr>
            <w:tcW w:w="5487" w:type="dxa"/>
            <w:vAlign w:val="center"/>
          </w:tcPr>
          <w:p w14:paraId="50B23E9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只能有一个有效报价</w:t>
            </w:r>
          </w:p>
        </w:tc>
      </w:tr>
      <w:tr w14:paraId="2CF3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exact"/>
          <w:jc w:val="center"/>
        </w:trPr>
        <w:tc>
          <w:tcPr>
            <w:tcW w:w="793" w:type="dxa"/>
            <w:vMerge w:val="restart"/>
            <w:vAlign w:val="center"/>
          </w:tcPr>
          <w:p w14:paraId="473B1199">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2.1.3</w:t>
            </w:r>
          </w:p>
        </w:tc>
        <w:tc>
          <w:tcPr>
            <w:tcW w:w="1111" w:type="dxa"/>
            <w:vMerge w:val="restart"/>
            <w:vAlign w:val="center"/>
          </w:tcPr>
          <w:p w14:paraId="4C66CF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响应性评审标准</w:t>
            </w:r>
          </w:p>
        </w:tc>
        <w:tc>
          <w:tcPr>
            <w:tcW w:w="2349" w:type="dxa"/>
            <w:vAlign w:val="center"/>
          </w:tcPr>
          <w:p w14:paraId="6AC0770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投标内容</w:t>
            </w:r>
          </w:p>
        </w:tc>
        <w:tc>
          <w:tcPr>
            <w:tcW w:w="5487" w:type="dxa"/>
            <w:vAlign w:val="center"/>
          </w:tcPr>
          <w:p w14:paraId="71B0030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A2A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exact"/>
          <w:jc w:val="center"/>
        </w:trPr>
        <w:tc>
          <w:tcPr>
            <w:tcW w:w="793" w:type="dxa"/>
            <w:vMerge w:val="continue"/>
          </w:tcPr>
          <w:p w14:paraId="6026FCF7">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0A5225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9C98C3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工期</w:t>
            </w:r>
          </w:p>
        </w:tc>
        <w:tc>
          <w:tcPr>
            <w:tcW w:w="5487" w:type="dxa"/>
            <w:vAlign w:val="center"/>
          </w:tcPr>
          <w:p w14:paraId="75EE39C1">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5EE6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40714004">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28B92D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8F4003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工程质量</w:t>
            </w:r>
          </w:p>
        </w:tc>
        <w:tc>
          <w:tcPr>
            <w:tcW w:w="5487" w:type="dxa"/>
            <w:vAlign w:val="center"/>
          </w:tcPr>
          <w:p w14:paraId="35E9C124">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0627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3698AF58">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0E9FDE89">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782C3E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投标有效期</w:t>
            </w:r>
          </w:p>
        </w:tc>
        <w:tc>
          <w:tcPr>
            <w:tcW w:w="5487" w:type="dxa"/>
            <w:vAlign w:val="center"/>
          </w:tcPr>
          <w:p w14:paraId="41C995EA">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29C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exact"/>
          <w:jc w:val="center"/>
        </w:trPr>
        <w:tc>
          <w:tcPr>
            <w:tcW w:w="793" w:type="dxa"/>
            <w:vMerge w:val="continue"/>
          </w:tcPr>
          <w:p w14:paraId="38F3322C">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0A380D68">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3CD020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已标价工程量清单</w:t>
            </w:r>
          </w:p>
        </w:tc>
        <w:tc>
          <w:tcPr>
            <w:tcW w:w="5487" w:type="dxa"/>
            <w:vAlign w:val="center"/>
          </w:tcPr>
          <w:p w14:paraId="4A824EB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已标价工程量清单符合“工程量清单”给出的范围及数量</w:t>
            </w:r>
          </w:p>
        </w:tc>
      </w:tr>
      <w:tr w14:paraId="1673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exact"/>
          <w:jc w:val="center"/>
        </w:trPr>
        <w:tc>
          <w:tcPr>
            <w:tcW w:w="793" w:type="dxa"/>
            <w:vMerge w:val="continue"/>
          </w:tcPr>
          <w:p w14:paraId="1937BFC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32452BE5">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7FC95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技术标准和要求</w:t>
            </w:r>
          </w:p>
        </w:tc>
        <w:tc>
          <w:tcPr>
            <w:tcW w:w="5487" w:type="dxa"/>
            <w:vAlign w:val="center"/>
          </w:tcPr>
          <w:p w14:paraId="4B6D62A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符合“技术标准和要求”规定</w:t>
            </w:r>
          </w:p>
        </w:tc>
      </w:tr>
    </w:tbl>
    <w:p w14:paraId="4F2D04B3">
      <w:pPr>
        <w:pStyle w:val="35"/>
        <w:ind w:firstLine="0" w:firstLineChars="0"/>
        <w:rPr>
          <w:color w:val="auto"/>
        </w:rPr>
      </w:pPr>
    </w:p>
    <w:p w14:paraId="432EFCFC">
      <w:pPr>
        <w:pStyle w:val="7"/>
        <w:rPr>
          <w:color w:val="auto"/>
        </w:rPr>
      </w:pPr>
    </w:p>
    <w:p w14:paraId="0B0292E1">
      <w:pPr>
        <w:rPr>
          <w:color w:val="auto"/>
        </w:rPr>
      </w:pPr>
    </w:p>
    <w:p w14:paraId="0DC1CD37">
      <w:pPr>
        <w:rPr>
          <w:color w:val="auto"/>
        </w:rPr>
      </w:pPr>
    </w:p>
    <w:p w14:paraId="7A12ACA8">
      <w:pPr>
        <w:rPr>
          <w:color w:val="auto"/>
        </w:rPr>
      </w:pPr>
    </w:p>
    <w:p w14:paraId="5E69AAA6">
      <w:pPr>
        <w:rPr>
          <w:color w:val="auto"/>
        </w:rPr>
      </w:pPr>
    </w:p>
    <w:p w14:paraId="6555926D">
      <w:pPr>
        <w:rPr>
          <w:color w:val="auto"/>
        </w:rPr>
      </w:pPr>
    </w:p>
    <w:p w14:paraId="08D2AB82">
      <w:pPr>
        <w:rPr>
          <w:color w:val="auto"/>
        </w:rPr>
      </w:pPr>
    </w:p>
    <w:p w14:paraId="4E26C614">
      <w:pPr>
        <w:rPr>
          <w:color w:val="auto"/>
        </w:rPr>
      </w:pPr>
    </w:p>
    <w:p w14:paraId="7BFA880F">
      <w:pPr>
        <w:rPr>
          <w:color w:val="auto"/>
        </w:rPr>
      </w:pPr>
    </w:p>
    <w:p w14:paraId="15BCFE7E">
      <w:pPr>
        <w:rPr>
          <w:color w:val="auto"/>
        </w:rPr>
      </w:pPr>
    </w:p>
    <w:p w14:paraId="18272DEF">
      <w:pPr>
        <w:rPr>
          <w:color w:val="auto"/>
        </w:rPr>
      </w:pPr>
    </w:p>
    <w:p w14:paraId="38A7D843">
      <w:pPr>
        <w:rPr>
          <w:color w:val="auto"/>
        </w:rPr>
      </w:pPr>
    </w:p>
    <w:p w14:paraId="1DC6B5D3">
      <w:pPr>
        <w:rPr>
          <w:color w:val="auto"/>
        </w:rPr>
      </w:pPr>
    </w:p>
    <w:p w14:paraId="560566C5">
      <w:pPr>
        <w:rPr>
          <w:color w:val="auto"/>
        </w:rPr>
      </w:pPr>
    </w:p>
    <w:p w14:paraId="2BC705C6">
      <w:pPr>
        <w:rPr>
          <w:color w:val="auto"/>
        </w:rPr>
      </w:pPr>
    </w:p>
    <w:p w14:paraId="212E58B5">
      <w:pPr>
        <w:rPr>
          <w:color w:val="auto"/>
        </w:rPr>
      </w:pPr>
    </w:p>
    <w:p w14:paraId="39C7EB9A">
      <w:pPr>
        <w:rPr>
          <w:color w:val="auto"/>
        </w:rPr>
      </w:pPr>
    </w:p>
    <w:p w14:paraId="45BB3B07">
      <w:pPr>
        <w:rPr>
          <w:color w:val="auto"/>
        </w:rPr>
      </w:pPr>
    </w:p>
    <w:p w14:paraId="0821E86D">
      <w:pPr>
        <w:rPr>
          <w:color w:val="auto"/>
        </w:rPr>
      </w:pPr>
    </w:p>
    <w:p w14:paraId="58812407">
      <w:pPr>
        <w:rPr>
          <w:color w:val="auto"/>
        </w:rPr>
      </w:pPr>
    </w:p>
    <w:p w14:paraId="10A142F4">
      <w:pPr>
        <w:rPr>
          <w:color w:val="auto"/>
        </w:rPr>
      </w:pPr>
    </w:p>
    <w:p w14:paraId="560DB0E7">
      <w:pPr>
        <w:rPr>
          <w:color w:val="auto"/>
        </w:rPr>
      </w:pPr>
    </w:p>
    <w:p w14:paraId="7611E951">
      <w:pPr>
        <w:rPr>
          <w:color w:val="auto"/>
        </w:rPr>
      </w:pPr>
    </w:p>
    <w:p w14:paraId="55AE78AA">
      <w:pPr>
        <w:rPr>
          <w:color w:val="auto"/>
        </w:rPr>
      </w:pPr>
    </w:p>
    <w:p w14:paraId="1011EC90">
      <w:pPr>
        <w:rPr>
          <w:color w:val="auto"/>
        </w:rPr>
      </w:pPr>
    </w:p>
    <w:p w14:paraId="34D34067">
      <w:pPr>
        <w:rPr>
          <w:color w:val="auto"/>
        </w:rPr>
      </w:pPr>
    </w:p>
    <w:p w14:paraId="7C808518">
      <w:pPr>
        <w:rPr>
          <w:color w:val="auto"/>
        </w:rPr>
      </w:pPr>
    </w:p>
    <w:p w14:paraId="4B05AE0C">
      <w:pPr>
        <w:rPr>
          <w:color w:val="auto"/>
        </w:rPr>
      </w:pPr>
    </w:p>
    <w:p w14:paraId="192154EC">
      <w:pPr>
        <w:rPr>
          <w:color w:val="auto"/>
        </w:rPr>
      </w:pPr>
    </w:p>
    <w:p w14:paraId="6AE1DF33">
      <w:pPr>
        <w:rPr>
          <w:color w:val="auto"/>
        </w:rPr>
      </w:pPr>
    </w:p>
    <w:p w14:paraId="2A851D75">
      <w:pPr>
        <w:rPr>
          <w:color w:val="auto"/>
        </w:rPr>
      </w:pPr>
    </w:p>
    <w:p w14:paraId="7B5603D2">
      <w:pPr>
        <w:rPr>
          <w:color w:val="auto"/>
        </w:rPr>
      </w:pPr>
    </w:p>
    <w:p w14:paraId="79F64BA8">
      <w:pPr>
        <w:rPr>
          <w:color w:val="auto"/>
        </w:rPr>
      </w:pPr>
    </w:p>
    <w:p w14:paraId="55A822F7">
      <w:pPr>
        <w:rPr>
          <w:color w:val="auto"/>
        </w:rPr>
      </w:pPr>
    </w:p>
    <w:p w14:paraId="1C388A39">
      <w:pPr>
        <w:rPr>
          <w:color w:val="auto"/>
        </w:rPr>
      </w:pPr>
    </w:p>
    <w:p w14:paraId="5C177F87">
      <w:pPr>
        <w:jc w:val="center"/>
        <w:rPr>
          <w:rFonts w:hint="eastAsia" w:ascii="Times New Roman" w:hAnsi="Times New Roman"/>
          <w:b/>
          <w:bCs/>
          <w:color w:val="auto"/>
          <w:sz w:val="24"/>
          <w:szCs w:val="24"/>
        </w:rPr>
      </w:pPr>
    </w:p>
    <w:p w14:paraId="491AFBCD">
      <w:pPr>
        <w:jc w:val="center"/>
        <w:rPr>
          <w:rFonts w:ascii="Times New Roman" w:hAnsi="Times New Roman"/>
          <w:b/>
          <w:bCs/>
          <w:color w:val="auto"/>
          <w:sz w:val="24"/>
          <w:szCs w:val="24"/>
        </w:rPr>
      </w:pPr>
      <w:r>
        <w:rPr>
          <w:rFonts w:hint="eastAsia" w:ascii="Times New Roman" w:hAnsi="Times New Roman"/>
          <w:b/>
          <w:bCs/>
          <w:color w:val="auto"/>
          <w:sz w:val="24"/>
          <w:szCs w:val="24"/>
        </w:rPr>
        <w:t>评分细则</w:t>
      </w:r>
    </w:p>
    <w:tbl>
      <w:tblPr>
        <w:tblStyle w:val="37"/>
        <w:tblW w:w="101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945"/>
        <w:gridCol w:w="1131"/>
        <w:gridCol w:w="7314"/>
      </w:tblGrid>
      <w:tr w14:paraId="5EA8A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787" w:type="dxa"/>
            <w:vAlign w:val="center"/>
          </w:tcPr>
          <w:p w14:paraId="778F0450">
            <w:pPr>
              <w:pStyle w:val="76"/>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lang w:val="en-US"/>
              </w:rPr>
              <w:t>条款</w:t>
            </w:r>
          </w:p>
        </w:tc>
        <w:tc>
          <w:tcPr>
            <w:tcW w:w="2076" w:type="dxa"/>
            <w:gridSpan w:val="2"/>
            <w:vAlign w:val="center"/>
          </w:tcPr>
          <w:p w14:paraId="3CBBD207">
            <w:pPr>
              <w:pStyle w:val="76"/>
              <w:keepNext w:val="0"/>
              <w:keepLines w:val="0"/>
              <w:suppressLineNumbers w:val="0"/>
              <w:spacing w:before="0" w:beforeAutospacing="0" w:after="0" w:afterAutospacing="0" w:line="380" w:lineRule="exact"/>
              <w:ind w:left="0" w:right="0"/>
              <w:jc w:val="center"/>
              <w:rPr>
                <w:rFonts w:hint="default"/>
                <w:b/>
                <w:color w:val="auto"/>
                <w:sz w:val="24"/>
                <w:szCs w:val="24"/>
              </w:rPr>
            </w:pPr>
            <w:r>
              <w:rPr>
                <w:rFonts w:hint="eastAsia"/>
                <w:b/>
                <w:color w:val="auto"/>
                <w:sz w:val="24"/>
                <w:szCs w:val="24"/>
              </w:rPr>
              <w:t>评审项目</w:t>
            </w:r>
          </w:p>
        </w:tc>
        <w:tc>
          <w:tcPr>
            <w:tcW w:w="7314" w:type="dxa"/>
            <w:vAlign w:val="center"/>
          </w:tcPr>
          <w:p w14:paraId="4EB34AA2">
            <w:pPr>
              <w:pStyle w:val="76"/>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rPr>
              <w:t>评审标准</w:t>
            </w:r>
            <w:r>
              <w:rPr>
                <w:rFonts w:hint="eastAsia"/>
                <w:b/>
                <w:color w:val="auto"/>
                <w:sz w:val="24"/>
                <w:szCs w:val="24"/>
                <w:lang w:val="en-US"/>
              </w:rPr>
              <w:t>及分值</w:t>
            </w:r>
          </w:p>
        </w:tc>
      </w:tr>
      <w:tr w14:paraId="486E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jc w:val="center"/>
        </w:trPr>
        <w:tc>
          <w:tcPr>
            <w:tcW w:w="787" w:type="dxa"/>
            <w:vAlign w:val="center"/>
          </w:tcPr>
          <w:p w14:paraId="49B6B170">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2.2.1</w:t>
            </w:r>
          </w:p>
        </w:tc>
        <w:tc>
          <w:tcPr>
            <w:tcW w:w="2076" w:type="dxa"/>
            <w:gridSpan w:val="2"/>
            <w:vAlign w:val="center"/>
          </w:tcPr>
          <w:p w14:paraId="23023D94">
            <w:pPr>
              <w:pStyle w:val="76"/>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分值构成</w:t>
            </w:r>
          </w:p>
          <w:p w14:paraId="1C08596A">
            <w:pPr>
              <w:pStyle w:val="76"/>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（总分 100分）</w:t>
            </w:r>
          </w:p>
        </w:tc>
        <w:tc>
          <w:tcPr>
            <w:tcW w:w="7314" w:type="dxa"/>
            <w:vAlign w:val="center"/>
          </w:tcPr>
          <w:p w14:paraId="177EE09A">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cs="仿宋"/>
                <w:color w:val="auto"/>
                <w:sz w:val="24"/>
                <w:szCs w:val="24"/>
                <w:lang w:val="en-US" w:eastAsia="zh-CN"/>
              </w:rPr>
              <w:t>报价</w:t>
            </w:r>
            <w:r>
              <w:rPr>
                <w:rFonts w:hint="eastAsia" w:ascii="仿宋" w:hAnsi="仿宋" w:eastAsia="仿宋" w:cs="仿宋"/>
                <w:color w:val="auto"/>
                <w:sz w:val="24"/>
                <w:szCs w:val="24"/>
              </w:rPr>
              <w:t>部分：</w:t>
            </w:r>
            <w:r>
              <w:rPr>
                <w:rFonts w:hint="eastAsia" w:ascii="仿宋" w:hAnsi="仿宋" w:cs="仿宋"/>
                <w:color w:val="auto"/>
                <w:sz w:val="24"/>
                <w:szCs w:val="24"/>
                <w:lang w:val="en-US" w:eastAsia="zh-CN"/>
              </w:rPr>
              <w:t>60</w:t>
            </w:r>
            <w:r>
              <w:rPr>
                <w:rFonts w:hint="eastAsia" w:ascii="仿宋" w:hAnsi="仿宋" w:eastAsia="仿宋" w:cs="仿宋"/>
                <w:color w:val="auto"/>
                <w:sz w:val="24"/>
                <w:szCs w:val="24"/>
              </w:rPr>
              <w:t>分</w:t>
            </w:r>
          </w:p>
          <w:p w14:paraId="42256BA1">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技术部分：</w:t>
            </w:r>
            <w:r>
              <w:rPr>
                <w:rFonts w:hint="eastAsia" w:ascii="仿宋" w:hAnsi="仿宋" w:cs="仿宋"/>
                <w:color w:val="auto"/>
                <w:sz w:val="24"/>
                <w:szCs w:val="24"/>
                <w:lang w:val="en-US" w:eastAsia="zh-CN"/>
              </w:rPr>
              <w:t>40</w:t>
            </w:r>
            <w:r>
              <w:rPr>
                <w:rFonts w:hint="eastAsia" w:ascii="仿宋" w:hAnsi="仿宋" w:eastAsia="仿宋" w:cs="仿宋"/>
                <w:color w:val="auto"/>
                <w:sz w:val="24"/>
                <w:szCs w:val="24"/>
              </w:rPr>
              <w:t>分</w:t>
            </w:r>
          </w:p>
        </w:tc>
      </w:tr>
      <w:tr w14:paraId="3428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4" w:hRule="atLeast"/>
          <w:jc w:val="center"/>
        </w:trPr>
        <w:tc>
          <w:tcPr>
            <w:tcW w:w="787" w:type="dxa"/>
            <w:vMerge w:val="restart"/>
            <w:vAlign w:val="center"/>
          </w:tcPr>
          <w:p w14:paraId="6431BD3C">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2.2.2</w:t>
            </w:r>
          </w:p>
        </w:tc>
        <w:tc>
          <w:tcPr>
            <w:tcW w:w="945" w:type="dxa"/>
            <w:vMerge w:val="restart"/>
            <w:vAlign w:val="center"/>
          </w:tcPr>
          <w:p w14:paraId="5FCD89D1">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r>
              <w:rPr>
                <w:rFonts w:hint="eastAsia" w:ascii="仿宋" w:hAnsi="仿宋" w:cs="仿宋"/>
                <w:b/>
                <w:bCs/>
                <w:color w:val="auto"/>
                <w:kern w:val="0"/>
                <w:sz w:val="24"/>
                <w:szCs w:val="24"/>
                <w:lang w:val="en-US" w:bidi="zh-CN"/>
              </w:rPr>
              <w:t>报价</w:t>
            </w:r>
            <w:r>
              <w:rPr>
                <w:rFonts w:hint="eastAsia" w:ascii="仿宋" w:hAnsi="仿宋" w:eastAsia="仿宋" w:cs="仿宋"/>
                <w:b/>
                <w:bCs/>
                <w:color w:val="auto"/>
                <w:kern w:val="0"/>
                <w:sz w:val="24"/>
                <w:szCs w:val="24"/>
                <w:lang w:bidi="zh-CN"/>
              </w:rPr>
              <w:t>部分（</w:t>
            </w:r>
            <w:r>
              <w:rPr>
                <w:rFonts w:hint="eastAsia" w:ascii="仿宋" w:hAnsi="仿宋" w:cs="仿宋"/>
                <w:b/>
                <w:bCs/>
                <w:color w:val="auto"/>
                <w:kern w:val="0"/>
                <w:sz w:val="24"/>
                <w:szCs w:val="24"/>
                <w:lang w:val="en-US" w:bidi="zh-CN"/>
              </w:rPr>
              <w:t>6</w:t>
            </w:r>
            <w:r>
              <w:rPr>
                <w:rFonts w:hint="eastAsia" w:ascii="仿宋" w:hAnsi="仿宋" w:eastAsia="仿宋" w:cs="仿宋"/>
                <w:b/>
                <w:bCs/>
                <w:color w:val="auto"/>
                <w:kern w:val="0"/>
                <w:sz w:val="24"/>
                <w:szCs w:val="24"/>
                <w:lang w:val="en-US" w:bidi="zh-CN"/>
              </w:rPr>
              <w:t>0</w:t>
            </w:r>
            <w:r>
              <w:rPr>
                <w:rFonts w:hint="eastAsia" w:ascii="仿宋" w:hAnsi="仿宋" w:eastAsia="仿宋" w:cs="仿宋"/>
                <w:b/>
                <w:bCs/>
                <w:color w:val="auto"/>
                <w:kern w:val="0"/>
                <w:sz w:val="24"/>
                <w:szCs w:val="24"/>
                <w:lang w:bidi="zh-CN"/>
              </w:rPr>
              <w:t>分）</w:t>
            </w:r>
          </w:p>
        </w:tc>
        <w:tc>
          <w:tcPr>
            <w:tcW w:w="1131" w:type="dxa"/>
            <w:vAlign w:val="center"/>
          </w:tcPr>
          <w:p w14:paraId="0CB80547">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投标报价评标基准价计算方法</w:t>
            </w:r>
          </w:p>
        </w:tc>
        <w:tc>
          <w:tcPr>
            <w:tcW w:w="7314" w:type="dxa"/>
            <w:vAlign w:val="center"/>
          </w:tcPr>
          <w:p w14:paraId="35ADDE0C">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评标基准价=投标人有效投标报价的算术平均值</w:t>
            </w:r>
          </w:p>
          <w:p w14:paraId="1495352F">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当n（有效投标人个数，以下相同）＜7时，A=所有投标价的算术平均值；</w:t>
            </w:r>
          </w:p>
          <w:p w14:paraId="02697D9D">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当7≤n＜10时，A=所有投标报价中去掉1个最高价、1个最低价后的算术平均值；</w:t>
            </w:r>
          </w:p>
          <w:p w14:paraId="7AF8CA48">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当n≥10时，A=所有投标报价中去掉2个最高价、2个最低价后的算术平均值。</w:t>
            </w:r>
          </w:p>
          <w:p w14:paraId="295363D4">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rPr>
              <w:t>投标人的投标报价高于招标控制价的，则为无效投标报价，投标文件按无效投标文件处理。当所有投标人的投标报价均高于招标人的招标控制价，招标人将否决所有投标，重新进行招标。</w:t>
            </w:r>
          </w:p>
        </w:tc>
      </w:tr>
      <w:tr w14:paraId="760E2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787" w:type="dxa"/>
            <w:vMerge w:val="continue"/>
            <w:vAlign w:val="center"/>
          </w:tcPr>
          <w:p w14:paraId="2112359A">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0D4D947E">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b/>
                <w:bCs/>
                <w:color w:val="auto"/>
                <w:kern w:val="0"/>
                <w:sz w:val="24"/>
                <w:szCs w:val="24"/>
                <w:lang w:bidi="zh-CN"/>
              </w:rPr>
            </w:pPr>
          </w:p>
        </w:tc>
        <w:tc>
          <w:tcPr>
            <w:tcW w:w="1131" w:type="dxa"/>
            <w:vAlign w:val="center"/>
          </w:tcPr>
          <w:p w14:paraId="66DF732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偏差率</w:t>
            </w:r>
          </w:p>
          <w:p w14:paraId="4154E6AF">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计算公式</w:t>
            </w:r>
          </w:p>
        </w:tc>
        <w:tc>
          <w:tcPr>
            <w:tcW w:w="7314" w:type="dxa"/>
            <w:vAlign w:val="center"/>
          </w:tcPr>
          <w:p w14:paraId="598DEF4E">
            <w:pPr>
              <w:pStyle w:val="36"/>
              <w:keepNext w:val="0"/>
              <w:keepLines w:val="0"/>
              <w:suppressLineNumbers w:val="0"/>
              <w:spacing w:before="0" w:beforeAutospacing="0" w:afterAutospacing="0"/>
              <w:ind w:left="0" w:leftChars="0" w:right="0" w:firstLine="0"/>
              <w:rPr>
                <w:rFonts w:hint="eastAsia" w:ascii="仿宋" w:hAnsi="仿宋" w:eastAsia="仿宋" w:cs="仿宋"/>
                <w:b/>
                <w:bCs/>
                <w:color w:val="auto"/>
                <w:sz w:val="24"/>
                <w:szCs w:val="24"/>
              </w:rPr>
            </w:pPr>
            <w:r>
              <w:rPr>
                <w:rFonts w:hint="eastAsia" w:ascii="仿宋" w:hAnsi="仿宋" w:eastAsia="仿宋" w:cs="仿宋"/>
                <w:color w:val="auto"/>
                <w:spacing w:val="-4"/>
                <w:kern w:val="0"/>
                <w:sz w:val="24"/>
                <w:szCs w:val="24"/>
              </w:rPr>
              <w:t>偏差率=100% ×（投标人报价－评标基准价）/评标基准价</w:t>
            </w:r>
          </w:p>
        </w:tc>
      </w:tr>
      <w:tr w14:paraId="4D47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1CA4410F">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5CE61A42">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p>
        </w:tc>
        <w:tc>
          <w:tcPr>
            <w:tcW w:w="1131" w:type="dxa"/>
            <w:vAlign w:val="center"/>
          </w:tcPr>
          <w:p w14:paraId="5B76D203">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报价得分</w:t>
            </w:r>
          </w:p>
        </w:tc>
        <w:tc>
          <w:tcPr>
            <w:tcW w:w="7314" w:type="dxa"/>
            <w:vAlign w:val="center"/>
          </w:tcPr>
          <w:p w14:paraId="2961F82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当投标人的投标报价等于评标基准价时，得满分</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0分，投标人的投标报价每高于评标基准价1%，在</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0分的基础上减0.1分（高于招标控制价者为废标）；投标人的投标报价每低于评标基准价1%，在</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0分的基础上减0.1分，减完为止。</w:t>
            </w:r>
          </w:p>
          <w:p w14:paraId="100D3C6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不足1%时按内插法计算，在计算过程中保留到小数点后两位，第三位四舍五入。</w:t>
            </w:r>
          </w:p>
        </w:tc>
      </w:tr>
      <w:tr w14:paraId="136F1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restart"/>
            <w:vAlign w:val="center"/>
          </w:tcPr>
          <w:p w14:paraId="26F1B57F">
            <w:pPr>
              <w:pStyle w:val="76"/>
              <w:keepNext w:val="0"/>
              <w:keepLines w:val="0"/>
              <w:suppressLineNumbers w:val="0"/>
              <w:spacing w:before="0" w:beforeAutospacing="0" w:after="0" w:afterAutospacing="0" w:line="380" w:lineRule="exact"/>
              <w:ind w:left="0" w:right="0"/>
              <w:jc w:val="center"/>
              <w:rPr>
                <w:rFonts w:hint="eastAsia" w:eastAsia="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rPr>
              <w:t>2.2.</w:t>
            </w:r>
            <w:r>
              <w:rPr>
                <w:rFonts w:hint="eastAsia" w:cs="宋体"/>
                <w:b/>
                <w:bCs/>
                <w:color w:val="auto"/>
                <w:sz w:val="24"/>
                <w:szCs w:val="24"/>
                <w:highlight w:val="none"/>
                <w:lang w:val="en-US" w:eastAsia="zh-CN"/>
              </w:rPr>
              <w:t>3</w:t>
            </w:r>
          </w:p>
        </w:tc>
        <w:tc>
          <w:tcPr>
            <w:tcW w:w="945" w:type="dxa"/>
            <w:vMerge w:val="restart"/>
            <w:vAlign w:val="center"/>
          </w:tcPr>
          <w:p w14:paraId="3F045134">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2"/>
                <w:sz w:val="24"/>
                <w:szCs w:val="24"/>
                <w:highlight w:val="none"/>
              </w:rPr>
              <w:t>技术部分（</w:t>
            </w:r>
            <w:r>
              <w:rPr>
                <w:rFonts w:hint="eastAsia" w:ascii="仿宋" w:hAnsi="仿宋" w:cs="仿宋"/>
                <w:b/>
                <w:bCs/>
                <w:color w:val="auto"/>
                <w:spacing w:val="-2"/>
                <w:sz w:val="24"/>
                <w:szCs w:val="24"/>
                <w:highlight w:val="none"/>
                <w:lang w:val="en-US" w:eastAsia="zh-CN"/>
              </w:rPr>
              <w:t>40</w:t>
            </w:r>
            <w:r>
              <w:rPr>
                <w:rFonts w:hint="eastAsia" w:ascii="仿宋" w:hAnsi="仿宋" w:eastAsia="仿宋" w:cs="仿宋"/>
                <w:b/>
                <w:bCs/>
                <w:color w:val="auto"/>
                <w:spacing w:val="-2"/>
                <w:sz w:val="24"/>
                <w:szCs w:val="24"/>
                <w:highlight w:val="none"/>
              </w:rPr>
              <w:t>分）</w:t>
            </w:r>
          </w:p>
        </w:tc>
        <w:tc>
          <w:tcPr>
            <w:tcW w:w="1131" w:type="dxa"/>
            <w:vAlign w:val="center"/>
          </w:tcPr>
          <w:p w14:paraId="6FA08DBF">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安装施工</w:t>
            </w:r>
          </w:p>
          <w:p w14:paraId="228559F1">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组织设计</w:t>
            </w:r>
          </w:p>
          <w:p w14:paraId="3DC430C6">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zh-CN"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3263007C">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1、</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总体施工方案、主要施工方法、主要施工管理措施内容</w:t>
            </w:r>
            <w:r>
              <w:rPr>
                <w:rFonts w:hint="eastAsia" w:ascii="仿宋" w:hAnsi="仿宋" w:eastAsia="仿宋" w:cs="仿宋"/>
                <w:color w:val="auto"/>
                <w:kern w:val="0"/>
                <w:sz w:val="24"/>
                <w:szCs w:val="24"/>
                <w:highlight w:val="none"/>
                <w:lang w:val="en-US" w:eastAsia="zh-CN"/>
              </w:rPr>
              <w:t>的</w:t>
            </w:r>
            <w:r>
              <w:rPr>
                <w:rFonts w:hint="eastAsia" w:ascii="仿宋" w:hAnsi="仿宋" w:eastAsia="仿宋" w:cs="仿宋"/>
                <w:color w:val="auto"/>
                <w:kern w:val="0"/>
                <w:sz w:val="24"/>
                <w:szCs w:val="24"/>
                <w:highlight w:val="none"/>
                <w:lang w:eastAsia="zh-CN"/>
              </w:rPr>
              <w:t>切实可行并能体现工程情况的实际需要</w:t>
            </w:r>
            <w:r>
              <w:rPr>
                <w:rFonts w:hint="eastAsia" w:ascii="仿宋" w:hAnsi="仿宋" w:eastAsia="仿宋" w:cs="仿宋"/>
                <w:color w:val="auto"/>
                <w:kern w:val="0"/>
                <w:sz w:val="24"/>
                <w:szCs w:val="24"/>
                <w:highlight w:val="none"/>
                <w:lang w:val="zh-CN" w:eastAsia="zh-CN"/>
              </w:rPr>
              <w:t>，工序先进合理，</w:t>
            </w:r>
            <w:r>
              <w:rPr>
                <w:rFonts w:hint="eastAsia" w:ascii="仿宋" w:hAnsi="仿宋" w:eastAsia="仿宋" w:cs="仿宋"/>
                <w:color w:val="auto"/>
                <w:kern w:val="0"/>
                <w:sz w:val="24"/>
                <w:szCs w:val="24"/>
                <w:highlight w:val="none"/>
                <w:lang w:eastAsia="zh-CN"/>
              </w:rPr>
              <w:t>并能体现工程情况的实际需要</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0-8分之间进行打分；</w:t>
            </w:r>
          </w:p>
          <w:p w14:paraId="70E3237D">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zh-CN" w:eastAsia="zh-CN"/>
              </w:rPr>
              <w:t>2、</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电梯安装管理、技术、安装施工人员配备</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0-8分之间进行打分；</w:t>
            </w:r>
          </w:p>
          <w:p w14:paraId="2059E885">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zh-CN" w:eastAsia="zh-CN"/>
              </w:rPr>
            </w:pPr>
            <w:r>
              <w:rPr>
                <w:rFonts w:hint="eastAsia" w:ascii="仿宋" w:hAnsi="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产品先进性、可靠性及节能效能： 根据曳引机、控制柜、门机系统的先进性、质量 安全可靠性、效能、成功应用案例、维护成本、 配备备用件、选配件价格及供应商信誉，严格按照有关标准综合打分；内容完整、详细，实施可行性科学、合理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lang w:val="en-US" w:eastAsia="zh-CN"/>
              </w:rPr>
              <w:t>分之间进行打分；</w:t>
            </w:r>
          </w:p>
          <w:p w14:paraId="141700BC">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val="zh-CN" w:eastAsia="zh-CN"/>
              </w:rPr>
              <w:t>、</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安全文明施工措施、机械设备安全管理措施、用电安全措施、环境保护措施</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lang w:val="en-US" w:eastAsia="zh-CN"/>
              </w:rPr>
              <w:t>分之间进行打分；</w:t>
            </w:r>
          </w:p>
        </w:tc>
      </w:tr>
      <w:tr w14:paraId="66BD3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72792C31">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highlight w:val="none"/>
                <w:lang w:val="en-US"/>
              </w:rPr>
            </w:pPr>
          </w:p>
        </w:tc>
        <w:tc>
          <w:tcPr>
            <w:tcW w:w="945" w:type="dxa"/>
            <w:vMerge w:val="continue"/>
            <w:vAlign w:val="center"/>
          </w:tcPr>
          <w:p w14:paraId="63A80A6D">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none"/>
              </w:rPr>
            </w:pPr>
          </w:p>
        </w:tc>
        <w:tc>
          <w:tcPr>
            <w:tcW w:w="1131" w:type="dxa"/>
            <w:vAlign w:val="center"/>
          </w:tcPr>
          <w:p w14:paraId="6EAC389A">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维保方案</w:t>
            </w:r>
            <w:r>
              <w:rPr>
                <w:rFonts w:hint="eastAsia" w:ascii="仿宋" w:hAnsi="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lang w:val="zh-CN" w:eastAsia="zh-CN"/>
              </w:rPr>
              <w:t>（</w:t>
            </w:r>
            <w:r>
              <w:rPr>
                <w:rFonts w:hint="eastAsia" w:ascii="仿宋" w:hAnsi="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704FF29E">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根据</w:t>
            </w:r>
            <w:r>
              <w:rPr>
                <w:rFonts w:hint="eastAsia" w:ascii="仿宋" w:hAnsi="仿宋" w:eastAsia="仿宋" w:cs="仿宋"/>
                <w:color w:val="auto"/>
                <w:kern w:val="0"/>
                <w:sz w:val="24"/>
                <w:szCs w:val="24"/>
                <w:highlight w:val="none"/>
                <w:lang w:val="en-US" w:eastAsia="zh-CN"/>
              </w:rPr>
              <w:t>投标单位提供的</w:t>
            </w:r>
            <w:r>
              <w:rPr>
                <w:rFonts w:hint="eastAsia" w:ascii="仿宋" w:hAnsi="仿宋" w:eastAsia="仿宋" w:cs="仿宋"/>
                <w:color w:val="auto"/>
                <w:kern w:val="0"/>
                <w:sz w:val="24"/>
                <w:szCs w:val="24"/>
                <w:highlight w:val="none"/>
              </w:rPr>
              <w:t>对设备质保内及质保期外的维保方案</w:t>
            </w:r>
            <w:r>
              <w:rPr>
                <w:rFonts w:hint="eastAsia" w:ascii="仿宋" w:hAnsi="仿宋" w:eastAsia="仿宋" w:cs="仿宋"/>
                <w:color w:val="auto"/>
                <w:kern w:val="0"/>
                <w:sz w:val="24"/>
                <w:szCs w:val="24"/>
                <w:highlight w:val="none"/>
                <w:lang w:val="en-US" w:eastAsia="zh-CN"/>
              </w:rPr>
              <w:t>进行综合评审</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包含但不限于</w:t>
            </w:r>
            <w:r>
              <w:rPr>
                <w:rFonts w:hint="eastAsia" w:ascii="仿宋" w:hAnsi="仿宋" w:eastAsia="仿宋" w:cs="仿宋"/>
                <w:color w:val="auto"/>
                <w:kern w:val="0"/>
                <w:sz w:val="24"/>
                <w:szCs w:val="24"/>
                <w:highlight w:val="none"/>
              </w:rPr>
              <w:t>回访</w:t>
            </w:r>
            <w:r>
              <w:rPr>
                <w:rFonts w:hint="eastAsia" w:ascii="仿宋" w:hAnsi="仿宋" w:eastAsia="仿宋" w:cs="仿宋"/>
                <w:color w:val="auto"/>
                <w:kern w:val="0"/>
                <w:sz w:val="24"/>
                <w:szCs w:val="24"/>
                <w:highlight w:val="none"/>
                <w:lang w:val="en-US" w:eastAsia="zh-CN"/>
              </w:rPr>
              <w:t>措施</w:t>
            </w:r>
            <w:r>
              <w:rPr>
                <w:rFonts w:hint="eastAsia" w:ascii="仿宋" w:hAnsi="仿宋" w:eastAsia="仿宋" w:cs="仿宋"/>
                <w:color w:val="auto"/>
                <w:kern w:val="0"/>
                <w:sz w:val="24"/>
                <w:szCs w:val="24"/>
                <w:highlight w:val="none"/>
              </w:rPr>
              <w:t>、硬件维护、后续技术支持、定期巡检等情况，</w:t>
            </w:r>
            <w:r>
              <w:rPr>
                <w:rFonts w:hint="eastAsia" w:ascii="仿宋" w:hAnsi="仿宋" w:eastAsia="仿宋" w:cs="仿宋"/>
                <w:color w:val="auto"/>
                <w:kern w:val="0"/>
                <w:sz w:val="24"/>
                <w:szCs w:val="24"/>
                <w:highlight w:val="none"/>
                <w:lang w:val="en-US" w:eastAsia="zh-CN"/>
              </w:rPr>
              <w:t>在</w:t>
            </w:r>
            <w:r>
              <w:rPr>
                <w:rFonts w:hint="eastAsia" w:ascii="仿宋" w:hAnsi="仿宋" w:eastAsia="仿宋" w:cs="仿宋"/>
                <w:color w:val="auto"/>
                <w:kern w:val="0"/>
                <w:sz w:val="24"/>
                <w:szCs w:val="24"/>
                <w:highlight w:val="none"/>
              </w:rPr>
              <w:t>0-</w:t>
            </w:r>
            <w:r>
              <w:rPr>
                <w:rFonts w:hint="eastAsia" w:ascii="仿宋" w:hAnsi="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分之间进行打分；</w:t>
            </w:r>
          </w:p>
        </w:tc>
      </w:tr>
      <w:tr w14:paraId="404E0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12801DEF">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highlight w:val="none"/>
                <w:lang w:val="en-US"/>
              </w:rPr>
            </w:pPr>
          </w:p>
        </w:tc>
        <w:tc>
          <w:tcPr>
            <w:tcW w:w="945" w:type="dxa"/>
            <w:vMerge w:val="continue"/>
            <w:vAlign w:val="center"/>
          </w:tcPr>
          <w:p w14:paraId="03178146">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none"/>
              </w:rPr>
            </w:pPr>
          </w:p>
        </w:tc>
        <w:tc>
          <w:tcPr>
            <w:tcW w:w="1131" w:type="dxa"/>
            <w:vAlign w:val="center"/>
          </w:tcPr>
          <w:p w14:paraId="4B2D4E14">
            <w:pPr>
              <w:keepNext w:val="0"/>
              <w:keepLines w:val="0"/>
              <w:suppressLineNumbers w:val="0"/>
              <w:spacing w:before="0" w:beforeAutospacing="0" w:after="0" w:afterAutospacing="0" w:line="288" w:lineRule="auto"/>
              <w:ind w:left="0" w:leftChars="0" w:right="0" w:rightChars="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售后服务</w:t>
            </w:r>
            <w:r>
              <w:rPr>
                <w:rFonts w:hint="eastAsia" w:ascii="仿宋" w:hAnsi="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lang w:val="zh-CN" w:eastAsia="zh-CN"/>
              </w:rPr>
              <w:t>（</w:t>
            </w:r>
            <w:r>
              <w:rPr>
                <w:rFonts w:hint="eastAsia" w:ascii="仿宋" w:hAnsi="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71A7823B">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根据投标人所提供的售后服务承诺、</w:t>
            </w:r>
            <w:r>
              <w:rPr>
                <w:rFonts w:hint="eastAsia" w:ascii="仿宋" w:hAnsi="仿宋" w:eastAsia="仿宋" w:cs="仿宋"/>
                <w:color w:val="auto"/>
                <w:kern w:val="0"/>
                <w:sz w:val="24"/>
                <w:szCs w:val="24"/>
                <w:highlight w:val="none"/>
                <w:lang w:val="en-US" w:eastAsia="zh-CN"/>
              </w:rPr>
              <w:t>备品备件提供情况等情况进行综合评审，</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lang w:val="en-US" w:eastAsia="zh-CN"/>
              </w:rPr>
              <w:t>分之间进行打分</w:t>
            </w:r>
            <w:r>
              <w:rPr>
                <w:rFonts w:hint="eastAsia" w:ascii="仿宋" w:hAnsi="仿宋" w:eastAsia="仿宋" w:cs="仿宋"/>
                <w:color w:val="auto"/>
                <w:kern w:val="0"/>
                <w:sz w:val="24"/>
                <w:szCs w:val="24"/>
                <w:highlight w:val="none"/>
                <w:lang w:eastAsia="zh-CN"/>
              </w:rPr>
              <w:t>；</w:t>
            </w:r>
          </w:p>
          <w:p w14:paraId="78B6DA6A">
            <w:pPr>
              <w:keepNext w:val="0"/>
              <w:keepLines w:val="0"/>
              <w:suppressLineNumbers w:val="0"/>
              <w:spacing w:before="0" w:beforeAutospacing="0" w:after="0" w:afterAutospacing="0" w:line="288" w:lineRule="auto"/>
              <w:ind w:left="0" w:leftChars="0" w:right="0" w:rightChars="0"/>
              <w:jc w:val="left"/>
              <w:rPr>
                <w:rFonts w:hint="eastAsia" w:ascii="仿宋" w:hAnsi="仿宋" w:eastAsia="仿宋" w:cs="仿宋"/>
                <w:color w:val="auto"/>
                <w:kern w:val="0"/>
                <w:sz w:val="24"/>
                <w:szCs w:val="24"/>
                <w:highlight w:val="none"/>
                <w:lang w:val="en-US" w:eastAsia="zh-CN"/>
              </w:rPr>
            </w:pPr>
          </w:p>
        </w:tc>
      </w:tr>
    </w:tbl>
    <w:p w14:paraId="25DDE8C9">
      <w:pPr>
        <w:spacing w:line="360" w:lineRule="auto"/>
        <w:jc w:val="both"/>
        <w:rPr>
          <w:rFonts w:hint="eastAsia" w:ascii="仿宋" w:hAnsi="仿宋" w:eastAsia="仿宋" w:cs="仿宋"/>
          <w:b/>
          <w:bCs/>
          <w:color w:val="auto"/>
          <w:sz w:val="24"/>
          <w:szCs w:val="24"/>
        </w:rPr>
      </w:pPr>
      <w:bookmarkStart w:id="181" w:name="_Toc5069"/>
      <w:bookmarkStart w:id="182" w:name="_Toc534190132"/>
      <w:r>
        <w:rPr>
          <w:rFonts w:hint="eastAsia" w:ascii="宋体" w:hAnsi="宋体" w:cs="宋体"/>
          <w:b/>
          <w:bCs/>
          <w:color w:val="auto"/>
          <w:sz w:val="24"/>
          <w:szCs w:val="24"/>
          <w:highlight w:val="none"/>
        </w:rPr>
        <w:t xml:space="preserve">注： </w:t>
      </w:r>
      <w:r>
        <w:rPr>
          <w:rFonts w:hint="eastAsia" w:ascii="仿宋" w:hAnsi="仿宋" w:eastAsia="仿宋" w:cs="仿宋"/>
          <w:b/>
          <w:bCs/>
          <w:color w:val="auto"/>
          <w:sz w:val="24"/>
          <w:szCs w:val="24"/>
          <w:highlight w:val="none"/>
        </w:rPr>
        <w:t>1、本评标办法凡涉及资格审查、计分的有关证件和材料，均</w:t>
      </w:r>
      <w:r>
        <w:rPr>
          <w:rFonts w:hint="eastAsia" w:ascii="仿宋" w:hAnsi="仿宋" w:eastAsia="仿宋" w:cs="仿宋"/>
          <w:b/>
          <w:bCs/>
          <w:color w:val="auto"/>
          <w:sz w:val="24"/>
          <w:szCs w:val="24"/>
        </w:rPr>
        <w:t>需将扫描件放至电子投标文件中，否则不予认可。</w:t>
      </w:r>
    </w:p>
    <w:p w14:paraId="5A92D29B">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2、在本次评审办法中所涉及到的有关证件等，提供虚假证件者，责任自负，其投标文件按无效处理，并提请有关主管部门依法进行处理。</w:t>
      </w:r>
    </w:p>
    <w:p w14:paraId="705625F0">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3、计算分值保留到小数点后两位数，第三位数四舍五入。</w:t>
      </w:r>
      <w:bookmarkEnd w:id="181"/>
    </w:p>
    <w:p w14:paraId="48BF43DF">
      <w:pPr>
        <w:bidi w:val="0"/>
        <w:spacing w:line="360" w:lineRule="auto"/>
        <w:rPr>
          <w:rFonts w:hint="eastAsia" w:ascii="黑体" w:hAnsi="黑体" w:eastAsia="黑体" w:cs="黑体"/>
          <w:b/>
          <w:bCs/>
          <w:color w:val="auto"/>
          <w:sz w:val="28"/>
          <w:szCs w:val="32"/>
          <w:lang w:val="en-US" w:eastAsia="zh-CN"/>
        </w:rPr>
      </w:pPr>
      <w:bookmarkStart w:id="183" w:name="_Toc15605"/>
      <w:r>
        <w:rPr>
          <w:rFonts w:hint="eastAsia" w:ascii="黑体" w:hAnsi="黑体" w:eastAsia="黑体" w:cs="黑体"/>
          <w:b/>
          <w:bCs/>
          <w:color w:val="auto"/>
          <w:sz w:val="28"/>
          <w:szCs w:val="32"/>
          <w:lang w:val="en-US" w:eastAsia="zh-CN"/>
        </w:rPr>
        <w:t>（一）资格审查办法</w:t>
      </w:r>
      <w:bookmarkEnd w:id="183"/>
    </w:p>
    <w:p w14:paraId="5822DFE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1.本工程资格审查实行合格制，证件齐全且合格后，才能参与下一阶段的评标：</w:t>
      </w:r>
    </w:p>
    <w:p w14:paraId="660E18B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8"/>
          <w:szCs w:val="32"/>
          <w:lang w:val="en-US" w:eastAsia="zh-CN"/>
        </w:rPr>
        <w:t>（二）评标方法</w:t>
      </w:r>
      <w:r>
        <w:rPr>
          <w:rFonts w:hint="eastAsia" w:ascii="仿宋" w:hAnsi="仿宋" w:eastAsia="仿宋" w:cs="仿宋"/>
          <w:b/>
          <w:bCs/>
          <w:color w:val="auto"/>
          <w:sz w:val="24"/>
          <w:szCs w:val="28"/>
          <w:lang w:val="en-US" w:eastAsia="zh-CN"/>
        </w:rPr>
        <w:t>：</w:t>
      </w:r>
    </w:p>
    <w:p w14:paraId="752A395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1.1评标方法</w:t>
      </w:r>
      <w:bookmarkEnd w:id="182"/>
      <w:bookmarkStart w:id="184" w:name="_Toc534190135"/>
    </w:p>
    <w:p w14:paraId="22DF298F">
      <w:pPr>
        <w:bidi w:val="0"/>
        <w:spacing w:line="360" w:lineRule="auto"/>
        <w:ind w:firstLine="420" w:firstLineChars="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本次评标采用综合评估法。评标委员会对满足招标文件实质性要求的投标文件，按照本章规定的评分标准进行打分，向招标人推荐一定数量不排序的定标候选人。</w:t>
      </w:r>
    </w:p>
    <w:p w14:paraId="0A795214">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经评标委员会评审,当有效投标人为3-5名时,按最终得分由高到低推荐3名定标候选人；当有效投标人为6-10名时，按最终得分由高到低推荐5名定标候选人；当有效投标人为11名及以上时，按最终得分由高到低推荐7名定标候选人。若排序时出现得分相同的情况，则按投标报价低的优先排名，报价也相同的按施工组织优劣排序。</w:t>
      </w:r>
    </w:p>
    <w:p w14:paraId="15B2510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评审标准</w:t>
      </w:r>
    </w:p>
    <w:p w14:paraId="1E6E57F2">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2.1 初步评审标准：</w:t>
      </w:r>
    </w:p>
    <w:p w14:paraId="1442A238">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 xml:space="preserve">2.1.1资格评审标准：见评标办法前附表 </w:t>
      </w:r>
    </w:p>
    <w:p w14:paraId="1DC100F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2.1.2形式评审标准：见评标办法前附表</w:t>
      </w:r>
    </w:p>
    <w:p w14:paraId="0C11B4C3">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2.1.3响应性评审标准：见评标办法前附表</w:t>
      </w:r>
    </w:p>
    <w:p w14:paraId="19EBB60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2.2分值构成与评分标准</w:t>
      </w:r>
    </w:p>
    <w:p w14:paraId="092EC923">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2.2.1 分值构成</w:t>
      </w:r>
    </w:p>
    <w:p w14:paraId="597BCE4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详见评标办法前附表；</w:t>
      </w:r>
    </w:p>
    <w:p w14:paraId="53E42C9C">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2.2.2评分标准</w:t>
      </w:r>
    </w:p>
    <w:p w14:paraId="13A3101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商务部分评分标准：见评标办法前附表；</w:t>
      </w:r>
    </w:p>
    <w:p w14:paraId="1FFA8C4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资信部分评分标准：见评标办法前附表；</w:t>
      </w:r>
    </w:p>
    <w:p w14:paraId="554AC490">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技术部分评分标准：见评标办法前附表；</w:t>
      </w:r>
    </w:p>
    <w:p w14:paraId="497FDA2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评标程序</w:t>
      </w:r>
    </w:p>
    <w:p w14:paraId="73AD0C80">
      <w:pPr>
        <w:bidi w:val="0"/>
        <w:spacing w:line="360" w:lineRule="auto"/>
        <w:rPr>
          <w:rFonts w:hint="eastAsia" w:ascii="仿宋" w:hAnsi="仿宋" w:eastAsia="仿宋" w:cs="仿宋"/>
          <w:b/>
          <w:bCs/>
          <w:color w:val="auto"/>
          <w:sz w:val="24"/>
          <w:szCs w:val="28"/>
          <w:lang w:val="en-US" w:eastAsia="zh-CN"/>
        </w:rPr>
      </w:pPr>
      <w:bookmarkStart w:id="185" w:name="_Toc152045605"/>
      <w:bookmarkStart w:id="186" w:name="_Toc144974572"/>
      <w:bookmarkStart w:id="187" w:name="_Toc152042382"/>
      <w:bookmarkStart w:id="188" w:name="_Toc179632623"/>
      <w:r>
        <w:rPr>
          <w:rFonts w:hint="eastAsia" w:ascii="仿宋" w:hAnsi="仿宋" w:eastAsia="仿宋" w:cs="仿宋"/>
          <w:b/>
          <w:bCs/>
          <w:color w:val="auto"/>
          <w:sz w:val="24"/>
          <w:szCs w:val="28"/>
          <w:lang w:val="en-US" w:eastAsia="zh-CN"/>
        </w:rPr>
        <w:t>3.1 初步评审</w:t>
      </w:r>
      <w:bookmarkEnd w:id="185"/>
      <w:bookmarkEnd w:id="186"/>
      <w:bookmarkEnd w:id="187"/>
      <w:bookmarkEnd w:id="188"/>
    </w:p>
    <w:p w14:paraId="5C72986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3.1.1 评标委员会依据本章规定的评审标准对投标文件进行初步评审。有一项不符合评审标准的，作无效标予以否决处理。</w:t>
      </w:r>
    </w:p>
    <w:p w14:paraId="73EDB1D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3.1.2评标委员会依据招标文件规定的标准对投标文件进行初步评审。有一项不符合评审标准的，作无效投标处理。当投标人资格预审申请文件的内容发生重大变化时，评标委员会依据招标文件规定的标准对其更新资料进行评审。</w:t>
      </w:r>
    </w:p>
    <w:p w14:paraId="3BD0CCD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3.1.3投标人有以下情形之一的，其投标作废标处理：</w:t>
      </w:r>
    </w:p>
    <w:p w14:paraId="2323D21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（1）第二章“投标人须知”规定的任何一种情形的；</w:t>
      </w:r>
    </w:p>
    <w:p w14:paraId="2D6DEA9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（2）串通投标或弄虚作假或有其他违法行为的；</w:t>
      </w:r>
    </w:p>
    <w:p w14:paraId="05A7A48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（3）不按评标委员会要求澄清、说明或补正的；</w:t>
      </w:r>
    </w:p>
    <w:p w14:paraId="0AA4D3E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（4）不符合招标文件中规定的其他实质性要求的。</w:t>
      </w:r>
    </w:p>
    <w:p w14:paraId="20C6C47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3.1.4投标报价有算术错误的，评标委员会按以下原则对投标报价进行修正，修正的价格经投标人书面确认后具有约束力。投标人不接受修正价格的，其投标作废标处理。</w:t>
      </w:r>
    </w:p>
    <w:p w14:paraId="2E0817FF">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（1）投标文件中的大写金额与小写金额不一致的，以大写金额为准；</w:t>
      </w:r>
    </w:p>
    <w:p w14:paraId="37C963A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（2）总价金额与依据单价计算出的结果不一致的，以单价金额为准修正总价，但单价金额小数点有明显错误的除外。</w:t>
      </w:r>
    </w:p>
    <w:p w14:paraId="1B2B5917">
      <w:pPr>
        <w:bidi w:val="0"/>
        <w:spacing w:line="360" w:lineRule="auto"/>
        <w:rPr>
          <w:rFonts w:hint="eastAsia" w:ascii="仿宋" w:hAnsi="仿宋" w:eastAsia="仿宋" w:cs="仿宋"/>
          <w:b/>
          <w:bCs/>
          <w:color w:val="auto"/>
          <w:sz w:val="24"/>
          <w:szCs w:val="28"/>
          <w:lang w:val="en-US" w:eastAsia="zh-CN"/>
        </w:rPr>
      </w:pPr>
      <w:bookmarkStart w:id="189" w:name="_Toc152045606"/>
      <w:bookmarkStart w:id="190" w:name="_Toc144974573"/>
      <w:bookmarkStart w:id="191" w:name="_Toc179632624"/>
      <w:bookmarkStart w:id="192" w:name="_Toc152042384"/>
      <w:r>
        <w:rPr>
          <w:rFonts w:hint="eastAsia" w:ascii="仿宋" w:hAnsi="仿宋" w:eastAsia="仿宋" w:cs="仿宋"/>
          <w:b/>
          <w:bCs/>
          <w:color w:val="auto"/>
          <w:sz w:val="24"/>
          <w:szCs w:val="28"/>
          <w:lang w:val="en-US" w:eastAsia="zh-CN"/>
        </w:rPr>
        <w:t>3.2 详细评审</w:t>
      </w:r>
      <w:bookmarkEnd w:id="189"/>
      <w:bookmarkEnd w:id="190"/>
      <w:bookmarkEnd w:id="191"/>
      <w:bookmarkEnd w:id="192"/>
    </w:p>
    <w:p w14:paraId="6F581FC1">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评标委员会按本章规定的量化因素和分值进行打分，并计算出综合评估得分。</w:t>
      </w:r>
    </w:p>
    <w:p w14:paraId="09FEF2F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3.2.1 评分分值计算保留小数点后两位，小数点后第三位“四舍五入”。</w:t>
      </w:r>
    </w:p>
    <w:p w14:paraId="4CEA5F5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3.2.2 投标人总计分=商务部分得分+技术部分得分+资信部分得分；投标人最终得分取所有评委对该投标人计分之和的算术平均值。</w:t>
      </w:r>
    </w:p>
    <w:p w14:paraId="266F88D7">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3.2.3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16175631">
      <w:pPr>
        <w:bidi w:val="0"/>
        <w:spacing w:line="360" w:lineRule="auto"/>
        <w:rPr>
          <w:rFonts w:hint="eastAsia" w:ascii="仿宋" w:hAnsi="仿宋" w:eastAsia="仿宋" w:cs="仿宋"/>
          <w:b/>
          <w:bCs/>
          <w:color w:val="auto"/>
          <w:sz w:val="24"/>
          <w:szCs w:val="28"/>
          <w:lang w:val="en-US" w:eastAsia="zh-CN"/>
        </w:rPr>
      </w:pPr>
      <w:bookmarkStart w:id="193" w:name="_Toc144974575"/>
      <w:bookmarkStart w:id="194" w:name="_Toc152045607"/>
      <w:bookmarkStart w:id="195" w:name="_Toc152042385"/>
      <w:bookmarkStart w:id="196" w:name="_Toc179632625"/>
      <w:r>
        <w:rPr>
          <w:rFonts w:hint="eastAsia" w:ascii="仿宋" w:hAnsi="仿宋" w:eastAsia="仿宋" w:cs="仿宋"/>
          <w:b/>
          <w:bCs/>
          <w:color w:val="auto"/>
          <w:sz w:val="24"/>
          <w:szCs w:val="28"/>
          <w:lang w:val="en-US" w:eastAsia="zh-CN"/>
        </w:rPr>
        <w:t>3.3 投标文件的澄清</w:t>
      </w:r>
      <w:bookmarkEnd w:id="193"/>
      <w:r>
        <w:rPr>
          <w:rFonts w:hint="eastAsia" w:ascii="仿宋" w:hAnsi="仿宋" w:eastAsia="仿宋" w:cs="仿宋"/>
          <w:b/>
          <w:bCs/>
          <w:color w:val="auto"/>
          <w:sz w:val="24"/>
          <w:szCs w:val="28"/>
          <w:lang w:val="en-US" w:eastAsia="zh-CN"/>
        </w:rPr>
        <w:t>和补正</w:t>
      </w:r>
      <w:bookmarkEnd w:id="194"/>
      <w:bookmarkEnd w:id="195"/>
      <w:bookmarkEnd w:id="196"/>
    </w:p>
    <w:p w14:paraId="3477E1F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3.3.1在评标过程中，评标委员会可以书面形式要求投标人对所提交投标文件中不明确的内容进行书面澄清或说明，或者对细微偏差进行补正。评标委员会不接受投标人主动提出的澄清、说明或补正。</w:t>
      </w:r>
    </w:p>
    <w:p w14:paraId="3911CC5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3.3.2 澄清、说明和补正不得改变投标文件的实质性内容（算术性错误修正的除外）。投标人的书面澄清、说明和补正属于投标文件的组成部分。</w:t>
      </w:r>
    </w:p>
    <w:p w14:paraId="5CDAAE4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3.3.3 评标委员会对投标人提交的澄清、说明或补正有疑问的，可以要求投标人进一步澄清、说明或补正，直至满足评标委员会的要求。</w:t>
      </w:r>
    </w:p>
    <w:p w14:paraId="2CC63EE8">
      <w:pPr>
        <w:bidi w:val="0"/>
        <w:spacing w:line="360" w:lineRule="auto"/>
        <w:rPr>
          <w:rFonts w:hint="eastAsia" w:ascii="仿宋" w:hAnsi="仿宋" w:eastAsia="仿宋" w:cs="仿宋"/>
          <w:b/>
          <w:bCs/>
          <w:color w:val="auto"/>
          <w:sz w:val="24"/>
          <w:szCs w:val="28"/>
          <w:lang w:val="en-US" w:eastAsia="zh-CN"/>
        </w:rPr>
      </w:pPr>
      <w:bookmarkStart w:id="197" w:name="_Toc179632626"/>
      <w:bookmarkStart w:id="198" w:name="_Toc144974576"/>
      <w:bookmarkStart w:id="199" w:name="_Toc152045608"/>
      <w:bookmarkStart w:id="200" w:name="_Toc152042386"/>
      <w:r>
        <w:rPr>
          <w:rFonts w:hint="eastAsia" w:ascii="仿宋" w:hAnsi="仿宋" w:eastAsia="仿宋" w:cs="仿宋"/>
          <w:b/>
          <w:bCs/>
          <w:color w:val="auto"/>
          <w:sz w:val="24"/>
          <w:szCs w:val="28"/>
          <w:lang w:val="en-US" w:eastAsia="zh-CN"/>
        </w:rPr>
        <w:t>3.4 评标结果</w:t>
      </w:r>
      <w:bookmarkEnd w:id="197"/>
      <w:bookmarkEnd w:id="198"/>
      <w:bookmarkEnd w:id="199"/>
      <w:bookmarkEnd w:id="200"/>
    </w:p>
    <w:p w14:paraId="738D3EF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3.4.1评标委员会按照最终得分由高到低的顺序，推荐定标候选人。</w:t>
      </w:r>
    </w:p>
    <w:p w14:paraId="7AF8CCD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3.4.2 评标委员会完成评标后，应当向招标人提交书面评标报告。</w:t>
      </w:r>
    </w:p>
    <w:p w14:paraId="7474FCB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3.4.3评标报告应写明推荐定标候选人的优缺点。</w:t>
      </w:r>
    </w:p>
    <w:p w14:paraId="37C1984A">
      <w:pPr>
        <w:pStyle w:val="3"/>
        <w:rPr>
          <w:color w:val="auto"/>
        </w:rPr>
      </w:pPr>
      <w:r>
        <w:rPr>
          <w:color w:val="auto"/>
        </w:rPr>
        <w:br w:type="page"/>
      </w:r>
    </w:p>
    <w:p w14:paraId="7F603F46">
      <w:pPr>
        <w:numPr>
          <w:ilvl w:val="0"/>
          <w:numId w:val="2"/>
        </w:numPr>
        <w:jc w:val="center"/>
        <w:outlineLvl w:val="0"/>
        <w:rPr>
          <w:b/>
          <w:bCs/>
          <w:color w:val="auto"/>
          <w:sz w:val="36"/>
          <w:szCs w:val="36"/>
        </w:rPr>
      </w:pPr>
      <w:bookmarkStart w:id="201" w:name="_Toc11903"/>
      <w:r>
        <w:rPr>
          <w:rFonts w:hint="eastAsia"/>
          <w:b/>
          <w:bCs/>
          <w:color w:val="auto"/>
          <w:sz w:val="36"/>
          <w:szCs w:val="36"/>
        </w:rPr>
        <w:t>定标方法</w:t>
      </w:r>
      <w:bookmarkEnd w:id="201"/>
    </w:p>
    <w:p w14:paraId="19E70246">
      <w:pPr>
        <w:bidi w:val="0"/>
        <w:rPr>
          <w:rFonts w:hint="eastAsia" w:ascii="黑体" w:hAnsi="黑体" w:eastAsia="黑体" w:cs="黑体"/>
          <w:b/>
          <w:bCs/>
          <w:color w:val="auto"/>
          <w:sz w:val="28"/>
          <w:szCs w:val="28"/>
        </w:rPr>
      </w:pPr>
      <w:bookmarkStart w:id="202" w:name="_Toc32446"/>
      <w:r>
        <w:rPr>
          <w:rFonts w:hint="eastAsia" w:ascii="黑体" w:hAnsi="黑体" w:eastAsia="黑体" w:cs="黑体"/>
          <w:b/>
          <w:bCs/>
          <w:color w:val="auto"/>
          <w:sz w:val="28"/>
          <w:szCs w:val="28"/>
        </w:rPr>
        <w:t>1.定标方法</w:t>
      </w:r>
      <w:bookmarkEnd w:id="202"/>
      <w:r>
        <w:rPr>
          <w:rFonts w:hint="eastAsia" w:ascii="黑体" w:hAnsi="黑体" w:eastAsia="黑体" w:cs="黑体"/>
          <w:b/>
          <w:bCs/>
          <w:color w:val="auto"/>
          <w:sz w:val="28"/>
          <w:szCs w:val="28"/>
        </w:rPr>
        <w:t xml:space="preserve"> </w:t>
      </w:r>
    </w:p>
    <w:tbl>
      <w:tblPr>
        <w:tblStyle w:val="37"/>
        <w:tblW w:w="502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9"/>
        <w:gridCol w:w="1759"/>
        <w:gridCol w:w="5957"/>
      </w:tblGrid>
      <w:tr w14:paraId="0A86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72" w:type="pct"/>
            <w:vAlign w:val="center"/>
          </w:tcPr>
          <w:p w14:paraId="7AB4AC76">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条款号</w:t>
            </w:r>
          </w:p>
        </w:tc>
        <w:tc>
          <w:tcPr>
            <w:tcW w:w="964" w:type="pct"/>
            <w:vAlign w:val="center"/>
          </w:tcPr>
          <w:p w14:paraId="544D9222">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评审因素</w:t>
            </w:r>
          </w:p>
        </w:tc>
        <w:tc>
          <w:tcPr>
            <w:tcW w:w="3265" w:type="pct"/>
            <w:vAlign w:val="center"/>
          </w:tcPr>
          <w:p w14:paraId="70533E2F">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评审标准</w:t>
            </w:r>
          </w:p>
        </w:tc>
      </w:tr>
      <w:tr w14:paraId="20D9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atLeast"/>
        </w:trPr>
        <w:tc>
          <w:tcPr>
            <w:tcW w:w="772" w:type="pct"/>
            <w:vAlign w:val="center"/>
          </w:tcPr>
          <w:p w14:paraId="4612E7BB">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1</w:t>
            </w:r>
          </w:p>
        </w:tc>
        <w:tc>
          <w:tcPr>
            <w:tcW w:w="964" w:type="pct"/>
            <w:tcMar>
              <w:left w:w="75" w:type="dxa"/>
            </w:tcMar>
            <w:vAlign w:val="center"/>
          </w:tcPr>
          <w:p w14:paraId="0547BD89">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定标方法</w:t>
            </w:r>
          </w:p>
        </w:tc>
        <w:tc>
          <w:tcPr>
            <w:tcW w:w="3265" w:type="pct"/>
            <w:tcMar>
              <w:left w:w="75" w:type="dxa"/>
            </w:tcMar>
            <w:vAlign w:val="center"/>
          </w:tcPr>
          <w:p w14:paraId="206ADAE4">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集体议事法</w:t>
            </w:r>
          </w:p>
          <w:p w14:paraId="01F9DD3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w:t>
            </w:r>
          </w:p>
          <w:p w14:paraId="0694F80F">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低中选优定标法 </w:t>
            </w:r>
          </w:p>
          <w:p w14:paraId="5F8C6050">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r w14:paraId="31C6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772" w:type="pct"/>
            <w:vAlign w:val="center"/>
          </w:tcPr>
          <w:p w14:paraId="5179C42A">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2</w:t>
            </w:r>
          </w:p>
        </w:tc>
        <w:tc>
          <w:tcPr>
            <w:tcW w:w="964" w:type="pct"/>
            <w:tcMar>
              <w:left w:w="75" w:type="dxa"/>
            </w:tcMar>
            <w:vAlign w:val="center"/>
          </w:tcPr>
          <w:p w14:paraId="4B801C70">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定标规则</w:t>
            </w:r>
          </w:p>
        </w:tc>
        <w:tc>
          <w:tcPr>
            <w:tcW w:w="3265" w:type="pct"/>
            <w:vAlign w:val="center"/>
          </w:tcPr>
          <w:p w14:paraId="3E93116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□集体议事法：由定标委员会集体商议，定标委员会成员各自发表意见，由定标委员会组长最终确定中标人。</w:t>
            </w:r>
          </w:p>
          <w:p w14:paraId="3B96A44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直接票决）：定标委员会成员在定标候选人中选择1家进行投票，推荐的得1票，最终按推荐得票数由高到低排序确定中标人。票决中出现推荐得票数相同以致影响中标人确定的，由定标委员会对推荐得票数最高且相同的定标候选人，按投标报价由低到高进行排序，报价最低者将被确定为中标人（若投标报价也相同的，由定标委员会对投标报价相同的投标人再次进行投票，得票数高的为中标人）。</w:t>
            </w:r>
          </w:p>
          <w:p w14:paraId="3122D4D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□票决定标法（逐轮票决）：分为两轮。定标规则具体如下：</w:t>
            </w:r>
          </w:p>
          <w:p w14:paraId="64191C68">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第一轮，定标委员会在定标候选人中选择3家进行投票，按累计得票数由高到低顺序进行排序，票数高的3家进入第二轮。定标委员会对进入第二轮的定标候选人选择1家进行投票，推荐的得1票，最终按推荐得票数由高到低排序确定中标人。</w:t>
            </w:r>
          </w:p>
          <w:p w14:paraId="5D4EEFD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票决中出现推荐得票数相同且影响第二轮入围的，由定标委员会对推荐得票数相同的定标候选人，按投标报价由低到高进行排序，投标报价较低的依次入围第二轮（若投标报价也相同的，由定标委员会对报价相同的单位再次进行投票，得票数高的入围第二轮），直至入围家数满足3家；票决中出现推荐得票数相同且影响中标人确定的，由定标委员会对推荐得票数最高且相同的定标候选人，按投标报价由低到高进行排序，报价最低者将被确定为中标人（若投标报价也相同的，由定标委员会对报价相同的单位再次进行投票，得票数高的为中标人）。</w:t>
            </w:r>
          </w:p>
          <w:p w14:paraId="2394EEB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低中选优定标法：是指定标委员会对各定标侯选人复核审查无异议后,按照中标侯选人报价相对平均值较低的价格竞争方法, 综合考虑中标</w:t>
            </w:r>
            <w:r>
              <w:rPr>
                <w:rFonts w:hint="eastAsia"/>
                <w:color w:val="auto"/>
                <w:sz w:val="24"/>
                <w:szCs w:val="28"/>
                <w:lang w:eastAsia="zh-CN"/>
              </w:rPr>
              <w:t>候选</w:t>
            </w:r>
            <w:r>
              <w:rPr>
                <w:rFonts w:hint="eastAsia"/>
                <w:color w:val="auto"/>
                <w:sz w:val="24"/>
                <w:szCs w:val="28"/>
              </w:rPr>
              <w:t>人实力,包括企业规模、资质等级、专业技术人员规模、财务状况、过往业绩 (含业绩影响力和难易程度)、 信用评价情况等方面,合理选择中标人：</w:t>
            </w:r>
          </w:p>
          <w:p w14:paraId="0EC06319">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定标委员会对所有定标候选人进行复核，选择定标候选人中报价低于评标基准价（依据评标阶段确定的基准价）的企业，进入下一阶段评审；</w:t>
            </w:r>
          </w:p>
          <w:p w14:paraId="5278E35C">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对所有进行第二阶段评审的候选人横向比较，按照以下因素进行评审赋分：1）企业规模、2）资质等级、3）专业技术人员规模、4）财务状况、5）过往业绩 与履约情况、 6）信用评价情况；其中最好的得15分（情况基本相同的可并列，得相同分数），以后按每低一个档次少得一分的规则赋分；</w:t>
            </w:r>
          </w:p>
          <w:p w14:paraId="63215123">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分别汇总每个定标候选人的各项因素得分，总分最高的即可确定为中标人。</w:t>
            </w:r>
          </w:p>
          <w:p w14:paraId="62D0AA5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bl>
    <w:p w14:paraId="572F9BA3">
      <w:pPr>
        <w:spacing w:line="360" w:lineRule="auto"/>
        <w:ind w:firstLine="420"/>
        <w:rPr>
          <w:rFonts w:hint="eastAsia" w:ascii="黑体" w:hAnsi="黑体" w:eastAsia="黑体" w:cs="黑体"/>
          <w:b/>
          <w:bCs/>
          <w:color w:val="auto"/>
          <w:sz w:val="28"/>
          <w:szCs w:val="28"/>
        </w:rPr>
      </w:pPr>
      <w:bookmarkStart w:id="203" w:name="_Toc18488"/>
      <w:r>
        <w:rPr>
          <w:rFonts w:hint="eastAsia" w:ascii="黑体" w:hAnsi="黑体" w:eastAsia="黑体" w:cs="黑体"/>
          <w:b/>
          <w:bCs/>
          <w:color w:val="auto"/>
          <w:sz w:val="28"/>
          <w:szCs w:val="28"/>
        </w:rPr>
        <w:t>2.定标程序</w:t>
      </w:r>
      <w:bookmarkEnd w:id="203"/>
      <w:r>
        <w:rPr>
          <w:rFonts w:hint="eastAsia" w:ascii="黑体" w:hAnsi="黑体" w:eastAsia="黑体" w:cs="黑体"/>
          <w:b/>
          <w:bCs/>
          <w:color w:val="auto"/>
          <w:sz w:val="28"/>
          <w:szCs w:val="28"/>
        </w:rPr>
        <w:t xml:space="preserve"> </w:t>
      </w:r>
    </w:p>
    <w:p w14:paraId="6172DE6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定标会议由定标委员会组长主持，定标委员会可参照以下程序进行定标： </w:t>
      </w:r>
    </w:p>
    <w:p w14:paraId="3B7E76E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（1）招标人介绍定标程序及须知，定标成员签署承诺书；</w:t>
      </w:r>
    </w:p>
    <w:p w14:paraId="104313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（2）招标人介绍项目基本情况、招标情况；</w:t>
      </w:r>
    </w:p>
    <w:p w14:paraId="212FE1C0">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（3）评标小组代表或招标人介绍评标情况、专家评审意见及提醒注意事项等；</w:t>
      </w:r>
    </w:p>
    <w:p w14:paraId="6D01711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（4）招标人结合对定标候选人的考察、质询及相关资料，汇报各定标候选人的优势、不足、风险等；</w:t>
      </w:r>
    </w:p>
    <w:p w14:paraId="367519A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（5）招标人对上述程序的合法合规性、汇报内容及相关材料的真实性作出说明；</w:t>
      </w:r>
    </w:p>
    <w:p w14:paraId="09FEE4C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（6）定标委员会成员提出疑问，相关人员解答；</w:t>
      </w:r>
    </w:p>
    <w:p w14:paraId="7A32A10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（7）非定标相关人员离场(不含监督小组等工作人员)；</w:t>
      </w:r>
    </w:p>
    <w:p w14:paraId="737625A2">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（8）采用集体议事法的，定标委员会成员各自发表意见，定标委员会组长定标；采用其他定标法的，按照招标文件规定的方式确定中标人；</w:t>
      </w:r>
    </w:p>
    <w:p w14:paraId="48BAD9E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（9）形成定标报告。</w:t>
      </w:r>
    </w:p>
    <w:p w14:paraId="577E8462">
      <w:pPr>
        <w:spacing w:line="360" w:lineRule="auto"/>
        <w:ind w:firstLine="420"/>
        <w:rPr>
          <w:rFonts w:hint="eastAsia" w:ascii="黑体" w:hAnsi="黑体" w:eastAsia="黑体" w:cs="黑体"/>
          <w:b/>
          <w:bCs/>
          <w:color w:val="auto"/>
          <w:sz w:val="28"/>
          <w:szCs w:val="28"/>
        </w:rPr>
      </w:pPr>
      <w:bookmarkStart w:id="204" w:name="_Toc12512"/>
      <w:r>
        <w:rPr>
          <w:rFonts w:hint="eastAsia" w:ascii="黑体" w:hAnsi="黑体" w:eastAsia="黑体" w:cs="黑体"/>
          <w:b/>
          <w:bCs/>
          <w:color w:val="auto"/>
          <w:sz w:val="28"/>
          <w:szCs w:val="28"/>
        </w:rPr>
        <w:t>3.定标因素</w:t>
      </w:r>
      <w:bookmarkEnd w:id="204"/>
      <w:r>
        <w:rPr>
          <w:rFonts w:hint="eastAsia" w:ascii="黑体" w:hAnsi="黑体" w:eastAsia="黑体" w:cs="黑体"/>
          <w:b/>
          <w:bCs/>
          <w:color w:val="auto"/>
          <w:sz w:val="28"/>
          <w:szCs w:val="28"/>
        </w:rPr>
        <w:t xml:space="preserve"> </w:t>
      </w:r>
    </w:p>
    <w:p w14:paraId="14B3BA1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包括但不限于以下因素：</w:t>
      </w:r>
    </w:p>
    <w:p w14:paraId="20AD420F">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（1）企业实力、信誉（包含资质等级、获奖情况、业绩及履约情况、信用评价评级（如有））、投标报价；</w:t>
      </w:r>
    </w:p>
    <w:p w14:paraId="352830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（2）履约可靠度、服务便利度；</w:t>
      </w:r>
    </w:p>
    <w:p w14:paraId="57D555B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（3）合同稳定性、质量安全保障性、劳资纠纷可控度；</w:t>
      </w:r>
    </w:p>
    <w:p w14:paraId="5E2DF18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（4）承接招标人过往项目的履约及配合情况；</w:t>
      </w:r>
    </w:p>
    <w:p w14:paraId="3C8B160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（5）拟派项目经理及技术负责人的技术能力与履约水平； </w:t>
      </w:r>
    </w:p>
    <w:p w14:paraId="484E8F0A">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（6）施工组织措施的针对性、可行性。 </w:t>
      </w:r>
    </w:p>
    <w:p w14:paraId="69217DD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（7）定标办法前附表规定的其他定标因素。</w:t>
      </w:r>
    </w:p>
    <w:p w14:paraId="1C10B0F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定标委员会根据上述因素等对定标候选人进行综合评价，然后由定标委员会以招标文件规定的定标方法确定中标人。</w:t>
      </w:r>
    </w:p>
    <w:p w14:paraId="6D86458E">
      <w:pPr>
        <w:spacing w:line="360" w:lineRule="auto"/>
        <w:ind w:firstLine="420"/>
        <w:rPr>
          <w:rFonts w:hint="eastAsia" w:ascii="黑体" w:hAnsi="黑体" w:eastAsia="黑体" w:cs="黑体"/>
          <w:b/>
          <w:bCs/>
          <w:color w:val="auto"/>
          <w:sz w:val="28"/>
          <w:szCs w:val="28"/>
        </w:rPr>
      </w:pPr>
      <w:bookmarkStart w:id="205" w:name="_Toc29333"/>
      <w:r>
        <w:rPr>
          <w:rFonts w:hint="eastAsia" w:ascii="黑体" w:hAnsi="黑体" w:eastAsia="黑体" w:cs="黑体"/>
          <w:b/>
          <w:bCs/>
          <w:color w:val="auto"/>
          <w:sz w:val="28"/>
          <w:szCs w:val="28"/>
        </w:rPr>
        <w:t>4.定标规则</w:t>
      </w:r>
      <w:bookmarkEnd w:id="205"/>
    </w:p>
    <w:p w14:paraId="16D042A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本招标项目定标规则详见定标办法前附表。</w:t>
      </w:r>
    </w:p>
    <w:p w14:paraId="1A4CEC65">
      <w:pPr>
        <w:spacing w:line="360" w:lineRule="auto"/>
        <w:ind w:firstLine="420"/>
        <w:rPr>
          <w:rFonts w:hint="eastAsia" w:ascii="黑体" w:hAnsi="黑体" w:eastAsia="黑体" w:cs="黑体"/>
          <w:b/>
          <w:bCs/>
          <w:color w:val="auto"/>
          <w:sz w:val="28"/>
          <w:szCs w:val="28"/>
        </w:rPr>
      </w:pPr>
      <w:bookmarkStart w:id="206" w:name="_Toc6554"/>
      <w:r>
        <w:rPr>
          <w:rFonts w:hint="eastAsia" w:ascii="黑体" w:hAnsi="黑体" w:eastAsia="黑体" w:cs="黑体"/>
          <w:b/>
          <w:bCs/>
          <w:color w:val="auto"/>
          <w:sz w:val="28"/>
          <w:szCs w:val="28"/>
        </w:rPr>
        <w:t>5.定标报告</w:t>
      </w:r>
      <w:bookmarkEnd w:id="206"/>
      <w:r>
        <w:rPr>
          <w:rFonts w:hint="eastAsia" w:ascii="黑体" w:hAnsi="黑体" w:eastAsia="黑体" w:cs="黑体"/>
          <w:b/>
          <w:bCs/>
          <w:color w:val="auto"/>
          <w:sz w:val="28"/>
          <w:szCs w:val="28"/>
        </w:rPr>
        <w:t xml:space="preserve"> </w:t>
      </w:r>
    </w:p>
    <w:p w14:paraId="3B0ABE97">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定标报告由定标委员会全体成员签字。对定标结果有不同意见的定标委员会成员应当在定标报告说明其不同意见和理由。定标委员会成员拒绝在定标报告上签字又不说明其不同意见和理由的，视为同意定标结果。</w:t>
      </w:r>
    </w:p>
    <w:p w14:paraId="1B109E0A">
      <w:pPr>
        <w:spacing w:line="360" w:lineRule="auto"/>
        <w:ind w:firstLine="420"/>
        <w:rPr>
          <w:rFonts w:hint="eastAsia" w:ascii="仿宋" w:hAnsi="仿宋" w:eastAsia="仿宋" w:cs="仿宋"/>
          <w:color w:val="auto"/>
          <w:sz w:val="24"/>
          <w:szCs w:val="24"/>
          <w:lang w:val="zh-CN"/>
        </w:rPr>
      </w:pPr>
      <w:r>
        <w:rPr>
          <w:rFonts w:hint="eastAsia" w:ascii="仿宋" w:hAnsi="仿宋" w:eastAsia="仿宋" w:cs="仿宋"/>
          <w:color w:val="auto"/>
          <w:sz w:val="24"/>
          <w:szCs w:val="24"/>
        </w:rPr>
        <w:t>定标报告应包括以下内容：</w:t>
      </w:r>
      <w:r>
        <w:rPr>
          <w:rFonts w:hint="eastAsia" w:ascii="仿宋" w:hAnsi="仿宋" w:eastAsia="仿宋" w:cs="仿宋"/>
          <w:color w:val="auto"/>
          <w:sz w:val="24"/>
          <w:szCs w:val="24"/>
          <w:lang w:val="zh-CN"/>
        </w:rPr>
        <w:t xml:space="preserve"> </w:t>
      </w:r>
    </w:p>
    <w:p w14:paraId="247C0E5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一、定标前期准备工作（如涉及） </w:t>
      </w:r>
    </w:p>
    <w:p w14:paraId="7A696E5D">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二、定标委员会组建情况 </w:t>
      </w:r>
    </w:p>
    <w:p w14:paraId="55B51B9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三、定标情况 </w:t>
      </w:r>
    </w:p>
    <w:p w14:paraId="6E3542D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四、定标结果 </w:t>
      </w:r>
    </w:p>
    <w:p w14:paraId="18BC249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五、澄清事项纪要（如涉及） </w:t>
      </w:r>
    </w:p>
    <w:p w14:paraId="6B9488D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六、定标过程中澄清、说明、补正事项纪要（如涉及） </w:t>
      </w:r>
    </w:p>
    <w:p w14:paraId="4F54047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七、定标监督情况（如涉及）</w:t>
      </w:r>
    </w:p>
    <w:p w14:paraId="0EEC686E">
      <w:pPr>
        <w:widowControl/>
        <w:jc w:val="left"/>
        <w:rPr>
          <w:color w:val="auto"/>
        </w:rPr>
      </w:pPr>
      <w:r>
        <w:rPr>
          <w:color w:val="auto"/>
        </w:rPr>
        <w:br w:type="page"/>
      </w:r>
    </w:p>
    <w:bookmarkEnd w:id="184"/>
    <w:p w14:paraId="47AB15C0">
      <w:pPr>
        <w:numPr>
          <w:ilvl w:val="0"/>
          <w:numId w:val="2"/>
        </w:numPr>
        <w:jc w:val="center"/>
        <w:outlineLvl w:val="0"/>
        <w:rPr>
          <w:b/>
          <w:bCs/>
          <w:color w:val="auto"/>
          <w:sz w:val="36"/>
          <w:szCs w:val="36"/>
        </w:rPr>
      </w:pPr>
      <w:bookmarkStart w:id="207" w:name="_Toc21191"/>
      <w:bookmarkStart w:id="208" w:name="_Toc14838"/>
      <w:bookmarkStart w:id="209" w:name="_Toc247085853"/>
      <w:bookmarkStart w:id="210" w:name="_Toc246997081"/>
      <w:bookmarkStart w:id="211" w:name="_Toc179632787"/>
      <w:bookmarkStart w:id="212" w:name="_Toc246996338"/>
      <w:bookmarkStart w:id="213" w:name="_Toc247527798"/>
      <w:bookmarkStart w:id="214" w:name="_Toc144974578"/>
      <w:bookmarkStart w:id="215" w:name="_Toc144974829"/>
      <w:bookmarkStart w:id="216" w:name="_Toc300835199"/>
      <w:bookmarkStart w:id="217" w:name="_Toc152042549"/>
      <w:bookmarkStart w:id="218" w:name="_Toc184635122"/>
      <w:bookmarkStart w:id="219" w:name="_Toc152045610"/>
      <w:bookmarkStart w:id="220" w:name="_Toc152042388"/>
      <w:bookmarkStart w:id="221" w:name="_Toc247514197"/>
      <w:r>
        <w:rPr>
          <w:rFonts w:hint="eastAsia"/>
          <w:b/>
          <w:bCs/>
          <w:color w:val="auto"/>
          <w:sz w:val="36"/>
          <w:szCs w:val="36"/>
        </w:rPr>
        <w:t>合同条款及格式（仅供参考）</w:t>
      </w:r>
      <w:bookmarkEnd w:id="207"/>
      <w:bookmarkEnd w:id="208"/>
    </w:p>
    <w:p w14:paraId="7567AEB4">
      <w:pPr>
        <w:rPr>
          <w:color w:val="auto"/>
        </w:rPr>
      </w:pPr>
    </w:p>
    <w:p w14:paraId="5406AE21">
      <w:pPr>
        <w:spacing w:before="100" w:beforeAutospacing="1" w:after="100" w:afterAutospacing="1" w:line="280" w:lineRule="atLeast"/>
        <w:jc w:val="right"/>
        <w:rPr>
          <w:rFonts w:hint="eastAsia" w:ascii="仿宋" w:hAnsi="仿宋" w:eastAsia="仿宋" w:cs="仿宋"/>
          <w:b/>
          <w:bCs/>
          <w:color w:val="auto"/>
          <w:kern w:val="0"/>
          <w:sz w:val="32"/>
          <w:szCs w:val="28"/>
          <w:highlight w:val="none"/>
        </w:rPr>
      </w:pPr>
      <w:bookmarkStart w:id="222" w:name="_Toc3038"/>
      <w:r>
        <w:rPr>
          <w:rFonts w:hint="eastAsia" w:ascii="仿宋" w:hAnsi="仿宋" w:eastAsia="仿宋" w:cs="仿宋"/>
          <w:b/>
          <w:bCs/>
          <w:color w:val="auto"/>
          <w:kern w:val="0"/>
          <w:sz w:val="32"/>
          <w:szCs w:val="28"/>
          <w:highlight w:val="none"/>
        </w:rPr>
        <w:t xml:space="preserve"> 合同编号：____________</w:t>
      </w:r>
    </w:p>
    <w:p w14:paraId="14DC68F2">
      <w:pPr>
        <w:pStyle w:val="56"/>
        <w:rPr>
          <w:rFonts w:hint="eastAsia" w:ascii="仿宋" w:hAnsi="仿宋" w:eastAsia="仿宋" w:cs="仿宋"/>
          <w:color w:val="auto"/>
          <w:highlight w:val="none"/>
        </w:rPr>
      </w:pPr>
    </w:p>
    <w:p w14:paraId="0630001A">
      <w:pPr>
        <w:rPr>
          <w:rFonts w:hint="eastAsia" w:ascii="仿宋" w:hAnsi="仿宋" w:eastAsia="仿宋" w:cs="仿宋"/>
          <w:color w:val="auto"/>
          <w:highlight w:val="none"/>
        </w:rPr>
      </w:pPr>
    </w:p>
    <w:p w14:paraId="0106158A">
      <w:pPr>
        <w:rPr>
          <w:rFonts w:hint="eastAsia" w:ascii="仿宋" w:hAnsi="仿宋" w:eastAsia="仿宋" w:cs="仿宋"/>
          <w:color w:val="auto"/>
          <w:highlight w:val="none"/>
        </w:rPr>
      </w:pPr>
    </w:p>
    <w:p w14:paraId="23241555">
      <w:pPr>
        <w:rPr>
          <w:rFonts w:hint="eastAsia" w:ascii="仿宋" w:hAnsi="仿宋" w:eastAsia="仿宋" w:cs="仿宋"/>
          <w:color w:val="auto"/>
          <w:highlight w:val="none"/>
        </w:rPr>
      </w:pPr>
    </w:p>
    <w:p w14:paraId="14050948">
      <w:pPr>
        <w:jc w:val="center"/>
        <w:rPr>
          <w:rFonts w:hint="eastAsia" w:ascii="仿宋" w:hAnsi="仿宋" w:eastAsia="仿宋" w:cs="仿宋"/>
          <w:b/>
          <w:bCs/>
          <w:color w:val="auto"/>
          <w:sz w:val="36"/>
          <w:szCs w:val="36"/>
          <w:highlight w:val="none"/>
        </w:rPr>
      </w:pPr>
      <w:r>
        <w:rPr>
          <w:rFonts w:hint="eastAsia" w:ascii="仿宋" w:hAnsi="仿宋" w:cs="仿宋"/>
          <w:b/>
          <w:bCs/>
          <w:color w:val="auto"/>
          <w:sz w:val="36"/>
          <w:szCs w:val="36"/>
          <w:highlight w:val="none"/>
          <w:lang w:val="en-US" w:eastAsia="zh-CN"/>
        </w:rPr>
        <w:t>牡丹区</w:t>
      </w:r>
      <w:r>
        <w:rPr>
          <w:rFonts w:hint="eastAsia" w:ascii="仿宋" w:hAnsi="仿宋" w:eastAsia="仿宋" w:cs="仿宋"/>
          <w:b/>
          <w:bCs/>
          <w:color w:val="auto"/>
          <w:sz w:val="36"/>
          <w:szCs w:val="36"/>
          <w:highlight w:val="none"/>
          <w:lang w:val="zh-CN"/>
        </w:rPr>
        <w:t>大千嘉园</w:t>
      </w:r>
      <w:r>
        <w:rPr>
          <w:rFonts w:hint="eastAsia" w:ascii="仿宋" w:hAnsi="仿宋" w:cs="仿宋"/>
          <w:b/>
          <w:bCs/>
          <w:color w:val="auto"/>
          <w:sz w:val="36"/>
          <w:szCs w:val="36"/>
          <w:highlight w:val="none"/>
          <w:lang w:val="en-US" w:eastAsia="zh-CN"/>
        </w:rPr>
        <w:t>安置区</w:t>
      </w:r>
      <w:r>
        <w:rPr>
          <w:rFonts w:hint="eastAsia" w:ascii="仿宋" w:hAnsi="仿宋" w:eastAsia="仿宋" w:cs="仿宋"/>
          <w:b/>
          <w:bCs/>
          <w:color w:val="auto"/>
          <w:sz w:val="36"/>
          <w:szCs w:val="36"/>
          <w:highlight w:val="none"/>
          <w:lang w:val="zh-CN"/>
        </w:rPr>
        <w:t>项目</w:t>
      </w:r>
      <w:r>
        <w:rPr>
          <w:rFonts w:hint="eastAsia" w:ascii="仿宋" w:hAnsi="仿宋" w:cs="仿宋"/>
          <w:b/>
          <w:bCs/>
          <w:color w:val="auto"/>
          <w:sz w:val="36"/>
          <w:szCs w:val="36"/>
          <w:highlight w:val="none"/>
          <w:lang w:val="en-US" w:eastAsia="zh-CN"/>
        </w:rPr>
        <w:t>一期</w:t>
      </w:r>
      <w:r>
        <w:rPr>
          <w:rFonts w:hint="eastAsia" w:ascii="仿宋" w:hAnsi="仿宋" w:eastAsia="仿宋" w:cs="仿宋"/>
          <w:b/>
          <w:bCs/>
          <w:color w:val="auto"/>
          <w:sz w:val="36"/>
          <w:szCs w:val="36"/>
          <w:highlight w:val="none"/>
          <w:lang w:val="zh-CN"/>
        </w:rPr>
        <w:t>电梯工程</w:t>
      </w:r>
    </w:p>
    <w:p w14:paraId="033388BB">
      <w:pPr>
        <w:rPr>
          <w:rFonts w:hint="eastAsia" w:ascii="仿宋" w:hAnsi="仿宋" w:eastAsia="仿宋" w:cs="仿宋"/>
          <w:color w:val="auto"/>
          <w:sz w:val="28"/>
          <w:szCs w:val="28"/>
          <w:highlight w:val="none"/>
        </w:rPr>
      </w:pPr>
    </w:p>
    <w:p w14:paraId="1B5925DB">
      <w:pPr>
        <w:ind w:left="0" w:leftChars="0" w:firstLine="0" w:firstLineChars="0"/>
        <w:jc w:val="center"/>
        <w:rPr>
          <w:rFonts w:hint="eastAsia" w:ascii="仿宋" w:hAnsi="仿宋" w:eastAsia="仿宋" w:cs="仿宋"/>
          <w:color w:val="auto"/>
          <w:sz w:val="28"/>
          <w:szCs w:val="28"/>
          <w:highlight w:val="none"/>
          <w:lang w:val="en-US" w:eastAsia="zh-CN"/>
        </w:rPr>
      </w:pPr>
    </w:p>
    <w:p w14:paraId="4988FD21">
      <w:pPr>
        <w:rPr>
          <w:rFonts w:hint="eastAsia" w:ascii="仿宋" w:hAnsi="仿宋" w:eastAsia="仿宋" w:cs="仿宋"/>
          <w:b/>
          <w:color w:val="auto"/>
          <w:sz w:val="20"/>
          <w:highlight w:val="none"/>
        </w:rPr>
      </w:pPr>
    </w:p>
    <w:p w14:paraId="6DFF8FA1">
      <w:pPr>
        <w:rPr>
          <w:rFonts w:hint="eastAsia" w:ascii="仿宋" w:hAnsi="仿宋" w:eastAsia="仿宋" w:cs="仿宋"/>
          <w:b/>
          <w:color w:val="auto"/>
          <w:sz w:val="20"/>
          <w:highlight w:val="none"/>
        </w:rPr>
      </w:pPr>
    </w:p>
    <w:p w14:paraId="13522DBE">
      <w:pPr>
        <w:rPr>
          <w:rFonts w:hint="eastAsia" w:ascii="仿宋" w:hAnsi="仿宋" w:eastAsia="仿宋" w:cs="仿宋"/>
          <w:b/>
          <w:color w:val="auto"/>
          <w:sz w:val="20"/>
          <w:highlight w:val="none"/>
        </w:rPr>
      </w:pPr>
    </w:p>
    <w:p w14:paraId="5C14BC4B">
      <w:pPr>
        <w:rPr>
          <w:rFonts w:hint="eastAsia" w:ascii="仿宋" w:hAnsi="仿宋" w:eastAsia="仿宋" w:cs="仿宋"/>
          <w:b/>
          <w:color w:val="auto"/>
          <w:sz w:val="20"/>
          <w:highlight w:val="none"/>
        </w:rPr>
      </w:pPr>
    </w:p>
    <w:p w14:paraId="0E17BC56">
      <w:pPr>
        <w:widowControl w:val="0"/>
        <w:jc w:val="both"/>
        <w:rPr>
          <w:rFonts w:hint="eastAsia" w:ascii="仿宋" w:hAnsi="仿宋" w:eastAsia="仿宋" w:cs="仿宋"/>
          <w:color w:val="auto"/>
          <w:kern w:val="2"/>
          <w:sz w:val="21"/>
          <w:szCs w:val="20"/>
          <w:highlight w:val="none"/>
          <w:lang w:val="en-US" w:eastAsia="zh-CN" w:bidi="ar-SA"/>
        </w:rPr>
      </w:pPr>
    </w:p>
    <w:p w14:paraId="7836F8C2">
      <w:pPr>
        <w:widowControl w:val="0"/>
        <w:jc w:val="both"/>
        <w:rPr>
          <w:rFonts w:hint="eastAsia" w:ascii="仿宋" w:hAnsi="仿宋" w:eastAsia="仿宋" w:cs="仿宋"/>
          <w:color w:val="auto"/>
          <w:kern w:val="2"/>
          <w:sz w:val="21"/>
          <w:szCs w:val="20"/>
          <w:highlight w:val="none"/>
          <w:lang w:val="en-US" w:eastAsia="zh-CN" w:bidi="ar-SA"/>
        </w:rPr>
      </w:pPr>
    </w:p>
    <w:p w14:paraId="0A622553">
      <w:pPr>
        <w:widowControl w:val="0"/>
        <w:jc w:val="both"/>
        <w:rPr>
          <w:rFonts w:hint="eastAsia" w:ascii="仿宋" w:hAnsi="仿宋" w:eastAsia="仿宋" w:cs="仿宋"/>
          <w:color w:val="auto"/>
          <w:kern w:val="2"/>
          <w:sz w:val="21"/>
          <w:szCs w:val="20"/>
          <w:highlight w:val="none"/>
          <w:lang w:val="en-US" w:eastAsia="zh-CN" w:bidi="ar-SA"/>
        </w:rPr>
      </w:pPr>
    </w:p>
    <w:p w14:paraId="0D8BE674">
      <w:pPr>
        <w:widowControl w:val="0"/>
        <w:jc w:val="both"/>
        <w:rPr>
          <w:rFonts w:hint="eastAsia" w:ascii="仿宋" w:hAnsi="仿宋" w:eastAsia="仿宋" w:cs="仿宋"/>
          <w:color w:val="auto"/>
          <w:kern w:val="2"/>
          <w:sz w:val="21"/>
          <w:szCs w:val="20"/>
          <w:highlight w:val="none"/>
          <w:lang w:val="en-US" w:eastAsia="zh-CN" w:bidi="ar-SA"/>
        </w:rPr>
      </w:pPr>
    </w:p>
    <w:p w14:paraId="413165D8">
      <w:pPr>
        <w:widowControl w:val="0"/>
        <w:jc w:val="both"/>
        <w:rPr>
          <w:rFonts w:hint="eastAsia" w:ascii="仿宋" w:hAnsi="仿宋" w:eastAsia="仿宋" w:cs="仿宋"/>
          <w:color w:val="auto"/>
          <w:kern w:val="2"/>
          <w:sz w:val="21"/>
          <w:szCs w:val="20"/>
          <w:highlight w:val="none"/>
          <w:lang w:val="en-US" w:eastAsia="zh-CN" w:bidi="ar-SA"/>
        </w:rPr>
      </w:pPr>
    </w:p>
    <w:p w14:paraId="578684C6">
      <w:pPr>
        <w:widowControl w:val="0"/>
        <w:jc w:val="both"/>
        <w:rPr>
          <w:rFonts w:hint="eastAsia" w:ascii="仿宋" w:hAnsi="仿宋" w:eastAsia="仿宋" w:cs="仿宋"/>
          <w:color w:val="auto"/>
          <w:kern w:val="2"/>
          <w:sz w:val="21"/>
          <w:szCs w:val="20"/>
          <w:highlight w:val="none"/>
          <w:lang w:val="en-US" w:eastAsia="zh-CN" w:bidi="ar-SA"/>
        </w:rPr>
      </w:pPr>
    </w:p>
    <w:p w14:paraId="75F3E94E">
      <w:pPr>
        <w:widowControl w:val="0"/>
        <w:spacing w:after="120" w:afterLines="0"/>
        <w:jc w:val="center"/>
        <w:rPr>
          <w:rFonts w:hint="eastAsia" w:ascii="仿宋" w:hAnsi="仿宋" w:eastAsia="仿宋" w:cs="仿宋"/>
          <w:b/>
          <w:color w:val="auto"/>
          <w:kern w:val="2"/>
          <w:sz w:val="20"/>
          <w:szCs w:val="24"/>
          <w:highlight w:val="none"/>
          <w:lang w:val="en-US" w:eastAsia="zh-CN" w:bidi="ar-SA"/>
        </w:rPr>
      </w:pPr>
    </w:p>
    <w:p w14:paraId="39D2ECF9">
      <w:pPr>
        <w:widowControl w:val="0"/>
        <w:spacing w:before="11" w:after="120" w:afterLines="0"/>
        <w:jc w:val="center"/>
        <w:rPr>
          <w:rFonts w:hint="eastAsia" w:ascii="仿宋" w:hAnsi="仿宋" w:eastAsia="仿宋" w:cs="仿宋"/>
          <w:b/>
          <w:color w:val="auto"/>
          <w:kern w:val="2"/>
          <w:sz w:val="25"/>
          <w:szCs w:val="24"/>
          <w:highlight w:val="none"/>
          <w:lang w:val="en-US" w:eastAsia="zh-CN" w:bidi="ar-SA"/>
        </w:rPr>
      </w:pPr>
    </w:p>
    <w:p w14:paraId="5AD7E1F2">
      <w:pPr>
        <w:spacing w:line="480" w:lineRule="auto"/>
        <w:ind w:firstLine="1285" w:firstLineChars="400"/>
        <w:textAlignment w:val="baseline"/>
        <w:rPr>
          <w:rFonts w:hint="eastAsia" w:ascii="仿宋" w:hAnsi="仿宋" w:eastAsia="仿宋" w:cs="仿宋"/>
          <w:b/>
          <w:color w:val="auto"/>
          <w:sz w:val="32"/>
          <w:highlight w:val="none"/>
          <w:u w:val="single"/>
          <w:lang w:val="en-US" w:eastAsia="zh-CN"/>
        </w:rPr>
      </w:pPr>
      <w:r>
        <w:rPr>
          <w:rFonts w:hint="eastAsia" w:ascii="仿宋" w:hAnsi="仿宋" w:eastAsia="仿宋" w:cs="仿宋"/>
          <w:b/>
          <w:color w:val="auto"/>
          <w:sz w:val="32"/>
          <w:highlight w:val="none"/>
        </w:rPr>
        <w:t xml:space="preserve">甲  </w:t>
      </w:r>
      <w:r>
        <w:rPr>
          <w:rFonts w:hint="eastAsia" w:ascii="仿宋" w:hAnsi="仿宋" w:eastAsia="仿宋" w:cs="仿宋"/>
          <w:b/>
          <w:color w:val="auto"/>
          <w:spacing w:val="159"/>
          <w:sz w:val="32"/>
          <w:highlight w:val="none"/>
        </w:rPr>
        <w:t xml:space="preserve"> </w:t>
      </w:r>
      <w:r>
        <w:rPr>
          <w:rFonts w:hint="eastAsia" w:ascii="仿宋" w:hAnsi="仿宋" w:eastAsia="仿宋" w:cs="仿宋"/>
          <w:b/>
          <w:color w:val="auto"/>
          <w:sz w:val="32"/>
          <w:highlight w:val="none"/>
        </w:rPr>
        <w:t>方:</w:t>
      </w:r>
      <w:r>
        <w:rPr>
          <w:rFonts w:hint="eastAsia" w:ascii="仿宋" w:hAnsi="仿宋" w:eastAsia="仿宋" w:cs="仿宋"/>
          <w:b/>
          <w:color w:val="auto"/>
          <w:sz w:val="32"/>
          <w:highlight w:val="none"/>
          <w:u w:val="single"/>
          <w:lang w:val="en-US" w:eastAsia="zh-CN"/>
        </w:rPr>
        <w:t xml:space="preserve"> </w:t>
      </w:r>
      <w:r>
        <w:rPr>
          <w:rFonts w:hint="default" w:ascii="仿宋" w:hAnsi="仿宋" w:eastAsia="仿宋" w:cs="仿宋"/>
          <w:b/>
          <w:color w:val="auto"/>
          <w:sz w:val="32"/>
          <w:highlight w:val="none"/>
          <w:u w:val="single"/>
          <w:lang w:val="en-US" w:eastAsia="zh-CN"/>
        </w:rPr>
        <w:t>山东福亦盛建筑工程有限公司</w:t>
      </w:r>
      <w:r>
        <w:rPr>
          <w:rFonts w:hint="eastAsia" w:ascii="仿宋" w:hAnsi="仿宋" w:eastAsia="仿宋" w:cs="仿宋"/>
          <w:b/>
          <w:color w:val="auto"/>
          <w:sz w:val="32"/>
          <w:highlight w:val="none"/>
          <w:u w:val="single"/>
          <w:lang w:val="en-US" w:eastAsia="zh-CN"/>
        </w:rPr>
        <w:t xml:space="preserve"> </w:t>
      </w:r>
    </w:p>
    <w:p w14:paraId="3C617E43">
      <w:pPr>
        <w:keepNext w:val="0"/>
        <w:keepLines w:val="0"/>
        <w:pageBreakBefore w:val="0"/>
        <w:widowControl w:val="0"/>
        <w:tabs>
          <w:tab w:val="left" w:pos="2640"/>
          <w:tab w:val="left" w:pos="7922"/>
          <w:tab w:val="left" w:pos="7997"/>
        </w:tabs>
        <w:kinsoku/>
        <w:wordWrap/>
        <w:overflowPunct/>
        <w:topLinePunct w:val="0"/>
        <w:autoSpaceDE/>
        <w:autoSpaceDN/>
        <w:bidi w:val="0"/>
        <w:adjustRightInd/>
        <w:snapToGrid/>
        <w:spacing w:before="159" w:beforeLines="50" w:after="159" w:afterLines="50" w:line="500" w:lineRule="exact"/>
        <w:ind w:right="0" w:firstLine="1606" w:firstLineChars="500"/>
        <w:jc w:val="both"/>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rPr>
        <w:t xml:space="preserve">乙  </w:t>
      </w:r>
      <w:r>
        <w:rPr>
          <w:rFonts w:hint="eastAsia" w:ascii="仿宋" w:hAnsi="仿宋" w:eastAsia="仿宋" w:cs="仿宋"/>
          <w:b/>
          <w:color w:val="auto"/>
          <w:spacing w:val="159"/>
          <w:sz w:val="32"/>
          <w:highlight w:val="none"/>
        </w:rPr>
        <w:t xml:space="preserve"> </w:t>
      </w:r>
      <w:r>
        <w:rPr>
          <w:rFonts w:hint="eastAsia" w:ascii="仿宋" w:hAnsi="仿宋" w:eastAsia="仿宋" w:cs="仿宋"/>
          <w:b/>
          <w:color w:val="auto"/>
          <w:sz w:val="32"/>
          <w:highlight w:val="none"/>
        </w:rPr>
        <w:t>方:</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val="en-US" w:eastAsia="zh-CN"/>
        </w:rPr>
        <w:t xml:space="preserve"> </w:t>
      </w:r>
    </w:p>
    <w:p w14:paraId="2779F043">
      <w:pPr>
        <w:keepNext w:val="0"/>
        <w:keepLines w:val="0"/>
        <w:pageBreakBefore w:val="0"/>
        <w:widowControl w:val="0"/>
        <w:tabs>
          <w:tab w:val="left" w:pos="2640"/>
          <w:tab w:val="left" w:pos="7922"/>
          <w:tab w:val="left" w:pos="7997"/>
        </w:tabs>
        <w:kinsoku/>
        <w:wordWrap/>
        <w:overflowPunct/>
        <w:topLinePunct w:val="0"/>
        <w:autoSpaceDE/>
        <w:autoSpaceDN/>
        <w:bidi w:val="0"/>
        <w:adjustRightInd/>
        <w:snapToGrid/>
        <w:spacing w:before="159" w:beforeLines="50" w:after="159" w:afterLines="50" w:line="500" w:lineRule="exact"/>
        <w:ind w:right="0" w:firstLine="1606" w:firstLineChars="500"/>
        <w:jc w:val="both"/>
        <w:textAlignment w:val="auto"/>
        <w:rPr>
          <w:rFonts w:hint="eastAsia" w:ascii="仿宋" w:hAnsi="仿宋" w:eastAsia="仿宋" w:cs="仿宋"/>
          <w:b/>
          <w:color w:val="auto"/>
          <w:sz w:val="32"/>
          <w:highlight w:val="none"/>
          <w:lang w:eastAsia="zh-CN"/>
        </w:rPr>
      </w:pPr>
      <w:r>
        <w:rPr>
          <w:rFonts w:hint="eastAsia" w:ascii="仿宋" w:hAnsi="仿宋" w:eastAsia="仿宋" w:cs="仿宋"/>
          <w:b/>
          <w:color w:val="auto"/>
          <w:sz w:val="32"/>
          <w:highlight w:val="none"/>
        </w:rPr>
        <w:t>合同生成日期：</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年</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月</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日</w:t>
      </w:r>
    </w:p>
    <w:p w14:paraId="6E0BF2B1">
      <w:pPr>
        <w:spacing w:line="1000" w:lineRule="exact"/>
        <w:jc w:val="center"/>
        <w:rPr>
          <w:rFonts w:hint="default" w:ascii="华文楷体" w:hAnsi="华文楷体" w:eastAsia="华文楷体"/>
          <w:b/>
          <w:color w:val="auto"/>
          <w:sz w:val="52"/>
          <w:szCs w:val="52"/>
          <w:lang w:val="en-US" w:eastAsia="zh-CN"/>
        </w:rPr>
      </w:pPr>
      <w:r>
        <w:rPr>
          <w:rFonts w:hint="eastAsia" w:ascii="仿宋" w:hAnsi="仿宋" w:eastAsia="仿宋" w:cs="仿宋"/>
          <w:b/>
          <w:color w:val="auto"/>
          <w:sz w:val="52"/>
          <w:szCs w:val="52"/>
          <w:lang w:val="en-US" w:eastAsia="zh-CN"/>
        </w:rPr>
        <w:t xml:space="preserve">           </w:t>
      </w:r>
      <w:r>
        <w:rPr>
          <w:rFonts w:hint="eastAsia" w:ascii="华文楷体" w:hAnsi="华文楷体" w:eastAsia="华文楷体"/>
          <w:b/>
          <w:color w:val="auto"/>
          <w:sz w:val="52"/>
          <w:szCs w:val="52"/>
          <w:lang w:val="en-US" w:eastAsia="zh-CN"/>
        </w:rPr>
        <w:t xml:space="preserve">               </w:t>
      </w:r>
    </w:p>
    <w:p w14:paraId="4F274135">
      <w:pPr>
        <w:jc w:val="left"/>
        <w:rPr>
          <w:rFonts w:hint="eastAsia" w:ascii="宋体" w:hAnsi="宋体" w:eastAsia="宋体" w:cs="宋体"/>
          <w:bCs/>
          <w:color w:val="auto"/>
          <w:sz w:val="24"/>
          <w:szCs w:val="24"/>
        </w:rPr>
      </w:pPr>
    </w:p>
    <w:p w14:paraId="6640FE3A">
      <w:pPr>
        <w:pStyle w:val="33"/>
        <w:rPr>
          <w:rFonts w:hint="eastAsia"/>
          <w:color w:val="auto"/>
        </w:rPr>
      </w:pPr>
    </w:p>
    <w:p w14:paraId="63C233C5">
      <w:pPr>
        <w:pStyle w:val="20"/>
        <w:spacing w:line="360" w:lineRule="auto"/>
        <w:jc w:val="center"/>
        <w:outlineLvl w:val="9"/>
        <w:rPr>
          <w:rFonts w:hint="eastAsia" w:ascii="仿宋" w:hAnsi="仿宋" w:eastAsia="仿宋" w:cs="仿宋"/>
          <w:color w:val="auto"/>
          <w:sz w:val="24"/>
          <w:szCs w:val="24"/>
          <w:highlight w:val="none"/>
          <w:shd w:val="clear" w:color="auto" w:fill="auto"/>
        </w:rPr>
      </w:pPr>
      <w:r>
        <w:rPr>
          <w:rFonts w:hint="eastAsia" w:ascii="仿宋" w:hAnsi="仿宋" w:cs="仿宋"/>
          <w:color w:val="auto"/>
          <w:sz w:val="24"/>
          <w:szCs w:val="24"/>
          <w:highlight w:val="none"/>
          <w:shd w:val="clear" w:color="auto" w:fill="auto"/>
          <w:lang w:val="en-US" w:eastAsia="zh-CN"/>
        </w:rPr>
        <w:t>牡丹区</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cs="仿宋"/>
          <w:color w:val="auto"/>
          <w:sz w:val="24"/>
          <w:szCs w:val="24"/>
          <w:highlight w:val="none"/>
          <w:shd w:val="clear" w:color="auto" w:fill="auto"/>
          <w:lang w:val="en-US" w:eastAsia="zh-CN"/>
        </w:rPr>
        <w:t>安置区</w:t>
      </w:r>
      <w:r>
        <w:rPr>
          <w:rFonts w:hint="eastAsia" w:ascii="仿宋" w:hAnsi="仿宋" w:eastAsia="仿宋" w:cs="仿宋"/>
          <w:color w:val="auto"/>
          <w:sz w:val="24"/>
          <w:szCs w:val="24"/>
          <w:highlight w:val="none"/>
          <w:shd w:val="clear" w:color="auto" w:fill="auto"/>
          <w:lang w:val="zh-CN"/>
        </w:rPr>
        <w:t>项目</w:t>
      </w:r>
      <w:r>
        <w:rPr>
          <w:rFonts w:hint="eastAsia" w:ascii="仿宋" w:hAnsi="仿宋" w:cs="仿宋"/>
          <w:color w:val="auto"/>
          <w:sz w:val="24"/>
          <w:szCs w:val="24"/>
          <w:highlight w:val="none"/>
          <w:shd w:val="clear" w:color="auto" w:fill="auto"/>
          <w:lang w:val="en-US" w:eastAsia="zh-CN"/>
        </w:rPr>
        <w:t>一期</w:t>
      </w:r>
      <w:r>
        <w:rPr>
          <w:rFonts w:hint="eastAsia" w:ascii="仿宋" w:hAnsi="仿宋" w:eastAsia="仿宋" w:cs="仿宋"/>
          <w:color w:val="auto"/>
          <w:sz w:val="24"/>
          <w:szCs w:val="24"/>
          <w:highlight w:val="none"/>
          <w:shd w:val="clear" w:color="auto" w:fill="auto"/>
          <w:lang w:val="zh-CN"/>
        </w:rPr>
        <w:t>电梯工程</w:t>
      </w:r>
    </w:p>
    <w:p w14:paraId="0BEF9D56">
      <w:pPr>
        <w:pStyle w:val="20"/>
        <w:spacing w:line="360" w:lineRule="auto"/>
        <w:jc w:val="center"/>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施工协议书</w:t>
      </w:r>
    </w:p>
    <w:p w14:paraId="0BE2D588">
      <w:pPr>
        <w:pStyle w:val="20"/>
        <w:spacing w:line="360" w:lineRule="auto"/>
        <w:ind w:firstLine="6240" w:firstLineChars="2600"/>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编号：</w:t>
      </w:r>
    </w:p>
    <w:p w14:paraId="4C6EA222">
      <w:pPr>
        <w:pStyle w:val="20"/>
        <w:spacing w:line="360" w:lineRule="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w:t>
      </w:r>
      <w:r>
        <w:rPr>
          <w:rFonts w:hint="default" w:ascii="仿宋" w:hAnsi="仿宋" w:eastAsia="仿宋" w:cs="仿宋"/>
          <w:color w:val="auto"/>
          <w:sz w:val="24"/>
          <w:szCs w:val="24"/>
          <w:highlight w:val="none"/>
          <w:u w:val="single"/>
          <w:shd w:val="clear" w:color="auto" w:fill="auto"/>
          <w:lang w:val="en-US" w:eastAsia="zh-CN"/>
        </w:rPr>
        <w:t>山东福亦盛建筑工程有限公司</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（以下简称甲方）</w:t>
      </w:r>
    </w:p>
    <w:p w14:paraId="22790473">
      <w:pPr>
        <w:pStyle w:val="20"/>
        <w:spacing w:line="360" w:lineRule="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乙方：</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 xml:space="preserve">       （以下简称乙方）</w:t>
      </w:r>
    </w:p>
    <w:p w14:paraId="0D79D21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按照《中华人民共和国民法典》、《中华人民共和国合同法》及《中华人民共和国建筑法》等有关规定，并结合本工程的具体情况，本着平等、自愿、公平和诚信的原则，在甲乙双方完全自愿和理解本协议条款的情况下，就</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cs="仿宋"/>
          <w:color w:val="auto"/>
          <w:sz w:val="24"/>
          <w:szCs w:val="24"/>
          <w:highlight w:val="none"/>
          <w:shd w:val="clear" w:color="auto" w:fill="auto"/>
          <w:lang w:val="en-US" w:eastAsia="zh-CN"/>
        </w:rPr>
        <w:t>项目</w:t>
      </w:r>
      <w:r>
        <w:rPr>
          <w:rFonts w:hint="eastAsia" w:ascii="仿宋" w:hAnsi="仿宋" w:eastAsia="仿宋" w:cs="仿宋"/>
          <w:color w:val="auto"/>
          <w:sz w:val="24"/>
          <w:szCs w:val="24"/>
          <w:highlight w:val="none"/>
          <w:shd w:val="clear" w:color="auto" w:fill="auto"/>
        </w:rPr>
        <w:t>电梯工程施工协商一致，签订本工程施工协议，以便于双方共同遵守。</w:t>
      </w:r>
    </w:p>
    <w:p w14:paraId="5C8AEDC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仿宋" w:hAnsi="仿宋" w:eastAsia="仿宋" w:cs="仿宋"/>
          <w:color w:val="auto"/>
          <w:sz w:val="24"/>
          <w:szCs w:val="24"/>
          <w:highlight w:val="yellow"/>
          <w:shd w:val="clear" w:color="auto" w:fill="auto"/>
          <w:lang w:val="en-US" w:eastAsia="zh-CN"/>
        </w:rPr>
      </w:pPr>
      <w:r>
        <w:rPr>
          <w:rFonts w:hint="eastAsia" w:ascii="仿宋" w:hAnsi="仿宋" w:eastAsia="仿宋" w:cs="仿宋"/>
          <w:color w:val="auto"/>
          <w:sz w:val="24"/>
          <w:szCs w:val="24"/>
          <w:highlight w:val="none"/>
          <w:shd w:val="clear" w:color="auto" w:fill="auto"/>
        </w:rPr>
        <w:t>一、工程名称：</w:t>
      </w:r>
      <w:r>
        <w:rPr>
          <w:rFonts w:hint="eastAsia" w:ascii="仿宋" w:hAnsi="仿宋" w:cs="仿宋"/>
          <w:color w:val="auto"/>
          <w:sz w:val="24"/>
          <w:szCs w:val="24"/>
          <w:highlight w:val="none"/>
          <w:shd w:val="clear" w:color="auto" w:fill="auto"/>
          <w:lang w:val="en-US" w:eastAsia="zh-CN"/>
        </w:rPr>
        <w:t>牡丹区</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cs="仿宋"/>
          <w:color w:val="auto"/>
          <w:sz w:val="24"/>
          <w:szCs w:val="24"/>
          <w:highlight w:val="none"/>
          <w:shd w:val="clear" w:color="auto" w:fill="auto"/>
          <w:lang w:val="en-US" w:eastAsia="zh-CN"/>
        </w:rPr>
        <w:t>安置区</w:t>
      </w:r>
      <w:r>
        <w:rPr>
          <w:rFonts w:hint="eastAsia" w:ascii="仿宋" w:hAnsi="仿宋" w:eastAsia="仿宋" w:cs="仿宋"/>
          <w:color w:val="auto"/>
          <w:sz w:val="24"/>
          <w:szCs w:val="24"/>
          <w:highlight w:val="none"/>
          <w:shd w:val="clear" w:color="auto" w:fill="auto"/>
          <w:lang w:val="zh-CN"/>
        </w:rPr>
        <w:t>项目电梯工程</w:t>
      </w:r>
      <w:r>
        <w:rPr>
          <w:rFonts w:hint="eastAsia" w:ascii="仿宋" w:hAnsi="仿宋" w:cs="仿宋"/>
          <w:color w:val="auto"/>
          <w:sz w:val="24"/>
          <w:szCs w:val="24"/>
          <w:highlight w:val="none"/>
          <w:shd w:val="clear" w:color="auto" w:fill="auto"/>
          <w:lang w:val="zh-CN"/>
        </w:rPr>
        <w:t>（</w:t>
      </w:r>
      <w:r>
        <w:rPr>
          <w:rFonts w:hint="eastAsia" w:ascii="仿宋" w:hAnsi="仿宋" w:cs="仿宋"/>
          <w:color w:val="auto"/>
          <w:sz w:val="24"/>
          <w:szCs w:val="24"/>
          <w:highlight w:val="none"/>
          <w:shd w:val="clear" w:color="auto" w:fill="auto"/>
          <w:lang w:val="en-US" w:eastAsia="zh-CN"/>
        </w:rPr>
        <w:t>一期）</w:t>
      </w:r>
    </w:p>
    <w:p w14:paraId="1BCF03A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二、承包方式：包工、包料、包机械、包风险、包安全、包质量、包工期、包竣工验收、包现场施工及运输通道的环境卫生、包各种验收等一切内容，即施工总承包，交钥匙工程。</w:t>
      </w:r>
    </w:p>
    <w:p w14:paraId="6B1869E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三、承包范围：</w:t>
      </w:r>
    </w:p>
    <w:p w14:paraId="339868D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cs="仿宋"/>
          <w:color w:val="auto"/>
          <w:sz w:val="24"/>
          <w:szCs w:val="24"/>
          <w:highlight w:val="none"/>
          <w:shd w:val="clear" w:color="auto" w:fill="auto"/>
          <w:lang w:val="en-US" w:eastAsia="zh-CN"/>
        </w:rPr>
        <w:t>大千嘉园项目一期工程（</w:t>
      </w:r>
      <w:r>
        <w:rPr>
          <w:rFonts w:hint="eastAsia" w:ascii="仿宋" w:hAnsi="仿宋" w:eastAsia="仿宋" w:cs="仿宋"/>
          <w:color w:val="auto"/>
          <w:sz w:val="24"/>
          <w:szCs w:val="24"/>
          <w:highlight w:val="none"/>
          <w:shd w:val="clear" w:color="auto" w:fill="auto"/>
          <w:lang w:val="en-US" w:eastAsia="zh-CN"/>
        </w:rPr>
        <w:t>1#2#3#4#5#6#7#8#9#19#楼</w:t>
      </w:r>
      <w:r>
        <w:rPr>
          <w:rFonts w:hint="eastAsia" w:ascii="仿宋" w:hAnsi="仿宋" w:cs="仿宋"/>
          <w:color w:val="auto"/>
          <w:sz w:val="24"/>
          <w:szCs w:val="24"/>
          <w:highlight w:val="none"/>
          <w:shd w:val="clear" w:color="auto" w:fill="auto"/>
          <w:lang w:val="en-US" w:eastAsia="zh-CN"/>
        </w:rPr>
        <w:t>）</w:t>
      </w:r>
      <w:r>
        <w:rPr>
          <w:rFonts w:hint="eastAsia" w:ascii="仿宋" w:hAnsi="仿宋" w:eastAsia="仿宋" w:cs="仿宋"/>
          <w:color w:val="auto"/>
          <w:sz w:val="24"/>
          <w:szCs w:val="24"/>
          <w:highlight w:val="none"/>
          <w:shd w:val="clear" w:color="auto" w:fill="auto"/>
          <w:lang w:val="zh-CN" w:eastAsia="zh-CN"/>
        </w:rPr>
        <w:t>共</w:t>
      </w:r>
      <w:r>
        <w:rPr>
          <w:rFonts w:hint="eastAsia" w:ascii="仿宋" w:hAnsi="仿宋" w:cs="仿宋"/>
          <w:color w:val="auto"/>
          <w:sz w:val="24"/>
          <w:szCs w:val="24"/>
          <w:highlight w:val="none"/>
          <w:shd w:val="clear" w:color="auto" w:fill="auto"/>
          <w:lang w:val="en-US" w:eastAsia="zh-CN"/>
        </w:rPr>
        <w:t>26</w:t>
      </w:r>
      <w:r>
        <w:rPr>
          <w:rFonts w:hint="eastAsia" w:ascii="仿宋" w:hAnsi="仿宋" w:eastAsia="仿宋" w:cs="仿宋"/>
          <w:color w:val="auto"/>
          <w:sz w:val="24"/>
          <w:szCs w:val="24"/>
          <w:highlight w:val="none"/>
          <w:shd w:val="clear" w:color="auto" w:fill="auto"/>
          <w:lang w:val="zh-CN" w:eastAsia="zh-CN"/>
        </w:rPr>
        <w:t>部电梯</w:t>
      </w:r>
      <w:r>
        <w:rPr>
          <w:rFonts w:hint="eastAsia" w:ascii="仿宋" w:hAnsi="仿宋" w:eastAsia="仿宋" w:cs="仿宋"/>
          <w:color w:val="auto"/>
          <w:sz w:val="24"/>
          <w:szCs w:val="24"/>
          <w:highlight w:val="none"/>
          <w:shd w:val="clear" w:color="auto" w:fill="auto"/>
        </w:rPr>
        <w:t>的施工及验收（含电梯的专项验收、竣工验收等）工作。</w:t>
      </w:r>
    </w:p>
    <w:p w14:paraId="53D1457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2、技术要求：见附件</w:t>
      </w:r>
    </w:p>
    <w:p w14:paraId="6C9EEE2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四、协议工期：</w:t>
      </w:r>
    </w:p>
    <w:p w14:paraId="03077E7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yellow"/>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总工期为</w:t>
      </w:r>
      <w:r>
        <w:rPr>
          <w:rFonts w:hint="eastAsia" w:ascii="仿宋" w:hAnsi="仿宋" w:cs="仿宋"/>
          <w:color w:val="auto"/>
          <w:sz w:val="24"/>
          <w:szCs w:val="24"/>
          <w:highlight w:val="none"/>
          <w:shd w:val="clear" w:color="auto" w:fill="auto"/>
          <w:lang w:val="en-US" w:eastAsia="zh-CN"/>
        </w:rPr>
        <w:t>100</w:t>
      </w:r>
      <w:r>
        <w:rPr>
          <w:rFonts w:hint="eastAsia" w:ascii="仿宋" w:hAnsi="仿宋" w:eastAsia="仿宋" w:cs="仿宋"/>
          <w:color w:val="auto"/>
          <w:sz w:val="24"/>
          <w:szCs w:val="24"/>
          <w:highlight w:val="none"/>
          <w:shd w:val="clear" w:color="auto" w:fill="auto"/>
          <w:lang w:val="en-US" w:eastAsia="zh-CN"/>
        </w:rPr>
        <w:t>日历天，其中</w:t>
      </w:r>
      <w:r>
        <w:rPr>
          <w:rFonts w:hint="eastAsia" w:ascii="仿宋" w:hAnsi="仿宋" w:cs="仿宋"/>
          <w:color w:val="auto"/>
          <w:sz w:val="24"/>
          <w:szCs w:val="24"/>
          <w:highlight w:val="none"/>
          <w:shd w:val="clear" w:color="auto" w:fill="auto"/>
          <w:lang w:val="en-US" w:eastAsia="zh-CN"/>
        </w:rPr>
        <w:t>45</w:t>
      </w:r>
      <w:r>
        <w:rPr>
          <w:rFonts w:hint="eastAsia" w:ascii="仿宋" w:hAnsi="仿宋" w:eastAsia="仿宋" w:cs="仿宋"/>
          <w:color w:val="auto"/>
          <w:sz w:val="24"/>
          <w:szCs w:val="24"/>
          <w:highlight w:val="none"/>
          <w:shd w:val="clear" w:color="auto" w:fill="auto"/>
          <w:lang w:val="en-US" w:eastAsia="zh-CN"/>
        </w:rPr>
        <w:t>日内制造完毕，自接到招标人通知后</w:t>
      </w:r>
      <w:r>
        <w:rPr>
          <w:rFonts w:hint="eastAsia" w:ascii="仿宋" w:hAnsi="仿宋" w:cs="仿宋"/>
          <w:color w:val="auto"/>
          <w:sz w:val="24"/>
          <w:szCs w:val="24"/>
          <w:highlight w:val="none"/>
          <w:shd w:val="clear" w:color="auto" w:fill="auto"/>
          <w:lang w:val="en-US" w:eastAsia="zh-CN"/>
        </w:rPr>
        <w:t>45</w:t>
      </w:r>
      <w:r>
        <w:rPr>
          <w:rFonts w:hint="eastAsia" w:ascii="仿宋" w:hAnsi="仿宋" w:eastAsia="仿宋" w:cs="仿宋"/>
          <w:color w:val="auto"/>
          <w:sz w:val="24"/>
          <w:szCs w:val="24"/>
          <w:highlight w:val="none"/>
          <w:shd w:val="clear" w:color="auto" w:fill="auto"/>
          <w:lang w:val="en-US" w:eastAsia="zh-CN"/>
        </w:rPr>
        <w:t>天内安装、调试、验收完毕（根据整体施工进度适时安装）</w:t>
      </w:r>
      <w:r>
        <w:rPr>
          <w:rFonts w:hint="eastAsia" w:ascii="仿宋" w:hAnsi="仿宋" w:eastAsia="仿宋" w:cs="仿宋"/>
          <w:color w:val="auto"/>
          <w:sz w:val="24"/>
          <w:szCs w:val="24"/>
          <w:highlight w:val="none"/>
          <w:shd w:val="clear" w:color="auto" w:fill="auto"/>
        </w:rPr>
        <w:t>，具体开工日期以发包人签发的书面开工通知为准。</w:t>
      </w:r>
    </w:p>
    <w:p w14:paraId="4D52543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2、工程进度要求：</w:t>
      </w:r>
    </w:p>
    <w:p w14:paraId="4CA239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2.1甲方要求乙方的施工人员及施工机械在指定之日进场，乙方的人员及机械必须进场，不得以任何理由推脱拒绝，否则，甲方将没收乙方的履约保证金。</w:t>
      </w:r>
    </w:p>
    <w:p w14:paraId="425A65E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2.2乙方在工程实施过程中应随土建进度随时无条件配合，对其没有及时掌握土建进度而导致电梯工程进度的影响由乙方承担责任，甲方不承担乙方的误工损失，乙方必须在甲方规定的时间内完成施工任务，保证工程顺利通过各种验收、交付使用。否则，视为乙方违约，甲方将扣乙方的履约保证金，同时，每拖延一天，扣5000元。施工中遇到停水、停电等情况（不可抗力除外），以甲方签证为准，工期顺延（不含费用）。</w:t>
      </w:r>
    </w:p>
    <w:p w14:paraId="6ECB84A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2.3如本工程未能达到合格标准，乙方必须返工使工程达到合格的标准，并自行承担返工费用；若因返工使工期延误，乙方必须承担本协议工程质量、工期延误、总项目工期延误的违约责任。</w:t>
      </w:r>
    </w:p>
    <w:p w14:paraId="66C5496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2.4凡因甲方的原因引起的工期拖延，仅作相应的工期顺延，甲方对乙方在顺延的工期内增加的费用不予补偿。无论何种原因造成的机械台班停滞费用、机械增加进退场费用视为含在协议造价中，均由乙方承担。</w:t>
      </w:r>
    </w:p>
    <w:p w14:paraId="17D9022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2.5乙方需向甲方提供书面进度计划，包括周进度计划，月进度计划，该计划必须切实可行，满足工程要求，该计划经甲方和监理工程师审批后，方可进场组织施工；对于不提供书面进度计划或没有按进度计划完成，甲方有权给予500～5000元/次经济处罚，对于总工期每拖延1天罚款5000元。</w:t>
      </w:r>
    </w:p>
    <w:p w14:paraId="6DA850C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2.6在工程施工中，甲方有权根据工程的需要做出停止施工或加快施工或复工的指令，无论何种指令造成的机械台班停滞费用、机械增加进退场费用、工程造价的风险均视为含在合同总价中，均由乙方承担。</w:t>
      </w:r>
    </w:p>
    <w:p w14:paraId="227B787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2.7在合同履行过程中，因甲方的任何原因或环境治理或现行政策性等各种原因，导致工程延期，甲方只相应顺延工程工期，不予乙方任何费用的补偿。</w:t>
      </w:r>
    </w:p>
    <w:p w14:paraId="18EDC91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五、工程质量要求：</w:t>
      </w:r>
    </w:p>
    <w:p w14:paraId="589F2A0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1、达到现行标准的合格工程。</w:t>
      </w:r>
    </w:p>
    <w:p w14:paraId="6A7570F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2、施工过程中应接受政府消防及主管部门、甲方、监理单位和质监部门的检查、监督，并按照国家有关施工验收规范和建筑安装工程质量检验评定标准进行检查、验收。</w:t>
      </w:r>
    </w:p>
    <w:p w14:paraId="4FF4F9B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在工程施工中，因乙方原因，没有配合好其他专业工程施工，而导致出现电梯出现故障，如电梯卡顿、自动升降、自动锁死、轿厢自由落体，轿厢关人等问题，即视为整个工程质量达不到合格质量等级的，每一次罚一仟元，但乙方必须采取措施保证工程质量达到合格标准，能进行下一道工序的施工，确保工程顺利竣工验收，顺利交付，交付后业主无投诉，不然，处理的费用由乙方承担。</w:t>
      </w:r>
    </w:p>
    <w:p w14:paraId="56D3937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4、在施工中若出现质量问题超过规范，需要在下一道工序中进行处理的，所有的费用全部由乙方承担。</w:t>
      </w:r>
    </w:p>
    <w:p w14:paraId="7802C14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六、协议造价：</w:t>
      </w:r>
    </w:p>
    <w:p w14:paraId="4435658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、本协议为固定总价协议。</w:t>
      </w:r>
    </w:p>
    <w:p w14:paraId="47340C0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zh-CN"/>
        </w:rPr>
        <w:t>大千嘉园项目电梯工程</w:t>
      </w:r>
      <w:r>
        <w:rPr>
          <w:rFonts w:hint="eastAsia" w:ascii="仿宋" w:hAnsi="仿宋" w:eastAsia="仿宋" w:cs="仿宋"/>
          <w:color w:val="auto"/>
          <w:sz w:val="24"/>
          <w:szCs w:val="24"/>
          <w:highlight w:val="none"/>
          <w:shd w:val="clear" w:color="auto" w:fill="auto"/>
        </w:rPr>
        <w:t>的承包的施工协议造价为：人民币</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元整（￥：</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元）。</w:t>
      </w:r>
    </w:p>
    <w:p w14:paraId="01892EA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本工程协议总价是完成电梯工程设计图纸内的及招标文件要求的及现行规范要求的全部内容，含材料费、人工费、机械费、设备费、措施项目费、其他项目费、规费、税金、所有配套费、垃圾外运费、甲方分包的工程施工配合费、机械迁移费、甲方采购材料的采购及保管费、疫情防护费、各种设备的调试费等现行工程造价构成的所有内容、政策性文件规定的各种费用、劳动力及机械等价格上涨、国家政策性调整、因甲方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协议总价一次包死，除图纸变更及现场签证按协议的相关规定可调整外，其他一律不再调整。</w:t>
      </w:r>
    </w:p>
    <w:p w14:paraId="0F60B48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4、本招标图纸与施工图之间的差异，已含在协议总价内，即视为乙方完成本工程招标范围施工图设计深度全部工作内容的费用。</w:t>
      </w:r>
    </w:p>
    <w:p w14:paraId="4D4B690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rPr>
        <w:t>5、与总包施工单位的施工配合费为协议价</w:t>
      </w:r>
      <w:r>
        <w:rPr>
          <w:rFonts w:hint="eastAsia" w:ascii="仿宋" w:hAnsi="仿宋" w:eastAsia="仿宋" w:cs="仿宋"/>
          <w:color w:val="auto"/>
          <w:sz w:val="24"/>
          <w:szCs w:val="24"/>
          <w:highlight w:val="none"/>
          <w:shd w:val="clear" w:color="auto" w:fill="auto"/>
          <w:lang w:val="en-US" w:eastAsia="zh-CN"/>
        </w:rPr>
        <w:t>0</w:t>
      </w:r>
      <w:r>
        <w:rPr>
          <w:rFonts w:hint="eastAsia" w:ascii="仿宋" w:hAnsi="仿宋" w:eastAsia="仿宋" w:cs="仿宋"/>
          <w:color w:val="auto"/>
          <w:sz w:val="24"/>
          <w:szCs w:val="24"/>
          <w:highlight w:val="none"/>
          <w:shd w:val="clear" w:color="auto" w:fill="auto"/>
        </w:rPr>
        <w:t>.0%</w:t>
      </w:r>
      <w:r>
        <w:rPr>
          <w:rFonts w:hint="eastAsia" w:ascii="仿宋" w:hAnsi="仿宋" w:eastAsia="仿宋" w:cs="仿宋"/>
          <w:color w:val="auto"/>
          <w:sz w:val="24"/>
          <w:szCs w:val="24"/>
          <w:highlight w:val="none"/>
          <w:shd w:val="clear" w:color="auto" w:fill="auto"/>
          <w:lang w:val="en-US" w:eastAsia="zh-CN"/>
        </w:rPr>
        <w:t>.</w:t>
      </w:r>
    </w:p>
    <w:p w14:paraId="03D45A2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6、及其他专业承包施工单位的施工配合费、水电费、清理费、垂直运输费、成品保护费、资料整理费等一切配合费用已含在协议价内；与甲方配合的一切费用已含在协议价内。</w:t>
      </w:r>
    </w:p>
    <w:p w14:paraId="68A9B55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7、乙方施工的电梯工程，应达到总包施工单位及其他专业施工单位工程的施工要求，不得影响其他单位的正常施工，所需的费用已含在协议价内； </w:t>
      </w:r>
    </w:p>
    <w:p w14:paraId="53E007D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协议价包含图纸标注全部内容（住宅楼、商业及裙房等），如在投标时乙方未对招标文件或图纸不清楚提出疑义，则视为乙方的协议价中已包含了招标范围所涵盖的全部内容及招标图纸所描绘的工作项目。乙方在签订后因此而提出的增加费用，甲方一律不承担，但乙方必须按照合理的图纸进行施工，否则甲方拒付工程款。</w:t>
      </w:r>
    </w:p>
    <w:p w14:paraId="0E3810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9、协议价是乙方按招标文件要求根据企业经验和市场情况涵盖了工程全范围内容，同时并考虑各种风险、政策和市场变化因素。</w:t>
      </w:r>
    </w:p>
    <w:p w14:paraId="677257C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10、在投标书中的任何“遗留问题”、“声明”或其他方式提出各种理由，以引起报价变化的内容，均视为含在协议总价内，甲方不再补偿任何费用。</w:t>
      </w:r>
    </w:p>
    <w:p w14:paraId="0833D37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协议价应包括措施项目费和其它项目费用，除重大设计变更或地质条件变化导致技术措施发生重大变化的项目外，措施项目费用和其它措施项目费用不予调整。施工时必定会发生的措施项目费用，乙方漏报或少报的，甲方将视为此项费用已包括在其它费用之内而不予支付。甲方、监理单位或质量监督部门认为乙方的施工方案、措施等不能保证施工安全、工程质量及施工工期时，乙方应按照甲方、监理单位或质量监督部门意见对方案和措施进行完善和修改，但费用不予调整，已含在协议价内。</w:t>
      </w:r>
    </w:p>
    <w:p w14:paraId="71A1735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12、协议价包括电梯验收检测费用、其他各种检测费用、配合建设及消防验收的一切费用。</w:t>
      </w:r>
    </w:p>
    <w:p w14:paraId="123EE76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13、土建承包单位及其他专业承包施工单位施工的工程达不到电梯工程的施工要求时，需要乙方处理的费用已含在协议价内； </w:t>
      </w:r>
    </w:p>
    <w:p w14:paraId="5C5D6FC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14、乙方在协议价中，若漏项或分项计算错误，一律视为此费用已含在其他工程费用中，但乙方必须按图纸施工，达到合格要求。若有变更调减此项时，按正常规定（现行工料总价法）程序调减，乙方无权拒绝。</w:t>
      </w:r>
    </w:p>
    <w:p w14:paraId="69C8C8B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15、乙方在工程施工中，必须按照现行的规范、政策施工，若与图纸有冲突时，需要变更时，则此费用已含在协议价内，甲方不再补偿。</w:t>
      </w:r>
    </w:p>
    <w:p w14:paraId="69A76B9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现在工程的形象进度为二次结构的砌筑已施工完毕，已达到电梯的施工要求，乙方自签订合同之日起组织人员进场，进行井道的整理，设备的生产，且不得以任何理由拒绝进场施工，否则，甲方有权单方解除合同，扣除其全部履约保证金，且乙方应赔偿由此给甲方造成的一切损失，但甲方要求乙方进场施工的费用已进入协议价内。</w:t>
      </w:r>
    </w:p>
    <w:p w14:paraId="2C6AAB6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7</w:t>
      </w:r>
      <w:r>
        <w:rPr>
          <w:rFonts w:hint="eastAsia" w:ascii="仿宋" w:hAnsi="仿宋" w:eastAsia="仿宋" w:cs="仿宋"/>
          <w:color w:val="auto"/>
          <w:sz w:val="24"/>
          <w:szCs w:val="24"/>
          <w:highlight w:val="none"/>
          <w:shd w:val="clear" w:color="auto" w:fill="auto"/>
        </w:rPr>
        <w:t>、实际执行的《施工组织设计》包含的一切费用全部含在协议价内。</w:t>
      </w:r>
    </w:p>
    <w:p w14:paraId="5A97A1E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8</w:t>
      </w:r>
      <w:r>
        <w:rPr>
          <w:rFonts w:hint="eastAsia" w:ascii="仿宋" w:hAnsi="仿宋" w:eastAsia="仿宋" w:cs="仿宋"/>
          <w:color w:val="auto"/>
          <w:sz w:val="24"/>
          <w:szCs w:val="24"/>
          <w:highlight w:val="none"/>
          <w:shd w:val="clear" w:color="auto" w:fill="auto"/>
        </w:rPr>
        <w:t>、本项目的安全施工费、各种规费等现行国家规定费用，已全部含在协议价内，甲方不再补偿任何费用。</w:t>
      </w:r>
    </w:p>
    <w:p w14:paraId="0D34032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9</w:t>
      </w:r>
      <w:r>
        <w:rPr>
          <w:rFonts w:hint="eastAsia" w:ascii="仿宋" w:hAnsi="仿宋" w:eastAsia="仿宋" w:cs="仿宋"/>
          <w:color w:val="auto"/>
          <w:sz w:val="24"/>
          <w:szCs w:val="24"/>
          <w:highlight w:val="none"/>
          <w:shd w:val="clear" w:color="auto" w:fill="auto"/>
        </w:rPr>
        <w:t>、现工程主体结构已施工完成，</w:t>
      </w:r>
      <w:r>
        <w:rPr>
          <w:rFonts w:hint="eastAsia" w:ascii="仿宋" w:hAnsi="仿宋" w:eastAsia="仿宋" w:cs="仿宋"/>
          <w:color w:val="auto"/>
          <w:sz w:val="24"/>
          <w:szCs w:val="24"/>
          <w:highlight w:val="none"/>
          <w:shd w:val="clear" w:color="auto" w:fill="auto"/>
          <w:lang w:val="en-US" w:eastAsia="zh-CN"/>
        </w:rPr>
        <w:t>准备施工二次结构，施工</w:t>
      </w:r>
      <w:r>
        <w:rPr>
          <w:rFonts w:hint="eastAsia" w:ascii="仿宋" w:hAnsi="仿宋" w:eastAsia="仿宋" w:cs="仿宋"/>
          <w:color w:val="auto"/>
          <w:sz w:val="24"/>
          <w:szCs w:val="24"/>
          <w:highlight w:val="none"/>
          <w:shd w:val="clear" w:color="auto" w:fill="auto"/>
        </w:rPr>
        <w:t>单位应现场测量井道及机房、基坑尺寸，根据现场测量的尺寸，进行设计生产电梯，安装安装电梯，应井道或机房或基坑的施工的技术参数，无法达到电梯的安装要求需要处理的所有费用，全部已含在协议价内</w:t>
      </w:r>
    </w:p>
    <w:p w14:paraId="50C798D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rPr>
        <w:t>、预留、预埋达不到电梯安装要求的，需要处理的费用，全部已含在协议价内，如呼梯盒、对讲系统、门洞口等等与电梯按装相关的一切内容</w:t>
      </w:r>
    </w:p>
    <w:p w14:paraId="4DDCA0D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、在电梯按装过程中，招标人仅提供变压器的位置，临时电缆有中标人负责，此费用已含在协议价内。</w:t>
      </w:r>
    </w:p>
    <w:p w14:paraId="1F8F334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、电梯设备自带的电缆无法连接到电梯设备控制柜电源或其他控制柜电源，则其之间需要连接的电缆全部已含在协议价内；</w:t>
      </w:r>
    </w:p>
    <w:p w14:paraId="1AE0C2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本工程的安装时间待定，中标后不论什么时间进场安装，但必须听从招标人的安排，招标人指定什么时间进场安装，招标人必须什么时间进场安装，招标人不再支付任何费用，由此产生的一切费用全部已含在协议价内。</w:t>
      </w:r>
    </w:p>
    <w:p w14:paraId="6D4EB0D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、电梯的配件及设备，应具有防水功能，因漏水损坏的配件，有投标人负责更换，此费用已含在协议价内</w:t>
      </w:r>
    </w:p>
    <w:p w14:paraId="3484551B">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25、</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的编制及费用由承包人负责，全部含在合同价内，但竣工图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由此引起的费用全部含在合同价内；</w:t>
      </w:r>
    </w:p>
    <w:p w14:paraId="582AEB0E">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26、</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，由承包人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，由此引起的所有费用，全部含在合同价内。</w:t>
      </w:r>
    </w:p>
    <w:p w14:paraId="07AFEE1E">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27、工程资料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，确保工程档案完整、准确、系统、规范和安全，此费用全部含在合同价内。</w:t>
      </w:r>
    </w:p>
    <w:p w14:paraId="4508D1F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p>
    <w:p w14:paraId="2ABD300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七、工程价款支付：</w:t>
      </w:r>
    </w:p>
    <w:p w14:paraId="394FFA9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1、工程价款支付：</w:t>
      </w:r>
    </w:p>
    <w:p w14:paraId="57A430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1.1、本工程按下列时间点并经甲方和监理公司共同验收合格，且各种资料齐全且主管部门备案等签字手续齐全，并开具有效的增值税专用发票（税率不小于9%）后，支付工程款（以每栋楼为单位）。</w:t>
      </w:r>
    </w:p>
    <w:p w14:paraId="031BE9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1.2、工程款支付方式： </w:t>
      </w:r>
    </w:p>
    <w:p w14:paraId="6401F39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rPr>
        <w:t>电梯全部安装完毕时，电梯专项验收合格，付该栋楼合同造价的70%；施工完成验收合格各种资料齐全，并竣工备案或交房后累计支付至该栋楼总造价的85%；竣工结算完毕累计支付到结算总造价97%，余款3%为保修金，保修期满无任何质量问题，一个月内无息退还</w:t>
      </w:r>
      <w:r>
        <w:rPr>
          <w:rFonts w:hint="eastAsia" w:ascii="仿宋" w:hAnsi="仿宋" w:eastAsia="仿宋" w:cs="仿宋"/>
          <w:color w:val="auto"/>
          <w:sz w:val="24"/>
          <w:szCs w:val="24"/>
          <w:highlight w:val="none"/>
          <w:shd w:val="clear" w:color="auto" w:fill="auto"/>
          <w:lang w:eastAsia="zh-CN"/>
        </w:rPr>
        <w:t>。</w:t>
      </w:r>
    </w:p>
    <w:p w14:paraId="0A56F09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2、 甲方将预留质量保修金作为乙方在建设工程质保期内对工程出现的任何问题进行维修。在工程质保期满2年后无息返还剩余全部质量保修金。   </w:t>
      </w:r>
    </w:p>
    <w:p w14:paraId="3EE5DD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3．保修期的期限及计算方式：保修期从工程通过质量监督站验收资料备案发放合格证书（或工程备案证书）之日起计。</w:t>
      </w:r>
    </w:p>
    <w:p w14:paraId="1AFEA2C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保修期内出现的缺陷的索赔方式：如乙方在保修期内对出现的工程缺陷不能按甲方约定的时间内维修或不能维修至甲方满意，甲方有权责成另外的施工单位予以维修，但该费用则从乙方的质量保证金中予以扣除，而无需由乙方签字认可，并由乙方承担违约责任及连带损失。</w:t>
      </w:r>
    </w:p>
    <w:p w14:paraId="790DFEA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5、若乙方发生严重质量事故或严重安全事故（按国家有关安全质量事故规定进行界定），甲方有权暂停支付工程进度款。直至事故处理完毕，甲方无任何风险的情况下，再恢复支付到期的工程进度款。</w:t>
      </w:r>
    </w:p>
    <w:p w14:paraId="447B77E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按双方确定的施工组织设计，因乙方原因造成工期延误，甲方将暂停支付当期工程进度款。下一期工程进度款的支付、应在乙方将工程进度调整到甲乙双方约定的工程进度计划范围内后，甲方才恢复支付工程进度款。</w:t>
      </w:r>
    </w:p>
    <w:p w14:paraId="1597FB0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rPr>
        <w:t>八、履约保证金</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无</w:t>
      </w:r>
    </w:p>
    <w:p w14:paraId="691AEAF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九、工程材料价格的调整</w:t>
      </w:r>
    </w:p>
    <w:p w14:paraId="497210A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本工程所有的材料价格按照菏泽市建设局发布的202</w:t>
      </w:r>
      <w:r>
        <w:rPr>
          <w:rFonts w:hint="eastAsia" w:ascii="仿宋" w:hAnsi="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第一季度材料价格信息表时的材料价格及指定的材料价格一次包死，不论何种原因，材料不做调整。乙方不得以任何理由要求甲方调整材料价格及价款，否则，视为乙方违约，乙方应承担合同总价款10%比例的违约金，或赔偿甲方由此造成的一切损失，二者以高者为准。</w:t>
      </w:r>
    </w:p>
    <w:p w14:paraId="7022D7E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十、工程变更：</w:t>
      </w:r>
    </w:p>
    <w:p w14:paraId="09D0D9B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工程变更：原则上没有变更，如果甲方提供的设计图纸发生变化，即有设计变更，则仅增加或减少计算其变更部分的数量。</w:t>
      </w:r>
    </w:p>
    <w:p w14:paraId="78AE24B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十一、工程变更的结算</w:t>
      </w:r>
    </w:p>
    <w:p w14:paraId="06F7FE4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1、变更工程量的确认</w:t>
      </w:r>
    </w:p>
    <w:p w14:paraId="1ED1B0F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乙方根据实际变更情况依据现行的《工程量计算规则》计算工程量，经甲方审核确认后，作为变更工程结算的工程量。</w:t>
      </w:r>
    </w:p>
    <w:p w14:paraId="06529E0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2、工程变更价格的确认</w:t>
      </w:r>
    </w:p>
    <w:p w14:paraId="2BD7305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2.1、工程变更的项目在中标书中有此种类或类似的项目，按照下列原则处理：</w:t>
      </w:r>
    </w:p>
    <w:p w14:paraId="4977DC1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2.1.1中标价工程量清单中有适合工程变更项目的，应采用该项目的总价；</w:t>
      </w:r>
    </w:p>
    <w:p w14:paraId="0E65C16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2.1.2中标价工程量清单中没有适合工程变更项目的，但有类似于变更项目的，应采用类似项目的总价；</w:t>
      </w:r>
    </w:p>
    <w:p w14:paraId="4FECDEE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2.1.3变化的种类及数量×中标价相应的种类的总价=变更造价；</w:t>
      </w:r>
    </w:p>
    <w:p w14:paraId="279C9D2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2.2、工程变更的项目在中标书中没有此项目或类似的项目，但在菏泽市住建局发布的202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年第一季度材料价格信息表中有此项目的成品价格时，按照下列原则处理：</w:t>
      </w:r>
    </w:p>
    <w:p w14:paraId="7825785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变化项目的数量×202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年1季度价中相应的</w:t>
      </w:r>
      <w:r>
        <w:rPr>
          <w:rFonts w:hint="eastAsia" w:ascii="仿宋" w:hAnsi="仿宋" w:eastAsia="仿宋" w:cs="仿宋"/>
          <w:color w:val="auto"/>
          <w:sz w:val="24"/>
          <w:szCs w:val="24"/>
          <w:highlight w:val="none"/>
          <w:shd w:val="clear" w:color="auto" w:fill="auto"/>
          <w:lang w:val="en-US" w:eastAsia="zh-CN"/>
        </w:rPr>
        <w:t>材料</w:t>
      </w:r>
      <w:r>
        <w:rPr>
          <w:rFonts w:hint="eastAsia" w:ascii="仿宋" w:hAnsi="仿宋" w:eastAsia="仿宋" w:cs="仿宋"/>
          <w:color w:val="auto"/>
          <w:sz w:val="24"/>
          <w:szCs w:val="24"/>
          <w:highlight w:val="none"/>
          <w:shd w:val="clear" w:color="auto" w:fill="auto"/>
        </w:rPr>
        <w:t>的总价=变更造价；</w:t>
      </w:r>
    </w:p>
    <w:p w14:paraId="7EADC7D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2.3、工程变更的项目在中标价工程量清单项目中没有合适的工程变更项目，又没有类似工程变更项目的，在按照下列原则处理：</w:t>
      </w:r>
    </w:p>
    <w:p w14:paraId="26BA6EC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工程变更价格由乙方根据（工程预算价按16年《山东省建筑工程消耗量定额》、16年《山东省安装工程消耗量定额》、19年《山东省建筑安装工程价目表》、主要材料价格执行发乙方双方认定的菏泽市建设局发布的202</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年第</w:t>
      </w:r>
      <w:r>
        <w:rPr>
          <w:rFonts w:hint="eastAsia" w:ascii="仿宋" w:hAnsi="仿宋" w:eastAsia="仿宋" w:cs="仿宋"/>
          <w:color w:val="auto"/>
          <w:sz w:val="24"/>
          <w:szCs w:val="24"/>
          <w:highlight w:val="none"/>
          <w:shd w:val="clear" w:color="auto" w:fill="auto"/>
          <w:lang w:val="en-US" w:eastAsia="zh-CN"/>
        </w:rPr>
        <w:t>四</w:t>
      </w:r>
      <w:r>
        <w:rPr>
          <w:rFonts w:hint="eastAsia" w:ascii="仿宋" w:hAnsi="仿宋" w:eastAsia="仿宋" w:cs="仿宋"/>
          <w:color w:val="auto"/>
          <w:sz w:val="24"/>
          <w:szCs w:val="24"/>
          <w:highlight w:val="none"/>
          <w:shd w:val="clear" w:color="auto" w:fill="auto"/>
        </w:rPr>
        <w:t>季度材料价格信息表时的材料价格、人工工日按83元/日，结算时不随开工后相关政策调整。），及其配套解释文件进行计算，报甲方审核确认后，再乘以</w:t>
      </w:r>
      <w:r>
        <w:rPr>
          <w:rFonts w:hint="eastAsia" w:ascii="仿宋" w:hAnsi="仿宋" w:eastAsia="仿宋" w:cs="仿宋"/>
          <w:color w:val="auto"/>
          <w:sz w:val="24"/>
          <w:szCs w:val="24"/>
          <w:highlight w:val="none"/>
          <w:shd w:val="clear" w:color="auto" w:fill="auto"/>
          <w:lang w:val="en-US" w:eastAsia="zh-CN"/>
        </w:rPr>
        <w:t>投标让利</w:t>
      </w:r>
      <w:r>
        <w:rPr>
          <w:rFonts w:hint="eastAsia" w:ascii="仿宋" w:hAnsi="仿宋" w:eastAsia="仿宋" w:cs="仿宋"/>
          <w:color w:val="auto"/>
          <w:sz w:val="24"/>
          <w:szCs w:val="24"/>
          <w:highlight w:val="none"/>
          <w:shd w:val="clear" w:color="auto" w:fill="auto"/>
        </w:rPr>
        <w:t>的系数为结算的价格。</w:t>
      </w:r>
    </w:p>
    <w:p w14:paraId="46D0F68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菏泽市建设局发布的202</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年第</w:t>
      </w:r>
      <w:r>
        <w:rPr>
          <w:rFonts w:hint="eastAsia" w:ascii="仿宋" w:hAnsi="仿宋" w:eastAsia="仿宋" w:cs="仿宋"/>
          <w:color w:val="auto"/>
          <w:sz w:val="24"/>
          <w:szCs w:val="24"/>
          <w:highlight w:val="none"/>
          <w:shd w:val="clear" w:color="auto" w:fill="auto"/>
          <w:lang w:val="en-US" w:eastAsia="zh-CN"/>
        </w:rPr>
        <w:t>四</w:t>
      </w:r>
      <w:r>
        <w:rPr>
          <w:rFonts w:hint="eastAsia" w:ascii="仿宋" w:hAnsi="仿宋" w:eastAsia="仿宋" w:cs="仿宋"/>
          <w:color w:val="auto"/>
          <w:sz w:val="24"/>
          <w:szCs w:val="24"/>
          <w:highlight w:val="none"/>
          <w:shd w:val="clear" w:color="auto" w:fill="auto"/>
        </w:rPr>
        <w:t>季度材料价格信息表表中没有的或没有指定的材料价格，应按甲乙方双方考察材料使用时的市场材料价格；若双方无法认定的材料总价，应按省级造价（有权）部门发布的同期信息季度价格，由乙方进行计算，报甲方审核确认后，再乘以0.9的系数为结算的价格。</w:t>
      </w:r>
    </w:p>
    <w:p w14:paraId="51A455E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2.4、工程变更结算价的确认：</w:t>
      </w:r>
    </w:p>
    <w:p w14:paraId="1C07190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变更结算价格× 变更结算工程量= 变更结算价款。</w:t>
      </w:r>
    </w:p>
    <w:p w14:paraId="232275E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十二、竣工结算：</w:t>
      </w:r>
    </w:p>
    <w:p w14:paraId="162EF01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1、竣工结算的前提是，竣工验收合格，交付给业主使用，备案证书办理完毕，竣工资料齐全，全部移交给档案馆，并办理档案合格证书后。</w:t>
      </w:r>
    </w:p>
    <w:p w14:paraId="23097ED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2、工程竣工，并办理档案合格证书后三个月内，承包方向发包方提供完整的竣工结算资料、结算书等三份，电子版两套。</w:t>
      </w:r>
    </w:p>
    <w:p w14:paraId="11E4F62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3、工程竣工结算最终以发包人所审定结果为准，送发包人审核结算时所报各类资料必须齐全有效。</w:t>
      </w:r>
    </w:p>
    <w:p w14:paraId="70A686C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4、承包人必须实事求是地编制竣工结算书，不应存在虚报现象。如承包人编制的竣工结算书超出实际结算造价的±5%，否则发包人视为工程结算不调整正差价，并且承包人承担结算审计费等一切费用。</w:t>
      </w:r>
    </w:p>
    <w:p w14:paraId="6CE6196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5、结算方式：</w:t>
      </w:r>
    </w:p>
    <w:p w14:paraId="276EA3B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5.1甲方在招标时提供的工程量清单，在实际施工中不论增加或减少，在结算时将不再按照实际进行调整，不再进行按照实际结算。除非有设计变更或现场签证按照相关规定可调整外，其投标报价一次包干，不再调整。 </w:t>
      </w:r>
    </w:p>
    <w:p w14:paraId="2C1C207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5.2设计变更按照本协议约定的相关条款进行调整；</w:t>
      </w:r>
    </w:p>
    <w:p w14:paraId="24D9E41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5.3合同价±设计工程变更造价±现场签证=工程结算造价</w:t>
      </w:r>
    </w:p>
    <w:p w14:paraId="48F54CC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十三、工程材料：</w:t>
      </w:r>
    </w:p>
    <w:p w14:paraId="158B9DC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1、工程所用材料，全部在菏泽市建设局备案的材料，应具有山东省《建设工业产品登记备案证明》、《新型墙材建筑节能技术产品应用认定证书》。</w:t>
      </w:r>
    </w:p>
    <w:p w14:paraId="4079402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采用的材料必须符合国家相应标准及施工时现行政策及法规的要求；乙方所采购的材料应提前10天向甲方及监理申报品牌及数量，并提供相应样品，经甲方及监理考察确认后，方可使用，不得擅自更换采用其他品牌，否则，每次处罚乙方5000--10000元人民币，并承担一切损失及责任。</w:t>
      </w:r>
    </w:p>
    <w:p w14:paraId="333EB2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3、乙方为保证能够按期保质的完成合同义务,乙方同意任何进入施工现场材料设备(施工机械除外)的所有权,均自进入施工现场之日转归甲方所有并由乙方负责保管保护,保证材料设备供应商无所有权保留。</w:t>
      </w:r>
    </w:p>
    <w:p w14:paraId="773A3BC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4、所有运进现场的材料、设备,未报经甲方同意,不得外运,否则由此造成的一切损失乙方自负。</w:t>
      </w:r>
    </w:p>
    <w:p w14:paraId="66E5283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5、电梯品牌选用</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电梯，电梯工程的主要材料及其他主材均含在合同价内。“三大件”应是原厂的品牌，进场时，需甲方确认后，乙方方可使用，若乙方没有选用约定的产品，则甲方拒付工程款，且甲方有权单方解除合同，一切责任全部由乙方承担。</w:t>
      </w:r>
    </w:p>
    <w:p w14:paraId="2CA3411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十四、工程奖罚</w:t>
      </w:r>
    </w:p>
    <w:p w14:paraId="5554F3B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1、按约定质量标准完成的，不奖不罚；达不到合同约定质量标准的，罚合同价的3%，但必须达到工程质量合格标准，由此产生的一切费用全部由乙方承担，并赔偿甲方由此造成的一切损失。</w:t>
      </w:r>
    </w:p>
    <w:p w14:paraId="2D520E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2、按约定工期完成的，不奖不罚；在约定工期的基础上工期每拖延一天，按总造价的0.3‰进行加罚。施工中遇到停水、停电等情况（不可抗力除外），以甲方签证为准，工期顺延（不含费用）。</w:t>
      </w:r>
    </w:p>
    <w:p w14:paraId="031C1ED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3、乙方的项目经理和技术负责人在施工期间不得擅离职守，若离开施工工地两天以上者，按每人每天200元的罚款进行处罚。</w:t>
      </w:r>
    </w:p>
    <w:p w14:paraId="336DF39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施工过程中所用电费按表计量，按菏泽市供电部门收取的电费进行分摊总价，由甲方从支付乙方工程进度款中扣除，由甲方统一交纳。如发现乙方有偷电行为，乙方将负责当月整个小区的电费，且每次追加罚款1000元。</w:t>
      </w:r>
    </w:p>
    <w:p w14:paraId="3F341D0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5、以上各种罚金，甲方可以从应向乙方支付的任何款项中扣除或以其他方式收回此款。但罚金的支付并不能解除乙方应完成工程的责任或合同规定的其他责任。</w:t>
      </w:r>
    </w:p>
    <w:p w14:paraId="6EF072A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十五、乙方的责任：</w:t>
      </w:r>
    </w:p>
    <w:p w14:paraId="44BDF79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1、项目经理：</w:t>
      </w:r>
    </w:p>
    <w:p w14:paraId="528E7C4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1.1姓名：    </w:t>
      </w:r>
    </w:p>
    <w:p w14:paraId="601F365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1.2身份证号：</w:t>
      </w:r>
    </w:p>
    <w:p w14:paraId="75EC86D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在签订合同后，及时成立项目指挥部，配足相关人员，应将质量、安全保证体系及时报与监理单位和甲方进行审核，对不合格人员甲方有权要求乙方撤换，乙方接到撤换通知后应及时更换，如乙方严重不负责，造成工程质量下滑和有重要安全隐患不按要求及时消除或工期严重滞后时，甲方有权终止合同，所造成的损失均由乙方承担。</w:t>
      </w:r>
    </w:p>
    <w:p w14:paraId="03BFDE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3、按照国家现行的《建筑施工规范》和设计图纸要求及招标文件的要求组织施工；甲方、监理发现质量隐患乙方拒不改正，甲方有权将乙方清除施工工地，发生一切经济损失由乙方自负。</w:t>
      </w:r>
    </w:p>
    <w:p w14:paraId="2DC516E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4、乙方应服从甲方、监理的现场管理办法或规定。</w:t>
      </w:r>
    </w:p>
    <w:p w14:paraId="62E444E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5、乙方所有人员不得顶撞、打骂甲方、监理人员，若发生视情节给予每次1000元以上经济处罚。</w:t>
      </w:r>
    </w:p>
    <w:p w14:paraId="2E70291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乙方应按相关规定及甲方、监理的要求做好文明施工。对于不按照甲方、监理的要求做好文明施工的，影响工程总体形象的，或乙方发生安全质量事故的，或发生质量缺陷影响工程质量的，或同一部位三次及三次以上出现质量缺陷的，或受省、市、县相关部门查处的、通报的，或工程进度拖延整改不积极的，甲方有权给予乙方5000元以上的经济处罚，且甲方有权终止合同，将乙方清除出场，一切责任及损失全部由乙方负责。</w:t>
      </w:r>
    </w:p>
    <w:p w14:paraId="3285C98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7、乙应严格执行隐蔽工程验收制度。隐蔽工程必须在隐蔽前进行检查验收。乙方应在验收前48小时以书面形式通知甲方及监理工程师。经甲方二人以上和现场监理及派出的跟踪人员对隐藏工程进行验收，验收合格，并在“隐蔽工程验收记录”单上签证后，方可进行下一道工序。验收不合格，乙方应在甲方及监理规定的时间内进行整改，并安排复验。若甲方及监理收到隐蔽工程验收通知后，无正当理由未参加检查和验收，乙方可视为验收合格；若乙方未通知甲方及监理而自行验收或未按规定进行验收，其验收无效。</w:t>
      </w:r>
    </w:p>
    <w:p w14:paraId="0EBC0D3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乙方在施工前应组织专业技术人员详细审阅设计文件，有责任发现并提出设计文件中存在的问题，并对文件的可实施性负责。若发现工程按现有施工文件或指令施工将要发生质量缺陷，应立即书面报告甲方。如乙方作为一个有经验的承建商本应发现上述疑问或错漏而未发现并继续施工，所导致的质量缺陷及由此产生的损失应由乙方负责。</w:t>
      </w:r>
    </w:p>
    <w:p w14:paraId="07242BF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9、乙方的施工进度滞后于工程的进度计划时，甲方有权要求乙方采取一切积极措施赶工，若滞后计划工期达10天时，除乙方采取有效赶工措施符合工程进度计划外，甲方有权暂不支付工程进度款，且甲方可另行组织施工,由此引发的工程量以监理签字认可的为依据，费用以乙方承包总价两倍的价款从乙方工程款中扣除；非乙方原因造成的工期滞后除外。</w:t>
      </w:r>
    </w:p>
    <w:p w14:paraId="65BC68E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10、需办理签证的隐蔽工程，乙方应在隐蔽前三天填写签证单，并由监理工程师及甲方代表确认。如因乙方原因导致工程量无法核实，则不予办理签证。</w:t>
      </w:r>
    </w:p>
    <w:p w14:paraId="0B9C67A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11、乙方在工程施工中，必须按照现行的规范、政策性文件、地方性文件、质量通病整改措施、政策性文件、法律法规等要求施工，若与图纸有冲突时，需要变更时，则此费用已含在协议价内，甲方不再补偿。</w:t>
      </w:r>
    </w:p>
    <w:p w14:paraId="35ACAA5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12、在办理工程变更及现场签证时，乙方不得以亏本、停工等任何借口及形式，要求办理超额利润的签证，否则，甲方不予办理调整正差价的签证，一切责任全部由乙方承担，甲方不再补偿任何费用。</w:t>
      </w:r>
    </w:p>
    <w:p w14:paraId="4D56210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乙方负责补遗工作：如果任何未明显属于本工程总承包的工作范围，但未以文字形式明确约定为属于任何指定分包人的工作范围，也未在合同中以文字形式明确约定为属于乙方自行完成的工作范围，此类工作应由乙方作为本工程总承包责任和义务自行完成。此部分内容在合同价中已含。</w:t>
      </w:r>
    </w:p>
    <w:p w14:paraId="4FF5CAB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安全处罚：一切安全责任全部由乙方负责，安全事故的一切赔偿全部由乙方承担，且死亡一人，乙方向甲方交纳100000.0元违约金；重伤一人，乙方向甲方交纳50000.0元违约金，但并不免除乙方的任何责任及经济赔偿。</w:t>
      </w:r>
    </w:p>
    <w:p w14:paraId="7ED3D1C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15、在施工过程中，乙方要确保对施工现场周围的建筑物、构筑物、古树名木、地下管线、道路等进行保护，保护费用及施工中乙方保护不当而发生的任何经济损失由乙方承担。</w:t>
      </w:r>
    </w:p>
    <w:p w14:paraId="0968089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本工程施工现场条件已具备，甲方不再承担降噪、扰民、二次搬运的材料倒运、窝工等费用。乙方在甲方组织的工地踏勘时应充分了解工地位置、周围情况、道路、储存空间、装卸限制及任何其他足以影响承包价的情况。任何因忽视或误解工地情况而导致诉讼索赔或工期延长申请将不被批准。</w:t>
      </w:r>
    </w:p>
    <w:p w14:paraId="010C672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17、乙方在施工时，应按照主管部门、环境部门的要求采取相应的措施施工，减少粉尘、扬尘、噪音等对环境污染及雾霾现象，此费用已含在合同总价内。</w:t>
      </w:r>
    </w:p>
    <w:p w14:paraId="338104A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18、施工完成后，乙方将施工过程中引起的对建筑物的毁损应无偿修复至原样，达到设计要求，否则，每处扣乙方5000元。  </w:t>
      </w:r>
      <w:r>
        <w:rPr>
          <w:rFonts w:hint="eastAsia" w:ascii="仿宋" w:hAnsi="仿宋" w:eastAsia="仿宋" w:cs="仿宋"/>
          <w:color w:val="auto"/>
          <w:sz w:val="24"/>
          <w:szCs w:val="24"/>
          <w:highlight w:val="none"/>
          <w:shd w:val="clear" w:color="auto" w:fill="auto"/>
        </w:rPr>
        <w:tab/>
      </w:r>
    </w:p>
    <w:p w14:paraId="58CADE4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19、本工程项目，由乙方办理一切保险，保险公司乙方选择，费用全部由乙方自己承担，此费用已含在协议总价内。乙方若不投保，在施工期间所发生的一切与本工程有关人员及工程财产等意外伤害损失由乙方承担全部责任及费用。</w:t>
      </w:r>
    </w:p>
    <w:p w14:paraId="515BFAF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20、乙方负责保温工程项目的节能认定评审的验收及消防验收。在验收时取样检测等的各种费用已含在合同总价内。</w:t>
      </w:r>
    </w:p>
    <w:p w14:paraId="512F15F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21、乙方负责将相关资料报建设主管科室审核备案，发生一切费用已含在合同总价内。</w:t>
      </w:r>
    </w:p>
    <w:p w14:paraId="44FB334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十六：销售配合</w:t>
      </w:r>
    </w:p>
    <w:p w14:paraId="73E1774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甲方将根据销售需要，安排施工现场不定期免费对社会开放。乙方在开放日前应对施工现场进行清理，并作好相应的安全防护措施，其费用含在协议价内。</w:t>
      </w:r>
    </w:p>
    <w:p w14:paraId="2C1688E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十七、总包管理及施工配合</w:t>
      </w:r>
    </w:p>
    <w:p w14:paraId="3EB2F9F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1、在施工过程中乙方应向总包单位交纳总包服务管理费用，合同价的1.0%，此费用由乙方自己向总包单位协调交纳，且此费用已含在合同总价内。</w:t>
      </w:r>
    </w:p>
    <w:p w14:paraId="7C6B9A4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须及时配合总包单位及其他专业单位的施工及总包管理服务，如不按约定内容配合及管理，或配合管理不及时，甲方有权另行处理，并从乙方进度款中扣除所发生费用，由此影响该项直接分包工程施工的，由乙方承担相应责任。若甲方直接分包单位不配合乙方，甲方另行处理。</w:t>
      </w:r>
    </w:p>
    <w:p w14:paraId="7CE7066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3、乙方应负责对所承包的工程竣工资料按相关规定整理成册，提交甲方指定单位或土建总包方，由甲方指定单位和总包方统一进行整理归档，报主管验收部门，费用已含在合同总价内。</w:t>
      </w:r>
    </w:p>
    <w:p w14:paraId="4145179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4、在消防验收及竣工验收时，乙方应积极配合其他分包单位（消防工程、外墙保温、防火门等消防验收包括的项目工程）进行保温验收、消防验收及竣工验收。</w:t>
      </w:r>
    </w:p>
    <w:p w14:paraId="5933042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5、如乙方对总包单位及甲方直接分包单位配合不好，甲方或监理工程师接其他单位的投诉经查证情况属实，甲方将根据情况严重性对乙方进行300至3000元的罚款。</w:t>
      </w:r>
    </w:p>
    <w:p w14:paraId="149DCB9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十八、工程档案</w:t>
      </w:r>
    </w:p>
    <w:p w14:paraId="73B114D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1、工程档案应当做到与工程同步。</w:t>
      </w:r>
    </w:p>
    <w:p w14:paraId="79B5933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2、工程档案由乙方负责按菏泽市有关城建档案报送要求进行编制,必须做到工程档案与工程建设同步。乙方最终交付甲方的档案的份数为二份,必须满足菏泽市城建档案馆的要求,按甲方要求时间提交。</w:t>
      </w:r>
    </w:p>
    <w:p w14:paraId="75E2BFD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3、工程档案经相关部门预验收，并取得建设工程档案初检合格证明后,双方进行竣工验收。</w:t>
      </w:r>
    </w:p>
    <w:p w14:paraId="71F7D84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4、工程档案经相关部门验收，移交给档案馆，并取得建设工程档案验收合格证明后,双方进行竣工结算。</w:t>
      </w:r>
    </w:p>
    <w:p w14:paraId="02EBDE6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5、双方确认取得城建档案档案移交验收合格证明,为双方进行结算的前提条件之一,该条件不因甲方验收工程或使用工程等而废止或变更。</w:t>
      </w:r>
    </w:p>
    <w:p w14:paraId="3040B1D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乙方未按期提交技术资料的,乙方应当按每日5000元向甲方承担违约金。如因乙方逾期提交技术资料或所提交的技术资料不全,以至甲方无法按期办理竣工验收备案证或城建档案手续的,或致使该项目购房者无法按期办理产权登记手续的,甲方因此应当向本项目购房者承担的违约金等经济损失,均由乙方赔偿甲方。同时,甲方有权拒绝结算,即使甲方予以结算,甲方也有权按乙方最终提交技术资料的逾期天数顺延相关款项的支付,甲方不承担自工程交付使用之日起至资料完整日止的工程款利息。</w:t>
      </w:r>
    </w:p>
    <w:p w14:paraId="5E0B1C3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十九、竣工验收：</w:t>
      </w:r>
    </w:p>
    <w:p w14:paraId="01D440E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建设工程竣工后，乙方应当按照国家及菏泽市工程竣工验收有关规定，向甲方提供完整的竣工资料和竣工验收报告及竣工图，且乙方工程档案资料经相关部门预验收并取得建设工程档案初检合格证明后，方可进行组织竣工验收。</w:t>
      </w:r>
    </w:p>
    <w:p w14:paraId="6B1ED02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在工程进行综合竣工验收前，乙方应确保所施工的工程的竣工验收由建设主管部门的保温验收及消防主管部门的消防验收等单项验收通过，如因乙方施工质量或使用材料与政策不符等问题，乙方应进行整改或拆除重新施工，直至验收通过，并承担一切责任及损失，赔偿甲方由此造成的一切损失。</w:t>
      </w:r>
    </w:p>
    <w:p w14:paraId="5ED7972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应确保工程竣工综合验收一次性通过，在竣工验收前，由业主（购房者）进行预验收，乙方在取得业主（购房者）的验收合格证明后，甲方组织一次竣工前检查，如因乙方原因都没有顺利通过，则竣工验收由乙方负责组织并协调验收，并承担竣工验收的相关费用（包括但不限于协调费、处罚、对建设单位的处罚等一切费用），直至竣工验收通过。</w:t>
      </w:r>
    </w:p>
    <w:p w14:paraId="4691331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如甲方组织竣工验收，如因乙方原因都没有顺利通过时，甲方要求乙方交付使用，乙方应交付给业主使用，但这并不能免除乙方的任何责任及义务，并不能视为工程合格，不能视为竣工验收通过，发生的任何质量问题全部由乙方负责。</w:t>
      </w:r>
    </w:p>
    <w:p w14:paraId="1E1EC61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二十：质量保修责任：</w:t>
      </w:r>
    </w:p>
    <w:p w14:paraId="67A805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1、因乙方施工质量原因、施工工期延长或其他因乙方原因导致业主退房、要求甲方给予赔偿等，其经济责任和法律责任的各项后果均由乙方承担。</w:t>
      </w:r>
    </w:p>
    <w:p w14:paraId="29C98A8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2、保修期内的维修：一般性维修乙方应在接到通知后24小时内到达；紧急事故乙方应在接到通知后8小时内到达现场抢修；业主收房后出现渗漏水、有水区域返水，乙方应在16小时内修复。</w:t>
      </w:r>
    </w:p>
    <w:p w14:paraId="7F954FE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 乙方未及时维修或未在合理期限内维修完好、或经过两次维修都未能修好的，甲方有权自行请人代为维修并确定价格，所有修复费用及赔偿费用在支付乙方质保金时扣除，但不等于解除乙方应负的责任。</w:t>
      </w:r>
    </w:p>
    <w:p w14:paraId="710CB0F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4、乙方每次维修完毕，应负责将施工现场清理干净、并取得业主和甲方（或物管公司）的验收签字。</w:t>
      </w:r>
    </w:p>
    <w:p w14:paraId="084D859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5、乙方在工程交付使用后，应积极进行回访住户，每年进行一次，将工程回访单交甲方备案，否则，甲方拒付到期工程质量保修金。</w:t>
      </w:r>
    </w:p>
    <w:p w14:paraId="1A34C8F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二十一、其他条款：</w:t>
      </w:r>
    </w:p>
    <w:p w14:paraId="4802583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1、在工程施工中，乙方使用的新技术、新工艺和一些技术措施费，所增加的费用，乙方自己承担，甲方不再增加任何费用。</w:t>
      </w:r>
    </w:p>
    <w:p w14:paraId="62100A2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2、保证遵从甲方关于菏泽市</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eastAsia="仿宋" w:cs="仿宋"/>
          <w:color w:val="auto"/>
          <w:sz w:val="24"/>
          <w:szCs w:val="24"/>
          <w:highlight w:val="none"/>
          <w:shd w:val="clear" w:color="auto" w:fill="auto"/>
        </w:rPr>
        <w:t>小区施工现场管理制度，服从甲方及监理的指挥和安排。保证自行解决工人工资问题，如果因拖欠工人工资或者其他施工单位自身原因引起的工人聚众闹事等不良事件，影响到工程本身质量、进度甚至影响到甲方声誉的，由甲方每次对乙方罚款50万元。</w:t>
      </w:r>
    </w:p>
    <w:p w14:paraId="1A176F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为确保本工程按期完成，乙方在正常施工条件下，不得无故停工，不得消极惹工，正常施工人数不得少于正常施工组织设计计划安排人数的70%，若连续三天施工人员少于正常施工组织设计计划安排人数的70%时，甲方可向乙方提出警告，若警告后两天内拒不纠正，甲方将按乙方不履约而从乙方的履约保证金中每天扣收1000元的罚金。</w:t>
      </w:r>
    </w:p>
    <w:p w14:paraId="5E5BED3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4、在签订协议前，甲方多次告知乙方，要仔细勘察现场、现场周围的环境，了解并掌握相关信息，并进入造价，在以后的工程施工中由此增加的任何费用及相关的各种索赔，甲方概不予支持。</w:t>
      </w:r>
    </w:p>
    <w:p w14:paraId="3DFDE9B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5、乙方在进入现场施工后，不再增加任何临时设施费用（含临时用电电缆超长、水源超长等）。</w:t>
      </w:r>
    </w:p>
    <w:p w14:paraId="5440B3C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在甲方的工程款暂时不到位时，承包人必须确保工程的正常进行，承包人不得以停工等任何手段索要工程款，否则，视为承包人无能力承包工程，视为承包人违约，将扣履约保证金，发包人有权单方解除合同，将承包人清除施工现场，并赔偿发包人的一切损失。</w:t>
      </w:r>
    </w:p>
    <w:p w14:paraId="4362C1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7、甲方与乙方签订的施工合同在履约期间，因乙方与其他第三人之间的债务引起的法律责任由乙方负责，当甲方因此在经济等方面受到侵害时，由乙方赔偿经济损失，甲方有权从乙方的履约保证金中扣除，履约保证金不足的，可从其他款项中扣除。如造成工程无法施工，甲方有权单方解除合同，乙方应承担一切经济损失。</w:t>
      </w:r>
    </w:p>
    <w:p w14:paraId="10FC1BA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8、在施工中，甲方有权根据乙方承包能力、乙方对甲方发出指令的执行程度和态度等，做出终止合同、更改施工队伍的决定。损失全部由乙方承担，并赔偿甲方的一切损失。</w:t>
      </w:r>
    </w:p>
    <w:p w14:paraId="39DA797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9、无论何种原因，乙方到法院进行起诉或其他诉讼请求之前，乙方应按照合同约定的内容及甲方的要求施工完成，将所有问题处理完毕，达到下一个工序的施工要求及达到下一个承包单位的施工要求，不能有任何遗留问题，不能影响下一道工序的正常施工及相应的资料进行归档移交，否则，甲方拒付一切款项，且将遗留的所有问题进行作价从工程款中扣除，并视为乙方违约，一次性扣除工程款100万元。</w:t>
      </w:r>
    </w:p>
    <w:p w14:paraId="247CF12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w:t>
      </w:r>
      <w:r>
        <w:rPr>
          <w:rFonts w:hint="eastAsia" w:ascii="仿宋" w:hAnsi="仿宋" w:eastAsia="仿宋" w:cs="仿宋"/>
          <w:color w:val="auto"/>
          <w:sz w:val="24"/>
          <w:szCs w:val="24"/>
          <w:highlight w:val="none"/>
          <w:shd w:val="clear" w:color="auto" w:fill="auto"/>
          <w:lang w:val="en-US" w:eastAsia="zh-CN"/>
        </w:rPr>
        <w:t>电梯井道处理时，应</w:t>
      </w:r>
      <w:r>
        <w:rPr>
          <w:rFonts w:hint="eastAsia" w:ascii="仿宋" w:hAnsi="仿宋" w:eastAsia="仿宋" w:cs="仿宋"/>
          <w:color w:val="auto"/>
          <w:sz w:val="24"/>
          <w:szCs w:val="24"/>
          <w:highlight w:val="none"/>
          <w:shd w:val="clear" w:color="auto" w:fill="auto"/>
        </w:rPr>
        <w:t>采用国标标准的优质材料，一定确保其的安全及质量，在15年内不得有脱落、自爆及开裂等现象，否则，造成的一切损失全部由乙方承担，并赔偿给甲方由此造成的一切损失。</w:t>
      </w:r>
    </w:p>
    <w:p w14:paraId="4E29C02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11、乙方负责将相关资料报建设主管科室审核备案，发生一切费用已含在合同价内。</w:t>
      </w:r>
    </w:p>
    <w:p w14:paraId="0DA867E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承包人应按照“菏建办[2018]234号”及“菏建办[2018]235号”文件及以后的相关政策文件的精神，落实建筑工人实名制管理及农民工工资专用账户管理等，其相关的费用全部含在协议总价内，发包人不再补偿任何费用。</w:t>
      </w:r>
    </w:p>
    <w:p w14:paraId="098103F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承包人每月提供农民工的支付明细及拖欠明细，支付完成后，并提供无拖欠农民工工资的证明，提供的资料必须真实可靠，不得弄虚作假，否则，每发现一处，视为承包人违约，每次扣履约保证金或工程款5万元人民币。</w:t>
      </w:r>
    </w:p>
    <w:p w14:paraId="047EC8B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14、承包人必须及时支付工人工资或材料款项，因承包人未及时支付工人工资或材料款项，引起上诉、上访、市长热线等事件，承包人自行接回处理，对甲方造成声誉影响的，应向发包人支付赔偿金 100000 元／次。甲方在可控工程款范围内，有权垫付该费用，承包人应按月息2%承担利息；</w:t>
      </w:r>
    </w:p>
    <w:p w14:paraId="23754F0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15、承包人应无任何理由安排工人施工，如拖延施工或借理由推诿，影响到甲方施工进度，甲方有权指定其他分包人完成本合同内的相关工作时，所发生的费用按甲方实际支出费用的2倍；</w:t>
      </w:r>
    </w:p>
    <w:p w14:paraId="588544F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16、在工程施工中，乙方应严格按照，山东省人力资源和社会保障厅等 11部门 关于印发 《山东省工程建设领域农民下下资 专用账户管理实施细则》的通知（鲁人社发 [2022〕10号）及山东省人力资源和社会保障厅等 9部门关于印发 《山东省工程建设领域农民工 工资保证金管理实施办法》的通知 （鲁人社发 [2022]11号）执行，按照主管部门的要求，安装传输等相关设备，实行实名制管理，按照其设立农民工工资专业账户，及时足额的发放农民工工资，安排专人负责与主管部门的系统对接（包含建设单位负责的部分），乙方每月向农民工保障平台的监管账户，拨付月产值的25%的农民工工资，不然，一切处罚（包括对建设单位的处罚）全部由乙方承担。一切费用全部含在合同价内，发包人不再补偿</w:t>
      </w:r>
    </w:p>
    <w:p w14:paraId="66F79A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17、本项目工程招标为</w:t>
      </w:r>
      <w:r>
        <w:rPr>
          <w:rFonts w:hint="eastAsia" w:ascii="仿宋" w:hAnsi="仿宋" w:cs="仿宋"/>
          <w:color w:val="auto"/>
          <w:sz w:val="24"/>
          <w:szCs w:val="24"/>
          <w:highlight w:val="none"/>
          <w:shd w:val="clear" w:color="auto" w:fill="auto"/>
          <w:lang w:val="en-US" w:eastAsia="zh-CN"/>
        </w:rPr>
        <w:t>暂估价</w:t>
      </w:r>
      <w:r>
        <w:rPr>
          <w:rFonts w:hint="eastAsia" w:ascii="仿宋" w:hAnsi="仿宋" w:eastAsia="仿宋" w:cs="仿宋"/>
          <w:color w:val="auto"/>
          <w:sz w:val="24"/>
          <w:szCs w:val="24"/>
          <w:highlight w:val="none"/>
          <w:shd w:val="clear" w:color="auto" w:fill="auto"/>
        </w:rPr>
        <w:t>招标，在以后的合同执行中，如主管部门要求工程不能</w:t>
      </w:r>
      <w:r>
        <w:rPr>
          <w:rFonts w:hint="eastAsia" w:ascii="仿宋" w:hAnsi="仿宋" w:cs="仿宋"/>
          <w:color w:val="auto"/>
          <w:sz w:val="24"/>
          <w:szCs w:val="24"/>
          <w:highlight w:val="none"/>
          <w:shd w:val="clear" w:color="auto" w:fill="auto"/>
          <w:lang w:val="en-US" w:eastAsia="zh-CN"/>
        </w:rPr>
        <w:t>分包</w:t>
      </w:r>
      <w:r>
        <w:rPr>
          <w:rFonts w:hint="eastAsia" w:ascii="仿宋" w:hAnsi="仿宋" w:eastAsia="仿宋" w:cs="仿宋"/>
          <w:color w:val="auto"/>
          <w:sz w:val="24"/>
          <w:szCs w:val="24"/>
          <w:highlight w:val="none"/>
          <w:shd w:val="clear" w:color="auto" w:fill="auto"/>
        </w:rPr>
        <w:t>承包，必须进行工程总承包时，为此此工程资料必须以总承包单位的名义进行整理资料，由此产生的一切风险及费用，全部含在协议价内。</w:t>
      </w:r>
    </w:p>
    <w:p w14:paraId="37715829">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z w:val="24"/>
          <w:highlight w:val="none"/>
          <w:lang w:val="en-US" w:eastAsia="zh-CN"/>
        </w:rPr>
      </w:pPr>
      <w:r>
        <w:rPr>
          <w:rFonts w:hint="eastAsia" w:ascii="仿宋" w:hAnsi="仿宋" w:cs="仿宋"/>
          <w:color w:val="auto"/>
          <w:spacing w:val="4"/>
          <w:sz w:val="24"/>
          <w:highlight w:val="none"/>
          <w:lang w:val="en-US" w:eastAsia="zh-CN"/>
        </w:rPr>
        <w:t>18、</w:t>
      </w:r>
      <w:r>
        <w:rPr>
          <w:rFonts w:hint="eastAsia" w:ascii="仿宋" w:hAnsi="仿宋" w:eastAsia="仿宋" w:cs="仿宋"/>
          <w:color w:val="auto"/>
          <w:sz w:val="24"/>
          <w:highlight w:val="none"/>
        </w:rPr>
        <w:t>本合同文件适用的标准、规范的编号及名称：以招标文件第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r>
        <w:rPr>
          <w:rFonts w:hint="eastAsia" w:ascii="仿宋" w:hAnsi="仿宋" w:cs="仿宋"/>
          <w:color w:val="auto"/>
          <w:sz w:val="24"/>
          <w:highlight w:val="none"/>
          <w:lang w:val="en-US" w:eastAsia="zh-CN"/>
        </w:rPr>
        <w:t>此费用全部含在合同价内。</w:t>
      </w:r>
    </w:p>
    <w:p w14:paraId="1C70DDA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二十二、合同解除</w:t>
      </w:r>
    </w:p>
    <w:p w14:paraId="5AA615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1、如有以下情况之一发生，甲方有权书面通知解除合同，通知自送达乙方后生效，并于合同解除后7日内退场；</w:t>
      </w:r>
    </w:p>
    <w:p w14:paraId="79A1315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1.1乙方明确表示或者以行为表明不履行合同主要义务的；</w:t>
      </w:r>
    </w:p>
    <w:p w14:paraId="37632EB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1.2乙方在施工过程中擅自停工、窝工或因其他乙方原因致使合同约定的工期根本无法达到的；合同约定的期限内没有完工，且在监理及甲方催告的合理期限内仍未完工的；</w:t>
      </w:r>
    </w:p>
    <w:p w14:paraId="06A339A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1.3乙方在施工过程中的已完工程质量无法达到合同要求，经监理及甲方要求整改却无正当理由拒绝整改的，或整改后质量仍无法达到合格要求的；</w:t>
      </w:r>
    </w:p>
    <w:p w14:paraId="189CA32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1.4将乙方的建设工程非法转包、违法分包的；</w:t>
      </w:r>
    </w:p>
    <w:p w14:paraId="5176623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1.5乙方提供的建筑材料、建筑构配件和设备不符合强制性标准或现行政策性规定的，监理及甲方要求乙方建筑材料、建筑构配件和设备退场，而乙方拒绝执行；</w:t>
      </w:r>
    </w:p>
    <w:p w14:paraId="51FFE7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1.6乙方因其他法律纠纷或行政违法，有关司法部门要求甲方停止向其支付工程款或协助执行工程款的，致使合同无法继续履行的；</w:t>
      </w:r>
    </w:p>
    <w:p w14:paraId="3F98819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2、因乙方的过失导致合同解除的，甲方有权没收履约保证金，乙方并应赔偿甲方因此而产生的经济损失。</w:t>
      </w:r>
    </w:p>
    <w:p w14:paraId="7E3BF2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3、合同解除后，已完成的工程量按如下方式结算：工程量按已完成的合格工程的数量计算，已经完成的建设工程质量不合格的，不予计算支付该部分的工程款。</w:t>
      </w:r>
    </w:p>
    <w:p w14:paraId="086F866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4、合同解除后，乙方应于接到甲方通知后15日内退出工程现场；</w:t>
      </w:r>
    </w:p>
    <w:p w14:paraId="265F1A6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5、合同解除并不解除乙方对已施工部分的工程质量责任和保修责任及合同履行过程中的违约责任。</w:t>
      </w:r>
    </w:p>
    <w:p w14:paraId="7C8BB87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二十三、本协议双方盖章后，立即生效。</w:t>
      </w:r>
    </w:p>
    <w:p w14:paraId="290BD04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二十四、未尽事宜，双方协商，协商不成的，可直接向合同履行地人民法院起诉。</w:t>
      </w:r>
    </w:p>
    <w:p w14:paraId="0951BB8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二十五、本补充协议一式六份，甲方四份，乙方二份。</w:t>
      </w:r>
      <w:r>
        <w:rPr>
          <w:rFonts w:hint="eastAsia" w:ascii="仿宋" w:hAnsi="仿宋" w:eastAsia="仿宋" w:cs="仿宋"/>
          <w:color w:val="auto"/>
          <w:sz w:val="24"/>
          <w:szCs w:val="24"/>
          <w:highlight w:val="none"/>
          <w:shd w:val="clear" w:color="auto" w:fill="auto"/>
        </w:rPr>
        <w:tab/>
      </w:r>
    </w:p>
    <w:p w14:paraId="575C315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p>
    <w:p w14:paraId="6F4B7CC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甲方：（盖章）                   乙方：（盖章）</w:t>
      </w:r>
    </w:p>
    <w:p w14:paraId="25F4868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（签字）                        （签字）</w:t>
      </w:r>
    </w:p>
    <w:p w14:paraId="3C23B2F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p>
    <w:p w14:paraId="20BC011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auto"/>
        </w:rPr>
        <w:t>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月  日                  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月  日</w:t>
      </w:r>
    </w:p>
    <w:p w14:paraId="3001747D">
      <w:pPr>
        <w:rPr>
          <w:rFonts w:hint="eastAsia" w:ascii="宋体" w:hAnsi="宋体" w:eastAsia="宋体" w:cs="宋体"/>
          <w:b/>
          <w:color w:val="auto"/>
          <w:sz w:val="28"/>
          <w:szCs w:val="28"/>
        </w:rPr>
      </w:pPr>
    </w:p>
    <w:p w14:paraId="08D6FF67">
      <w:pPr>
        <w:spacing w:line="360" w:lineRule="auto"/>
        <w:rPr>
          <w:rFonts w:ascii="宋体" w:hAnsi="宋体" w:cs="仿宋_GB2312"/>
          <w:color w:val="auto"/>
          <w:sz w:val="24"/>
          <w:szCs w:val="24"/>
        </w:rPr>
      </w:pPr>
      <w:r>
        <w:rPr>
          <w:rFonts w:hint="eastAsia" w:ascii="宋体" w:hAnsi="宋体" w:cs="仿宋_GB2312"/>
          <w:color w:val="auto"/>
          <w:sz w:val="24"/>
          <w:szCs w:val="24"/>
        </w:rPr>
        <w:t>附件</w:t>
      </w:r>
      <w:r>
        <w:rPr>
          <w:rFonts w:hint="eastAsia" w:ascii="宋体" w:hAnsi="宋体" w:cs="仿宋_GB2312"/>
          <w:color w:val="auto"/>
          <w:sz w:val="24"/>
          <w:szCs w:val="24"/>
          <w:lang w:val="en-US" w:eastAsia="zh-CN"/>
        </w:rPr>
        <w:t>1</w:t>
      </w:r>
      <w:r>
        <w:rPr>
          <w:rFonts w:hint="eastAsia" w:ascii="宋体" w:hAnsi="宋体" w:cs="仿宋_GB2312"/>
          <w:color w:val="auto"/>
          <w:sz w:val="24"/>
          <w:szCs w:val="24"/>
        </w:rPr>
        <w:t>：工程建设项目廉政责任书</w:t>
      </w:r>
    </w:p>
    <w:p w14:paraId="72E8156E">
      <w:pPr>
        <w:spacing w:line="360" w:lineRule="auto"/>
        <w:jc w:val="left"/>
        <w:rPr>
          <w:rFonts w:ascii="宋体" w:hAnsi="宋体" w:cs="仿宋"/>
          <w:color w:val="auto"/>
          <w:sz w:val="24"/>
          <w:szCs w:val="24"/>
        </w:rPr>
      </w:pPr>
      <w:r>
        <w:rPr>
          <w:rFonts w:hint="eastAsia" w:ascii="宋体" w:hAnsi="宋体" w:cs="仿宋_GB2312"/>
          <w:color w:val="auto"/>
          <w:sz w:val="24"/>
          <w:szCs w:val="24"/>
        </w:rPr>
        <w:t>附件</w:t>
      </w:r>
      <w:r>
        <w:rPr>
          <w:rFonts w:hint="eastAsia" w:ascii="宋体" w:hAnsi="宋体" w:cs="仿宋_GB2312"/>
          <w:color w:val="auto"/>
          <w:sz w:val="24"/>
          <w:szCs w:val="24"/>
          <w:lang w:val="en-US" w:eastAsia="zh-CN"/>
        </w:rPr>
        <w:t>2</w:t>
      </w:r>
      <w:r>
        <w:rPr>
          <w:rFonts w:hint="eastAsia" w:ascii="宋体" w:hAnsi="宋体" w:cs="仿宋_GB2312"/>
          <w:color w:val="auto"/>
          <w:sz w:val="24"/>
          <w:szCs w:val="24"/>
        </w:rPr>
        <w:t>：安全生产责任书</w:t>
      </w:r>
    </w:p>
    <w:p w14:paraId="65395FE1">
      <w:pPr>
        <w:pStyle w:val="56"/>
        <w:spacing w:line="240" w:lineRule="auto"/>
        <w:ind w:firstLine="0" w:firstLineChars="0"/>
        <w:rPr>
          <w:rFonts w:cs="仿宋"/>
          <w:color w:val="auto"/>
          <w:sz w:val="21"/>
          <w:szCs w:val="21"/>
        </w:rPr>
        <w:sectPr>
          <w:footerReference r:id="rId4" w:type="default"/>
          <w:pgSz w:w="11905" w:h="16838"/>
          <w:pgMar w:top="1417" w:right="1417" w:bottom="1417" w:left="1417" w:header="964" w:footer="850" w:gutter="0"/>
          <w:pgNumType w:fmt="decimal" w:start="1"/>
          <w:cols w:space="0" w:num="1"/>
          <w:rtlGutter w:val="0"/>
          <w:docGrid w:type="lines" w:linePitch="318" w:charSpace="0"/>
        </w:sectPr>
      </w:pPr>
    </w:p>
    <w:p w14:paraId="3171CA71">
      <w:pPr>
        <w:rPr>
          <w:rFonts w:hint="eastAsia" w:ascii="宋体" w:hAnsi="宋体"/>
          <w:color w:val="auto"/>
          <w:szCs w:val="21"/>
        </w:rPr>
      </w:pPr>
    </w:p>
    <w:p w14:paraId="7AE83B04">
      <w:pPr>
        <w:rPr>
          <w:rFonts w:ascii="宋体" w:hAnsi="宋体"/>
          <w:color w:val="auto"/>
          <w:sz w:val="24"/>
          <w:szCs w:val="24"/>
        </w:rPr>
      </w:pPr>
      <w:r>
        <w:rPr>
          <w:rFonts w:hint="eastAsia" w:ascii="宋体" w:hAnsi="宋体"/>
          <w:color w:val="auto"/>
          <w:sz w:val="24"/>
          <w:szCs w:val="24"/>
        </w:rPr>
        <w:t>附</w:t>
      </w:r>
      <w:r>
        <w:rPr>
          <w:rFonts w:ascii="宋体" w:hAnsi="宋体"/>
          <w:color w:val="auto"/>
          <w:sz w:val="24"/>
          <w:szCs w:val="24"/>
        </w:rPr>
        <w:t>件</w:t>
      </w:r>
      <w:r>
        <w:rPr>
          <w:rFonts w:hint="eastAsia" w:ascii="宋体" w:hAnsi="宋体"/>
          <w:color w:val="auto"/>
          <w:sz w:val="24"/>
          <w:szCs w:val="24"/>
          <w:lang w:val="en-US" w:eastAsia="zh-CN"/>
        </w:rPr>
        <w:t>1</w:t>
      </w:r>
      <w:r>
        <w:rPr>
          <w:rFonts w:ascii="宋体" w:hAnsi="宋体"/>
          <w:color w:val="auto"/>
          <w:sz w:val="24"/>
          <w:szCs w:val="24"/>
        </w:rPr>
        <w:t>：</w:t>
      </w:r>
    </w:p>
    <w:p w14:paraId="2C75438E">
      <w:pPr>
        <w:jc w:val="center"/>
        <w:rPr>
          <w:rFonts w:ascii="宋体" w:hAnsi="宋体"/>
          <w:color w:val="auto"/>
          <w:sz w:val="24"/>
          <w:szCs w:val="24"/>
        </w:rPr>
      </w:pPr>
      <w:r>
        <w:rPr>
          <w:rFonts w:hint="eastAsia" w:ascii="宋体" w:hAnsi="宋体"/>
          <w:color w:val="auto"/>
          <w:sz w:val="24"/>
          <w:szCs w:val="24"/>
        </w:rPr>
        <w:t>工程建设项目廉政责任书</w:t>
      </w:r>
    </w:p>
    <w:p w14:paraId="5AC91D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工程项目名称：</w:t>
      </w:r>
    </w:p>
    <w:p w14:paraId="18919165">
      <w:pPr>
        <w:spacing w:line="360" w:lineRule="auto"/>
        <w:ind w:firstLine="480" w:firstLineChars="200"/>
        <w:rPr>
          <w:rFonts w:ascii="宋体" w:hAnsi="宋体" w:cs="仿宋_GB2312"/>
          <w:color w:val="auto"/>
          <w:sz w:val="24"/>
          <w:szCs w:val="24"/>
          <w:u w:val="single"/>
        </w:rPr>
      </w:pPr>
      <w:r>
        <w:rPr>
          <w:rFonts w:hint="eastAsia" w:ascii="宋体" w:hAnsi="宋体" w:cs="仿宋_GB2312"/>
          <w:color w:val="auto"/>
          <w:sz w:val="24"/>
          <w:szCs w:val="24"/>
        </w:rPr>
        <w:t>建设单位（甲方）：</w:t>
      </w:r>
    </w:p>
    <w:p w14:paraId="4263794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施工单位（乙方）：</w:t>
      </w:r>
    </w:p>
    <w:p w14:paraId="3822F29C">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0340CD3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第一条  甲乙双方的责任</w:t>
      </w:r>
    </w:p>
    <w:p w14:paraId="52136168">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（一）应严格遵守国家关于市场准入、项目招标投标、工程建设、施工安装和市场活动等有关法律、法规、相关政策、以及廉政建设的各项规定。</w:t>
      </w:r>
    </w:p>
    <w:p w14:paraId="055BA4C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（二）严格执行建设工程项目承发包合同文件，自觉按合同办事。</w:t>
      </w:r>
    </w:p>
    <w:p w14:paraId="5297878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（三）业务活动必须坚持公开、公平、公正、诚信、透明的原则（除法律法规另有规定者外），不得为获取不正当的利益，损害国家、集体和对方利益，不得违反工程建设管理、施工安装的规章制度。</w:t>
      </w:r>
    </w:p>
    <w:p w14:paraId="353C407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（四）发现对方在业务活动中有违规、违纪、违法行为的，应及时提醒对方，情节严重的，应向其上级主管部门或纪检监察、司法等有关机关举报。</w:t>
      </w:r>
    </w:p>
    <w:p w14:paraId="67F6BBB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甲方的责任</w:t>
      </w:r>
    </w:p>
    <w:p w14:paraId="65C47CB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甲方的领导和从事该建设工程项目的工作人员，在工程建设的事前、事中、事后应遵守以下规定：</w:t>
      </w:r>
    </w:p>
    <w:p w14:paraId="0917190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（一）不准向乙方和相关单位索要或接受回扣、礼金、有价证券、贵重物品和好处费、感谢费等。</w:t>
      </w:r>
    </w:p>
    <w:p w14:paraId="754AC2B2">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（二）不准在乙方和相关单位报销任何应由甲方或个人支付的费用。</w:t>
      </w:r>
    </w:p>
    <w:p w14:paraId="3057E5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（三）不准要求、暗示或接受乙方和相关单位为个人装修住房、婚丧嫁娶、配偶子女的工作安排以及出国（境）、旅游等提供方便。</w:t>
      </w:r>
    </w:p>
    <w:p w14:paraId="6BF5C4A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（四）不准参加有可能影响公正执行公务的乙方和相关单位的宴请和健身、娱乐等活动。</w:t>
      </w:r>
    </w:p>
    <w:p w14:paraId="7ABAB1F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（五）不准向乙方介绍或为配偶、子女、亲属参与同甲方</w:t>
      </w:r>
      <w:r>
        <w:rPr>
          <w:rFonts w:hint="eastAsia" w:ascii="宋体" w:hAnsi="宋体" w:cs="仿宋_GB2312"/>
          <w:color w:val="auto"/>
          <w:sz w:val="24"/>
          <w:szCs w:val="24"/>
          <w:lang w:eastAsia="zh-CN"/>
        </w:rPr>
        <w:t>项目工程</w:t>
      </w:r>
      <w:r>
        <w:rPr>
          <w:rFonts w:hint="eastAsia" w:ascii="宋体" w:hAnsi="宋体" w:cs="仿宋_GB2312"/>
          <w:color w:val="auto"/>
          <w:sz w:val="24"/>
          <w:szCs w:val="24"/>
        </w:rPr>
        <w:t>施工合同有关的设备、材料、工程分包、劳务等经济活动。不得任何理由要求乙方和相关单位推荐分包单位和要求乙方购买项目工程施工合同规定以外的材料、设备登记。</w:t>
      </w:r>
    </w:p>
    <w:p w14:paraId="35EA789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第三条  乙方的责任</w:t>
      </w:r>
    </w:p>
    <w:p w14:paraId="2A9B173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应与甲方保持正常的业务交往，按照有关法律法规和程序开展业务工作，严格执行工程建设的有关方针、政策，尤其是有关建筑施工安装的强制性标准和规范，并遵守以下规定：</w:t>
      </w:r>
    </w:p>
    <w:p w14:paraId="53A2FDC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（一）不准以任何理由向甲方、相关单位及其工作人员索要、接受或赠送礼金、有价证券、贵重物品及回扣、好处费、感谢费等。</w:t>
      </w:r>
    </w:p>
    <w:p w14:paraId="3778074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（二）不准以任何理由为甲方和相关单位报销应由对方或个人支付的费用。</w:t>
      </w:r>
    </w:p>
    <w:p w14:paraId="7FBD7E2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（三）不准接受或暗示为甲方、相关单位或个人装修住房、婚丧嫁娶、配偶子女的工作安排以及出国（境）、旅游等提供方便。</w:t>
      </w:r>
    </w:p>
    <w:p w14:paraId="69337CA9">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（四）不准以任何理由为甲方、相关单位或个人组织有可能影响公正执行公务的宴请、健身、娱乐等活动。</w:t>
      </w:r>
    </w:p>
    <w:p w14:paraId="4543C3C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第四条  违约责任</w:t>
      </w:r>
    </w:p>
    <w:p w14:paraId="3D8D59F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2A3AF75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乙方工作人员有违反责任书第一、三条责任行为的，按照管理权限，依据有关法律法规和规定给予党纪、政纪处分或组织处理；涉嫌犯罪的，移交司法机关追究刑事责任；给甲方单位造成经济损失的，应予以赔偿。</w:t>
      </w:r>
    </w:p>
    <w:p w14:paraId="2D0D37CF">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第五条  本责任书作为工程建设施工合同的附件，与工程建设施工合同具有同等法律效力。经双方签署后立即生效。</w:t>
      </w:r>
    </w:p>
    <w:p w14:paraId="79945D4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第六条  本责任书的有效期为双方签署之日起至该工程项目竣工验收合格时止。</w:t>
      </w:r>
    </w:p>
    <w:p w14:paraId="6C5764E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第七条  本责任书一式拾贰份，由甲方执陆份，乙方执陆份，送交甲乙双方的监督单位各一份。</w:t>
      </w:r>
    </w:p>
    <w:p w14:paraId="59D6E24A">
      <w:pPr>
        <w:spacing w:line="360" w:lineRule="auto"/>
        <w:rPr>
          <w:rFonts w:ascii="宋体" w:hAnsi="宋体" w:cs="仿宋_GB2312"/>
          <w:color w:val="auto"/>
          <w:sz w:val="24"/>
          <w:szCs w:val="24"/>
        </w:rPr>
      </w:pPr>
      <w:r>
        <w:rPr>
          <w:rFonts w:hint="eastAsia" w:ascii="宋体" w:hAnsi="宋体" w:cs="仿宋_GB2312"/>
          <w:color w:val="auto"/>
          <w:sz w:val="24"/>
          <w:szCs w:val="24"/>
        </w:rPr>
        <w:t>甲方单位：（盖章）           乙方单位：（盖章）</w:t>
      </w:r>
    </w:p>
    <w:p w14:paraId="51B7A1D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法定代表人：                 法定代表人： </w:t>
      </w:r>
    </w:p>
    <w:p w14:paraId="5975893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地址：                       地址： </w:t>
      </w:r>
    </w:p>
    <w:p w14:paraId="07588633">
      <w:pPr>
        <w:spacing w:line="360" w:lineRule="auto"/>
        <w:rPr>
          <w:rFonts w:hint="eastAsia" w:ascii="宋体" w:hAnsi="宋体" w:cs="仿宋_GB2312"/>
          <w:color w:val="auto"/>
          <w:sz w:val="24"/>
          <w:szCs w:val="24"/>
        </w:rPr>
      </w:pPr>
      <w:r>
        <w:rPr>
          <w:rFonts w:hint="eastAsia" w:ascii="宋体" w:hAnsi="宋体" w:cs="仿宋_GB2312"/>
          <w:color w:val="auto"/>
          <w:sz w:val="24"/>
          <w:szCs w:val="24"/>
        </w:rPr>
        <w:t xml:space="preserve">电话：                       电话：  </w:t>
      </w:r>
    </w:p>
    <w:p w14:paraId="3F930C1F">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 年   月   日                年   月   日</w:t>
      </w:r>
    </w:p>
    <w:p w14:paraId="1F8C4A65">
      <w:pPr>
        <w:spacing w:line="360" w:lineRule="auto"/>
        <w:rPr>
          <w:rFonts w:ascii="宋体" w:hAnsi="宋体" w:cs="仿宋_GB2312"/>
          <w:color w:val="auto"/>
          <w:sz w:val="24"/>
          <w:szCs w:val="24"/>
        </w:rPr>
      </w:pPr>
      <w:r>
        <w:rPr>
          <w:rFonts w:ascii="宋体" w:hAnsi="宋体"/>
          <w:color w:val="auto"/>
          <w:sz w:val="24"/>
          <w:szCs w:val="24"/>
        </w:rPr>
        <w:br w:type="page"/>
      </w:r>
    </w:p>
    <w:p w14:paraId="6DCB31BC">
      <w:pPr>
        <w:rPr>
          <w:rFonts w:ascii="宋体" w:hAnsi="宋体" w:cs="仿宋"/>
          <w:b/>
          <w:color w:val="auto"/>
          <w:sz w:val="24"/>
          <w:szCs w:val="24"/>
        </w:rPr>
      </w:pPr>
      <w:r>
        <w:rPr>
          <w:rFonts w:hint="eastAsia" w:ascii="宋体" w:hAnsi="宋体" w:cs="仿宋"/>
          <w:b/>
          <w:color w:val="auto"/>
          <w:sz w:val="24"/>
          <w:szCs w:val="24"/>
        </w:rPr>
        <w:t>附件</w:t>
      </w:r>
      <w:r>
        <w:rPr>
          <w:rFonts w:hint="eastAsia" w:ascii="宋体" w:hAnsi="宋体" w:cs="仿宋"/>
          <w:b/>
          <w:color w:val="auto"/>
          <w:sz w:val="24"/>
          <w:szCs w:val="24"/>
          <w:lang w:val="en-US" w:eastAsia="zh-CN"/>
        </w:rPr>
        <w:t>2</w:t>
      </w:r>
      <w:r>
        <w:rPr>
          <w:rFonts w:hint="eastAsia" w:ascii="宋体" w:hAnsi="宋体" w:cs="仿宋"/>
          <w:b/>
          <w:color w:val="auto"/>
          <w:sz w:val="24"/>
          <w:szCs w:val="24"/>
        </w:rPr>
        <w:t>：</w:t>
      </w:r>
    </w:p>
    <w:p w14:paraId="1F9F1A4F">
      <w:pPr>
        <w:jc w:val="center"/>
        <w:rPr>
          <w:color w:val="auto"/>
          <w:sz w:val="24"/>
          <w:szCs w:val="24"/>
        </w:rPr>
      </w:pPr>
      <w:r>
        <w:rPr>
          <w:rFonts w:hint="eastAsia" w:ascii="宋体" w:hAnsi="宋体" w:cs="仿宋"/>
          <w:b/>
          <w:color w:val="auto"/>
          <w:sz w:val="24"/>
          <w:szCs w:val="24"/>
        </w:rPr>
        <w:t>安全生产责任书</w:t>
      </w:r>
    </w:p>
    <w:p w14:paraId="478BC574">
      <w:pPr>
        <w:spacing w:line="360" w:lineRule="auto"/>
        <w:ind w:firstLine="480" w:firstLineChars="200"/>
        <w:rPr>
          <w:rFonts w:hint="eastAsia" w:ascii="宋体" w:hAnsi="宋体" w:cs="仿宋"/>
          <w:color w:val="auto"/>
          <w:sz w:val="24"/>
          <w:szCs w:val="24"/>
        </w:rPr>
      </w:pPr>
    </w:p>
    <w:p w14:paraId="4239FA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为认真贯彻落实“安全第一、预防为主、综合治理”的安全生产管理方针,按照“谁生产，谁负责”，“谁在岗，谁负责”的原则，将安全生产、消防工作落实到施工现场管理者，确实做到安全工作人人有责，严格执行有关安全生产的法律、法规、标准、规范，建立安全生产长效监督管理机制，杜绝相关安全事故的发生，确保安全生产和文明施工，保证本工程顺利完成，特签订工程《安全生产责任书》（以下简称《责任书》）：</w:t>
      </w:r>
    </w:p>
    <w:p w14:paraId="70A24A59">
      <w:pPr>
        <w:pStyle w:val="86"/>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一、工程概况：</w:t>
      </w:r>
    </w:p>
    <w:p w14:paraId="01439ADF">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1、工程名称：</w:t>
      </w:r>
      <w:r>
        <w:rPr>
          <w:rFonts w:hint="eastAsia" w:ascii="仿宋" w:hAnsi="仿宋" w:cs="仿宋"/>
          <w:color w:val="auto"/>
          <w:sz w:val="24"/>
          <w:szCs w:val="24"/>
          <w:highlight w:val="none"/>
          <w:lang w:val="en-US" w:eastAsia="zh-CN"/>
        </w:rPr>
        <w:t>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lang w:val="zh-CN"/>
        </w:rPr>
        <w:t>项目</w:t>
      </w:r>
      <w:r>
        <w:rPr>
          <w:rFonts w:hint="eastAsia" w:ascii="仿宋" w:hAnsi="仿宋" w:cs="仿宋"/>
          <w:color w:val="auto"/>
          <w:sz w:val="24"/>
          <w:szCs w:val="24"/>
          <w:highlight w:val="none"/>
          <w:lang w:val="en-US" w:eastAsia="zh-CN"/>
        </w:rPr>
        <w:t>电梯</w:t>
      </w:r>
      <w:r>
        <w:rPr>
          <w:rFonts w:hint="eastAsia" w:ascii="仿宋" w:hAnsi="仿宋" w:eastAsia="仿宋" w:cs="仿宋"/>
          <w:color w:val="auto"/>
          <w:sz w:val="24"/>
          <w:szCs w:val="24"/>
          <w:highlight w:val="none"/>
          <w:lang w:val="zh-CN"/>
        </w:rPr>
        <w:t>工程</w:t>
      </w:r>
      <w:r>
        <w:rPr>
          <w:rFonts w:hint="eastAsia" w:ascii="仿宋" w:hAnsi="仿宋" w:cs="仿宋"/>
          <w:color w:val="auto"/>
          <w:sz w:val="24"/>
          <w:szCs w:val="24"/>
          <w:highlight w:val="none"/>
          <w:lang w:val="zh-CN"/>
        </w:rPr>
        <w:t>（</w:t>
      </w:r>
      <w:r>
        <w:rPr>
          <w:rFonts w:hint="eastAsia" w:ascii="仿宋" w:hAnsi="仿宋" w:cs="仿宋"/>
          <w:color w:val="auto"/>
          <w:sz w:val="24"/>
          <w:szCs w:val="24"/>
          <w:highlight w:val="none"/>
          <w:lang w:val="en-US" w:eastAsia="zh-CN"/>
        </w:rPr>
        <w:t>一期）</w:t>
      </w:r>
    </w:p>
    <w:p w14:paraId="55FB505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2、工程范围：</w:t>
      </w:r>
      <w:r>
        <w:rPr>
          <w:rFonts w:hint="eastAsia" w:ascii="仿宋" w:hAnsi="仿宋" w:cs="仿宋"/>
          <w:color w:val="auto"/>
          <w:sz w:val="24"/>
          <w:szCs w:val="24"/>
          <w:highlight w:val="none"/>
          <w:lang w:val="en-US" w:eastAsia="zh-CN"/>
        </w:rPr>
        <w:t>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lang w:val="zh-CN"/>
        </w:rPr>
        <w:t>项目</w:t>
      </w:r>
      <w:r>
        <w:rPr>
          <w:rFonts w:hint="eastAsia" w:ascii="仿宋" w:hAnsi="仿宋" w:cs="仿宋"/>
          <w:color w:val="auto"/>
          <w:sz w:val="24"/>
          <w:szCs w:val="24"/>
          <w:highlight w:val="none"/>
          <w:lang w:val="en-US" w:eastAsia="zh-CN"/>
        </w:rPr>
        <w:t>电梯</w:t>
      </w:r>
      <w:r>
        <w:rPr>
          <w:rFonts w:hint="eastAsia" w:ascii="仿宋" w:hAnsi="仿宋" w:eastAsia="仿宋" w:cs="仿宋"/>
          <w:color w:val="auto"/>
          <w:sz w:val="24"/>
          <w:szCs w:val="24"/>
          <w:highlight w:val="none"/>
          <w:lang w:val="zh-CN"/>
        </w:rPr>
        <w:t>工程</w:t>
      </w:r>
      <w:r>
        <w:rPr>
          <w:rFonts w:hint="eastAsia" w:ascii="仿宋" w:hAnsi="仿宋" w:eastAsia="仿宋" w:cs="仿宋"/>
          <w:color w:val="auto"/>
          <w:sz w:val="24"/>
          <w:szCs w:val="24"/>
          <w:highlight w:val="none"/>
        </w:rPr>
        <w:t>《施工合同》约定的全部内容。</w:t>
      </w:r>
    </w:p>
    <w:p w14:paraId="356545B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3、工程地点：菏泽牡丹区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rPr>
        <w:t>项目的施工现场</w:t>
      </w:r>
    </w:p>
    <w:p w14:paraId="41D892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二、承包人的法人是安全生产、消防安全第一责任人，应自觉遵守相关法律、法规和各级政府部门所制定的安全规章制度，确保施工现场不发生工伤、火灾等安全事故，保障广大人民群众生命和财产的安全。</w:t>
      </w:r>
    </w:p>
    <w:p w14:paraId="54A5EAF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三、责任目标</w:t>
      </w:r>
    </w:p>
    <w:p w14:paraId="19DF45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1、安全生产可防可控，负伤频率控制在2‰以内，避免火灾及中毒等安全生产事故发生，不发生一般及以上安全生产事故。</w:t>
      </w:r>
    </w:p>
    <w:p w14:paraId="42C90F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确保施工现场扬尘治理达到“7个100%”，即施工现场100%围挡、工地裸土100%覆盖、主要道路100%硬化、拆除工程100%洒水、出场区运输车辆100%冲净车轮车身且密闭无渗漏、暂不开发场地100%绿化、外墙脚手架密闭式安全网100%安装。</w:t>
      </w:r>
    </w:p>
    <w:p w14:paraId="71C71C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3、制订安全生产事故应急救援预案并组织演练。</w:t>
      </w:r>
    </w:p>
    <w:p w14:paraId="4BF462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4、施工现场严格按照《山东省建筑工程安全施工标准图集》及扬尘治理相关内容组织施工，达到安全文明合格工地要求。</w:t>
      </w:r>
    </w:p>
    <w:p w14:paraId="4ABBF79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四、施工准备阶段的安全生产工作</w:t>
      </w:r>
    </w:p>
    <w:p w14:paraId="690F8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根据《中华人民共和国安全生产法》、《建设工程安全生产管理条例》及相关规定，按照工程建设强制性标准结合工程施工特点，编制施工组织设计（方案）、专项工程施工方案和安全生产保证措施，报监理单位、建设单位审查；按规定应当组织专家审查的危险性较大专项工程施工方案，必须经专家审查论证。</w:t>
      </w:r>
    </w:p>
    <w:p w14:paraId="44AF421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2、施工单位要制定和建立安全生产责任制度、安全生产保证体系，配备具有职业资格的施工现场技术负责人、专职安全员、施工员等，并报监理单位、建设单位审查备案。</w:t>
      </w:r>
    </w:p>
    <w:p w14:paraId="78897A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3、施工单位要编制施工安全生产事故应急救援预案及救援器材、设备、人员组织计划，报监理单位、建设单位审查备案。</w:t>
      </w:r>
    </w:p>
    <w:p w14:paraId="0BC7A7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4、施工单位要制定项目安全生产、文明施工措施费使用计划和相关保证措施，以及施工安全防护用具、用品的配备计划，并报监理单位、建设单位审查备案。</w:t>
      </w:r>
    </w:p>
    <w:p w14:paraId="6404B1B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5、施工单位编制的施工总平面布置图必须符合安全生产的要求，经监理单位、建设单位审查后实施：</w:t>
      </w:r>
    </w:p>
    <w:p w14:paraId="592B9D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（1）施工现场办公、宿舍、食堂、道路等临时设施设置以及排水、防火措施必须符合强制性标准要求；</w:t>
      </w:r>
    </w:p>
    <w:p w14:paraId="2761D5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（2）施工现场道路、场地必须硬化；施工现场必须围栏封闭作业；</w:t>
      </w:r>
    </w:p>
    <w:p w14:paraId="4CA115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（3）施工现场出入口处必须配备车辆冲洗设施。</w:t>
      </w:r>
    </w:p>
    <w:p w14:paraId="1480497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6、监理单位要建立安全监理制度及运行机制，按要求配齐配全资质和能力满足岗位要求的安全监理工程师，负责现场安全工作的控制和监督。</w:t>
      </w:r>
    </w:p>
    <w:p w14:paraId="5676FDB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五、施工实施阶段的安全生产工作</w:t>
      </w:r>
    </w:p>
    <w:p w14:paraId="2E69C3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严格按照经监理单位审查认可的施工组织设计（方案）、专项工程施工方案和安全生产保证措施组织施工；施工现场要严格按照《山东省建筑工程安全施工标准图集》及扬尘治理相关内容组织施工，落实安全生产、文明施工措施费的使用计划，单设安全文明措施费台账，确保安全生产措施有效投入，对达不到要求的根据现场实际施工内容据实计量，建设单位、监理单位做好确认。</w:t>
      </w:r>
    </w:p>
    <w:p w14:paraId="3787DA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所有进入施工现场的作业人员，必须经过安全生产教育培训，未经教育培训或者教育培训考核不合格的人员，不得上岗作业；开工前，施工单位负责项目管理的技术人员应当对有关安全施工的技术要求向施工作业班组、作业人员作出详细说明，并由双方签字确认；工程所采用的新技术、新工艺、新设备、新材料，应当对作业人员进行相应的安全生产教育培训；“三类人员”及特种作业人员持证上岗并人证相符。对施工现场从事危险作业的人员必须办理意外伤害保险；不得在尚未竣工的建筑物内设置员工集体宿舍。</w:t>
      </w:r>
    </w:p>
    <w:p w14:paraId="1E5DD53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对进入施工现场的安全防护用具、用品、机械设备、施工机具及配件等，必须核查其生产、检验（测）等相应证书，无生产、检验（测）等相应证书的不得使用，并做好日常检查、维修和保养以及相应资料归档工作；在使用施工起重机械和整体提升脚手架、模板等自升式架设设施前，应当依法组织进行验收，验收合格后方可使用。</w:t>
      </w:r>
    </w:p>
    <w:p w14:paraId="495FBD1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施工现场入口处、施工起重机械、临时用电设施、脚手架、出入通道口、楼梯口、电梯井口、孔洞口、桥梁口、隧道口、基坑边沿、爆破物以及有害危险气体和液体存放处等危险部位，必须设置明显的安全警示标志。</w:t>
      </w:r>
    </w:p>
    <w:p w14:paraId="2C0FE08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5、根据不同施工阶段和周围环境及季节、气候的变化，施工现场必须采取相应的安全施工措施。</w:t>
      </w:r>
    </w:p>
    <w:p w14:paraId="54021D4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需要实施分包的分部工程和劳务作业，施工单位必须分包给具有相应资质、安全条件的专业承包企业和劳务分包企业，在签订分包合同中应当明确各自的安全生产方面的权利、义务，并进行施工安全生产交底。</w:t>
      </w:r>
    </w:p>
    <w:p w14:paraId="6A20779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监理单位要按规定召开安全生产例会；组织开展安全生产检查，发现安全事故隐患应及时要求施工单位进行整改或要求暂时停止施工，对施工单位拒不整改或者不停止施工的，及时报告建设单位项目负责人；对施工现场的安全文明施工措施费使用进行有效的监督。</w:t>
      </w:r>
    </w:p>
    <w:p w14:paraId="07A6D05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六、施工安全要求</w:t>
      </w:r>
    </w:p>
    <w:p w14:paraId="559A57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1、施工单位编制的施工组织设计（方案）、专项工程施工方案和安全生产保证措施，必须经企业技术负责人(总工程师)签字后，报工程监理单位审查，未经审查或审查未通过的方案措施，不得组织实施。</w:t>
      </w:r>
    </w:p>
    <w:p w14:paraId="3F2981E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在施工阶段，施工单位每月至少一次对施工现场的安全生产、文明施工进行综合检查，节假日或季节气候变化时节，应当组织专项检查；专职安全员每天必须对施工现场进行监督检查，对危险源进行重点监控，并做好记录。</w:t>
      </w:r>
    </w:p>
    <w:p w14:paraId="2185EE9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上级监督部门、建设单位、监理单位对施工现场安全生产、文明施工检查中所签发的整改通知书、停工通知书等，施工单位必须无条件地进行整改或停工整改，彻底消除安全事故隐患，并将整改情况书面报监理单位。</w:t>
      </w:r>
    </w:p>
    <w:p w14:paraId="43EC8D7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4、发生安全生产事故后施工单位、监理单位必须立即上报建设单位，不得迟报、瞒报；杜绝因安全生产事故处理不当而影响建设单位形象的现象发生。</w:t>
      </w:r>
    </w:p>
    <w:p w14:paraId="522C2E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5、未履行施工安全职责，监理单位、施工单位除承担《中华人民共和国安全生产法》《建设工程安全生产管理条例》规定的法律责任外，还将依据合同约定及建设单位相关工程管理制度予以处罚。</w:t>
      </w:r>
    </w:p>
    <w:p w14:paraId="6D0FBD06">
      <w:pPr>
        <w:pStyle w:val="86"/>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七、本合同自双方盖章之日起生效，承包施工结束后自行失效。</w:t>
      </w:r>
    </w:p>
    <w:p w14:paraId="1B6ACE8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八、本《责任书》作为施工合同的附属条款，与合同具有同等法律效力。本《责任书》</w:t>
      </w:r>
      <w:r>
        <w:rPr>
          <w:rFonts w:hint="eastAsia" w:ascii="仿宋" w:hAnsi="仿宋" w:eastAsia="仿宋" w:cs="仿宋"/>
          <w:color w:val="auto"/>
          <w:sz w:val="24"/>
          <w:szCs w:val="24"/>
          <w:lang w:eastAsia="zh-CN"/>
        </w:rPr>
        <w:t>一式两份</w:t>
      </w:r>
      <w:r>
        <w:rPr>
          <w:rFonts w:hint="eastAsia" w:ascii="仿宋" w:hAnsi="仿宋" w:eastAsia="仿宋" w:cs="仿宋"/>
          <w:color w:val="auto"/>
          <w:sz w:val="24"/>
          <w:szCs w:val="24"/>
        </w:rPr>
        <w:t>，签订双方各执一份，本《责任书》签字之日起生效。</w:t>
      </w:r>
    </w:p>
    <w:p w14:paraId="0D690172">
      <w:pPr>
        <w:pStyle w:val="56"/>
        <w:ind w:firstLine="420"/>
        <w:rPr>
          <w:rFonts w:hint="eastAsia" w:ascii="仿宋" w:hAnsi="仿宋" w:eastAsia="仿宋" w:cs="仿宋"/>
          <w:bCs/>
          <w:color w:val="auto"/>
          <w:sz w:val="24"/>
          <w:szCs w:val="24"/>
        </w:rPr>
      </w:pPr>
    </w:p>
    <w:p w14:paraId="127778F9">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建设单位     （公章）：</w:t>
      </w:r>
    </w:p>
    <w:p w14:paraId="48BEA251">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333C6C90">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授权委托人   （签字）：</w:t>
      </w:r>
    </w:p>
    <w:p w14:paraId="43019DBC">
      <w:pPr>
        <w:pStyle w:val="56"/>
        <w:ind w:firstLine="420"/>
        <w:rPr>
          <w:rFonts w:hint="eastAsia" w:ascii="仿宋" w:hAnsi="仿宋" w:eastAsia="仿宋" w:cs="仿宋"/>
          <w:bCs/>
          <w:color w:val="auto"/>
          <w:sz w:val="24"/>
          <w:szCs w:val="24"/>
        </w:rPr>
      </w:pPr>
    </w:p>
    <w:p w14:paraId="3B1A747C">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施工单位     （公章）：</w:t>
      </w:r>
    </w:p>
    <w:p w14:paraId="48A3D1D6">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286F2F03">
      <w:pPr>
        <w:pStyle w:val="56"/>
        <w:ind w:firstLine="420"/>
        <w:rPr>
          <w:rFonts w:hint="eastAsia" w:ascii="仿宋" w:hAnsi="仿宋" w:eastAsia="仿宋" w:cs="仿宋"/>
          <w:color w:val="auto"/>
        </w:rPr>
      </w:pPr>
      <w:r>
        <w:rPr>
          <w:rFonts w:hint="eastAsia" w:ascii="仿宋" w:hAnsi="仿宋" w:eastAsia="仿宋" w:cs="仿宋"/>
          <w:bCs/>
          <w:color w:val="auto"/>
          <w:sz w:val="24"/>
          <w:szCs w:val="24"/>
        </w:rPr>
        <w:t xml:space="preserve">授权委托人   （签字）：                        </w:t>
      </w:r>
      <w:r>
        <w:rPr>
          <w:rFonts w:hint="eastAsia" w:ascii="仿宋" w:hAnsi="仿宋" w:eastAsia="仿宋" w:cs="仿宋"/>
          <w:color w:val="auto"/>
          <w:sz w:val="24"/>
          <w:szCs w:val="24"/>
        </w:rPr>
        <w:t xml:space="preserve">  </w:t>
      </w:r>
      <w:bookmarkStart w:id="223" w:name="_Toc29288"/>
      <w:r>
        <w:rPr>
          <w:rFonts w:hint="eastAsia" w:ascii="仿宋" w:hAnsi="仿宋" w:eastAsia="仿宋" w:cs="仿宋"/>
          <w:color w:val="auto"/>
          <w:sz w:val="24"/>
          <w:szCs w:val="24"/>
        </w:rPr>
        <w:t>年    月    日</w:t>
      </w:r>
      <w:bookmarkEnd w:id="223"/>
    </w:p>
    <w:p w14:paraId="48522421">
      <w:pPr>
        <w:pStyle w:val="54"/>
        <w:rPr>
          <w:color w:val="auto"/>
        </w:rPr>
      </w:pPr>
    </w:p>
    <w:p w14:paraId="4AB3D652">
      <w:pPr>
        <w:spacing w:line="360" w:lineRule="auto"/>
        <w:jc w:val="left"/>
        <w:rPr>
          <w:rFonts w:hint="eastAsia" w:ascii="宋体" w:hAnsi="宋体" w:cs="仿宋_GB2312"/>
          <w:b/>
          <w:color w:val="auto"/>
          <w:szCs w:val="21"/>
        </w:rPr>
      </w:pPr>
    </w:p>
    <w:p w14:paraId="1FF41217">
      <w:pPr>
        <w:spacing w:line="360" w:lineRule="auto"/>
        <w:jc w:val="left"/>
        <w:rPr>
          <w:rFonts w:hint="eastAsia" w:ascii="宋体" w:hAnsi="宋体" w:cs="仿宋_GB2312"/>
          <w:b/>
          <w:color w:val="auto"/>
          <w:szCs w:val="21"/>
        </w:rPr>
      </w:pPr>
    </w:p>
    <w:p w14:paraId="5FEE3EDA">
      <w:pPr>
        <w:spacing w:line="360" w:lineRule="auto"/>
        <w:jc w:val="left"/>
        <w:rPr>
          <w:rFonts w:hint="eastAsia" w:ascii="宋体" w:hAnsi="宋体" w:cs="仿宋_GB2312"/>
          <w:b/>
          <w:color w:val="auto"/>
          <w:szCs w:val="21"/>
        </w:rPr>
      </w:pPr>
    </w:p>
    <w:p w14:paraId="21FBEF9E">
      <w:pPr>
        <w:pStyle w:val="54"/>
        <w:rPr>
          <w:color w:val="auto"/>
        </w:rPr>
      </w:pPr>
    </w:p>
    <w:p w14:paraId="6C6357ED">
      <w:pPr>
        <w:pStyle w:val="54"/>
        <w:rPr>
          <w:color w:val="auto"/>
        </w:rPr>
      </w:pPr>
    </w:p>
    <w:p w14:paraId="691B299D">
      <w:pPr>
        <w:pStyle w:val="2"/>
        <w:rPr>
          <w:rFonts w:hint="eastAsia"/>
          <w:color w:val="auto"/>
        </w:rPr>
      </w:pPr>
      <w:bookmarkStart w:id="224" w:name="_Toc28409"/>
    </w:p>
    <w:p w14:paraId="323A6E90">
      <w:pPr>
        <w:rPr>
          <w:rFonts w:hint="eastAsia"/>
          <w:color w:val="auto"/>
        </w:rPr>
      </w:pPr>
    </w:p>
    <w:p w14:paraId="624C455E">
      <w:pPr>
        <w:pStyle w:val="3"/>
        <w:rPr>
          <w:rFonts w:hint="eastAsia"/>
          <w:color w:val="auto"/>
        </w:rPr>
      </w:pPr>
    </w:p>
    <w:p w14:paraId="5ECECA9F">
      <w:pPr>
        <w:rPr>
          <w:rFonts w:hint="eastAsia"/>
          <w:color w:val="auto"/>
        </w:rPr>
      </w:pPr>
    </w:p>
    <w:p w14:paraId="3B473CDA">
      <w:pPr>
        <w:pStyle w:val="2"/>
        <w:rPr>
          <w:rFonts w:hint="eastAsia"/>
          <w:color w:val="auto"/>
        </w:rPr>
      </w:pPr>
    </w:p>
    <w:p w14:paraId="075AB1AC">
      <w:pPr>
        <w:pStyle w:val="2"/>
        <w:ind w:left="0" w:leftChars="0" w:firstLine="0" w:firstLineChars="0"/>
        <w:rPr>
          <w:rFonts w:hint="eastAsia"/>
          <w:color w:val="auto"/>
        </w:rPr>
      </w:pPr>
    </w:p>
    <w:p w14:paraId="560F7379">
      <w:pPr>
        <w:rPr>
          <w:rFonts w:hint="eastAsia"/>
          <w:color w:val="auto"/>
        </w:rPr>
      </w:pPr>
    </w:p>
    <w:p w14:paraId="0D21BDE7">
      <w:pPr>
        <w:rPr>
          <w:rFonts w:hint="eastAsia"/>
          <w:color w:val="auto"/>
        </w:rPr>
      </w:pPr>
    </w:p>
    <w:p w14:paraId="72BF7623">
      <w:pPr>
        <w:pStyle w:val="2"/>
        <w:bidi w:val="0"/>
        <w:rPr>
          <w:rFonts w:hint="eastAsia" w:eastAsia="仿宋"/>
          <w:color w:val="auto"/>
          <w:lang w:val="en-US" w:eastAsia="zh-CN"/>
        </w:rPr>
      </w:pPr>
      <w:r>
        <w:rPr>
          <w:rFonts w:hint="eastAsia"/>
          <w:color w:val="auto"/>
        </w:rPr>
        <w:t>第六章工程量清单</w:t>
      </w:r>
      <w:bookmarkEnd w:id="224"/>
      <w:r>
        <w:rPr>
          <w:rFonts w:hint="eastAsia"/>
          <w:color w:val="auto"/>
          <w:lang w:val="en-US" w:eastAsia="zh-CN"/>
        </w:rPr>
        <w:t>及图纸</w:t>
      </w:r>
    </w:p>
    <w:p w14:paraId="744954F0">
      <w:pPr>
        <w:spacing w:before="104" w:line="185" w:lineRule="auto"/>
        <w:jc w:val="center"/>
        <w:outlineLvl w:val="0"/>
        <w:rPr>
          <w:rFonts w:ascii="宋体" w:hAnsi="宋体" w:cs="宋体"/>
          <w:color w:val="auto"/>
          <w:spacing w:val="-10"/>
          <w:sz w:val="32"/>
          <w:szCs w:val="32"/>
        </w:rPr>
      </w:pPr>
      <w:bookmarkStart w:id="225" w:name="_Toc6754"/>
      <w:bookmarkStart w:id="226" w:name="_Toc157669087"/>
      <w:bookmarkStart w:id="227" w:name="_Toc12094"/>
      <w:r>
        <w:rPr>
          <w:rFonts w:ascii="宋体" w:hAnsi="宋体" w:cs="宋体"/>
          <w:color w:val="auto"/>
          <w:spacing w:val="-10"/>
          <w:sz w:val="32"/>
          <w:szCs w:val="32"/>
        </w:rPr>
        <w:t>另附</w:t>
      </w:r>
      <w:bookmarkEnd w:id="225"/>
      <w:bookmarkEnd w:id="226"/>
      <w:bookmarkEnd w:id="227"/>
    </w:p>
    <w:p w14:paraId="7F760008">
      <w:pPr>
        <w:pStyle w:val="33"/>
        <w:rPr>
          <w:color w:val="auto"/>
        </w:rPr>
      </w:pPr>
    </w:p>
    <w:p w14:paraId="416620CB">
      <w:pPr>
        <w:pStyle w:val="3"/>
        <w:jc w:val="center"/>
        <w:rPr>
          <w:color w:val="auto"/>
        </w:rPr>
        <w:sectPr>
          <w:footerReference r:id="rId5" w:type="default"/>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bookmarkEnd w:id="209"/>
    <w:bookmarkEnd w:id="210"/>
    <w:bookmarkEnd w:id="211"/>
    <w:bookmarkEnd w:id="212"/>
    <w:bookmarkEnd w:id="222"/>
    <w:p w14:paraId="4464921B">
      <w:pPr>
        <w:pStyle w:val="3"/>
        <w:jc w:val="center"/>
        <w:rPr>
          <w:rFonts w:hint="eastAsia" w:ascii="Times New Roman" w:hAnsi="Times New Roman" w:eastAsia="仿宋" w:cs="Times New Roman"/>
          <w:b/>
          <w:color w:val="auto"/>
          <w:kern w:val="44"/>
          <w:sz w:val="44"/>
          <w:szCs w:val="20"/>
          <w:lang w:val="en-US" w:eastAsia="zh-CN" w:bidi="ar-SA"/>
        </w:rPr>
      </w:pPr>
      <w:bookmarkStart w:id="228" w:name="_Toc534190150"/>
      <w:r>
        <w:rPr>
          <w:rFonts w:hint="eastAsia" w:ascii="Times New Roman" w:hAnsi="Times New Roman" w:eastAsia="仿宋" w:cs="Times New Roman"/>
          <w:b/>
          <w:color w:val="auto"/>
          <w:kern w:val="44"/>
          <w:sz w:val="44"/>
          <w:szCs w:val="20"/>
          <w:lang w:val="en-US" w:eastAsia="zh-CN" w:bidi="ar-SA"/>
        </w:rPr>
        <w:t>第七章 技术标准和要求</w:t>
      </w:r>
    </w:p>
    <w:p w14:paraId="231AB210">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相关国家标准与规范：本工程项目的材料、设备、施工须达到现行中华人民共和国现行各建设标准、规范的要求</w:t>
      </w:r>
      <w:r>
        <w:rPr>
          <w:rFonts w:hint="eastAsia" w:ascii="仿宋" w:hAnsi="仿宋" w:cs="仿宋"/>
          <w:color w:val="auto"/>
          <w:sz w:val="24"/>
          <w:szCs w:val="24"/>
          <w:highlight w:val="none"/>
          <w:shd w:val="clear" w:color="auto" w:fill="auto"/>
          <w:lang w:val="en-US" w:eastAsia="zh-CN"/>
        </w:rPr>
        <w:t>。</w:t>
      </w:r>
    </w:p>
    <w:p w14:paraId="4A3FAF4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jc w:val="left"/>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技术性能指标要求</w:t>
      </w:r>
    </w:p>
    <w:tbl>
      <w:tblPr>
        <w:tblStyle w:val="37"/>
        <w:tblW w:w="10417" w:type="dxa"/>
        <w:tblInd w:w="-5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7"/>
        <w:gridCol w:w="650"/>
        <w:gridCol w:w="683"/>
        <w:gridCol w:w="950"/>
        <w:gridCol w:w="867"/>
        <w:gridCol w:w="783"/>
        <w:gridCol w:w="884"/>
        <w:gridCol w:w="917"/>
        <w:gridCol w:w="766"/>
        <w:gridCol w:w="783"/>
        <w:gridCol w:w="834"/>
        <w:gridCol w:w="1183"/>
        <w:gridCol w:w="550"/>
      </w:tblGrid>
      <w:tr w14:paraId="1EC9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42D1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6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B9921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楼号</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E778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数量（部）</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F860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功能</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01F6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载重（kg)</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716E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速度(m/s）</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C82BB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井道尺寸</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4A1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地上站数（站）</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A8D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地下站数（站数）</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0B5A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标准层层高（米）</w:t>
            </w:r>
          </w:p>
        </w:tc>
        <w:tc>
          <w:tcPr>
            <w:tcW w:w="8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4EE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机房高度（米）</w:t>
            </w:r>
          </w:p>
        </w:tc>
        <w:tc>
          <w:tcPr>
            <w:tcW w:w="11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E94D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技术要求</w:t>
            </w:r>
          </w:p>
        </w:tc>
        <w:tc>
          <w:tcPr>
            <w:tcW w:w="5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B8BB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2074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62F5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1121919">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1#楼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821231">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896CB5">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DA236">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C7245BA">
            <w:pPr>
              <w:keepNext w:val="0"/>
              <w:keepLines w:val="0"/>
              <w:widowControl/>
              <w:suppressLineNumbers w:val="0"/>
              <w:spacing w:before="0" w:beforeAutospacing="0" w:after="0" w:afterAutospacing="0"/>
              <w:ind w:left="0" w:right="0"/>
              <w:jc w:val="right"/>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DB6888">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FB8021">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5513E3">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226066">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FA92C72">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11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E97EE5C">
            <w:pPr>
              <w:keepNext w:val="0"/>
              <w:keepLines w:val="0"/>
              <w:widowControl/>
              <w:suppressLineNumbers w:val="0"/>
              <w:spacing w:before="0" w:beforeAutospacing="0" w:after="0" w:afterAutospacing="0"/>
              <w:ind w:left="0" w:right="0"/>
              <w:jc w:val="center"/>
              <w:textAlignment w:val="center"/>
              <w:rPr>
                <w:rFonts w:hint="default"/>
                <w:color w:val="auto"/>
                <w:highlight w:val="none"/>
              </w:rPr>
            </w:pPr>
            <w:r>
              <w:rPr>
                <w:rFonts w:hint="eastAsia" w:ascii="宋体" w:hAnsi="宋体" w:eastAsia="宋体" w:cs="宋体"/>
                <w:i w:val="0"/>
                <w:iCs w:val="0"/>
                <w:color w:val="auto"/>
                <w:kern w:val="0"/>
                <w:sz w:val="22"/>
                <w:szCs w:val="22"/>
                <w:highlight w:val="none"/>
                <w:u w:val="none"/>
                <w:lang w:val="en-US" w:eastAsia="zh-CN" w:bidi="ar"/>
              </w:rPr>
              <w:t>1电梯门晌耐火极限不应低于1.00h,并应符合现行国冢标准《电梯层门耐火试验完整性、隔热性和热通量测定法》GB/T27903-2011规定的完整性和隔热性的要求。</w:t>
            </w:r>
          </w:p>
        </w:tc>
        <w:tc>
          <w:tcPr>
            <w:tcW w:w="5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D38DDA">
            <w:pPr>
              <w:keepNext w:val="0"/>
              <w:keepLines w:val="0"/>
              <w:suppressLineNumbers w:val="0"/>
              <w:spacing w:before="0" w:beforeAutospacing="0" w:after="0" w:afterAutospacing="0"/>
              <w:ind w:left="0" w:right="0"/>
              <w:rPr>
                <w:rFonts w:hint="default"/>
                <w:color w:val="auto"/>
                <w:highlight w:val="none"/>
              </w:rPr>
            </w:pPr>
          </w:p>
        </w:tc>
      </w:tr>
      <w:tr w14:paraId="4437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nil"/>
              <w:left w:val="single" w:color="000000" w:sz="4" w:space="0"/>
              <w:bottom w:val="single" w:color="000000" w:sz="4" w:space="0"/>
              <w:right w:val="single" w:color="000000" w:sz="4" w:space="0"/>
              <w:tl2br w:val="nil"/>
              <w:tr2bl w:val="nil"/>
            </w:tcBorders>
            <w:noWrap/>
            <w:vAlign w:val="center"/>
          </w:tcPr>
          <w:p w14:paraId="4B7955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50" w:type="dxa"/>
            <w:vMerge w:val="continue"/>
            <w:tcBorders>
              <w:top w:val="nil"/>
              <w:left w:val="single" w:color="000000" w:sz="4" w:space="0"/>
              <w:bottom w:val="single" w:color="000000" w:sz="4" w:space="0"/>
              <w:right w:val="single" w:color="000000" w:sz="4" w:space="0"/>
              <w:tl2br w:val="nil"/>
              <w:tr2bl w:val="nil"/>
            </w:tcBorders>
            <w:noWrap/>
            <w:vAlign w:val="center"/>
          </w:tcPr>
          <w:p w14:paraId="56FC893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nil"/>
              <w:left w:val="single" w:color="000000" w:sz="4" w:space="0"/>
              <w:bottom w:val="single" w:color="000000" w:sz="4" w:space="0"/>
              <w:right w:val="single" w:color="000000" w:sz="4" w:space="0"/>
              <w:tl2br w:val="nil"/>
              <w:tr2bl w:val="nil"/>
            </w:tcBorders>
            <w:noWrap/>
            <w:vAlign w:val="center"/>
          </w:tcPr>
          <w:p w14:paraId="7BFD3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nil"/>
              <w:left w:val="single" w:color="000000" w:sz="4" w:space="0"/>
              <w:bottom w:val="single" w:color="000000" w:sz="4" w:space="0"/>
              <w:right w:val="single" w:color="000000" w:sz="4" w:space="0"/>
              <w:tl2br w:val="nil"/>
              <w:tr2bl w:val="nil"/>
            </w:tcBorders>
            <w:noWrap w:val="0"/>
            <w:vAlign w:val="center"/>
          </w:tcPr>
          <w:p w14:paraId="03D032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消防电梯</w:t>
            </w:r>
          </w:p>
        </w:tc>
        <w:tc>
          <w:tcPr>
            <w:tcW w:w="867" w:type="dxa"/>
            <w:tcBorders>
              <w:top w:val="nil"/>
              <w:left w:val="single" w:color="000000" w:sz="4" w:space="0"/>
              <w:bottom w:val="single" w:color="000000" w:sz="4" w:space="0"/>
              <w:right w:val="single" w:color="000000" w:sz="4" w:space="0"/>
              <w:tl2br w:val="nil"/>
              <w:tr2bl w:val="nil"/>
            </w:tcBorders>
            <w:noWrap/>
            <w:vAlign w:val="center"/>
          </w:tcPr>
          <w:p w14:paraId="1A02E3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nil"/>
              <w:left w:val="single" w:color="000000" w:sz="4" w:space="0"/>
              <w:bottom w:val="single" w:color="000000" w:sz="4" w:space="0"/>
              <w:right w:val="single" w:color="000000" w:sz="4" w:space="0"/>
              <w:tl2br w:val="nil"/>
              <w:tr2bl w:val="nil"/>
            </w:tcBorders>
            <w:noWrap w:val="0"/>
            <w:vAlign w:val="center"/>
          </w:tcPr>
          <w:p w14:paraId="1AB225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nil"/>
              <w:left w:val="single" w:color="000000" w:sz="4" w:space="0"/>
              <w:bottom w:val="single" w:color="000000" w:sz="4" w:space="0"/>
              <w:right w:val="single" w:color="000000" w:sz="4" w:space="0"/>
              <w:tl2br w:val="nil"/>
              <w:tr2bl w:val="nil"/>
            </w:tcBorders>
            <w:noWrap w:val="0"/>
            <w:vAlign w:val="center"/>
          </w:tcPr>
          <w:p w14:paraId="089D2E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nil"/>
              <w:left w:val="single" w:color="000000" w:sz="4" w:space="0"/>
              <w:bottom w:val="single" w:color="000000" w:sz="4" w:space="0"/>
              <w:right w:val="single" w:color="000000" w:sz="4" w:space="0"/>
              <w:tl2br w:val="nil"/>
              <w:tr2bl w:val="nil"/>
            </w:tcBorders>
            <w:noWrap w:val="0"/>
            <w:vAlign w:val="center"/>
          </w:tcPr>
          <w:p w14:paraId="5D8505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766" w:type="dxa"/>
            <w:tcBorders>
              <w:top w:val="nil"/>
              <w:left w:val="single" w:color="000000" w:sz="4" w:space="0"/>
              <w:bottom w:val="single" w:color="000000" w:sz="4" w:space="0"/>
              <w:right w:val="single" w:color="000000" w:sz="4" w:space="0"/>
              <w:tl2br w:val="nil"/>
              <w:tr2bl w:val="nil"/>
            </w:tcBorders>
            <w:noWrap w:val="0"/>
            <w:vAlign w:val="center"/>
          </w:tcPr>
          <w:p w14:paraId="414157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nil"/>
              <w:left w:val="single" w:color="000000" w:sz="4" w:space="0"/>
              <w:bottom w:val="single" w:color="000000" w:sz="4" w:space="0"/>
              <w:right w:val="single" w:color="000000" w:sz="4" w:space="0"/>
              <w:tl2br w:val="nil"/>
              <w:tr2bl w:val="nil"/>
            </w:tcBorders>
            <w:noWrap w:val="0"/>
            <w:vAlign w:val="center"/>
          </w:tcPr>
          <w:p w14:paraId="52E555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vMerge w:val="continue"/>
            <w:tcBorders>
              <w:top w:val="nil"/>
              <w:left w:val="single" w:color="000000" w:sz="4" w:space="0"/>
              <w:bottom w:val="single" w:color="000000" w:sz="4" w:space="0"/>
              <w:right w:val="nil"/>
              <w:tl2br w:val="nil"/>
              <w:tr2bl w:val="nil"/>
            </w:tcBorders>
            <w:noWrap w:val="0"/>
            <w:vAlign w:val="center"/>
          </w:tcPr>
          <w:p w14:paraId="481882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0005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nil"/>
              <w:left w:val="nil"/>
              <w:bottom w:val="single" w:color="000000" w:sz="4" w:space="0"/>
              <w:right w:val="single" w:color="000000" w:sz="4" w:space="0"/>
              <w:tl2br w:val="nil"/>
              <w:tr2bl w:val="nil"/>
            </w:tcBorders>
            <w:noWrap/>
            <w:vAlign w:val="center"/>
          </w:tcPr>
          <w:p w14:paraId="7CD9A32A">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74C2C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C3E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50" w:type="dxa"/>
            <w:vMerge w:val="continue"/>
            <w:tcBorders>
              <w:top w:val="nil"/>
              <w:left w:val="single" w:color="000000" w:sz="4" w:space="0"/>
              <w:bottom w:val="single" w:color="000000" w:sz="4" w:space="0"/>
              <w:right w:val="single" w:color="000000" w:sz="4" w:space="0"/>
              <w:tl2br w:val="nil"/>
              <w:tr2bl w:val="nil"/>
            </w:tcBorders>
            <w:noWrap/>
            <w:vAlign w:val="center"/>
          </w:tcPr>
          <w:p w14:paraId="3D7317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353C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887D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E80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F0249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6BBF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106D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96FC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ECC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vMerge w:val="continue"/>
            <w:tcBorders>
              <w:top w:val="nil"/>
              <w:left w:val="single" w:color="000000" w:sz="4" w:space="0"/>
              <w:bottom w:val="single" w:color="000000" w:sz="4" w:space="0"/>
              <w:right w:val="nil"/>
              <w:tl2br w:val="nil"/>
              <w:tr2bl w:val="nil"/>
            </w:tcBorders>
            <w:noWrap w:val="0"/>
            <w:vAlign w:val="center"/>
          </w:tcPr>
          <w:p w14:paraId="041C70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0CD7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5E0932CB">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332E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11F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50" w:type="dxa"/>
            <w:vMerge w:val="restart"/>
            <w:tcBorders>
              <w:top w:val="nil"/>
              <w:left w:val="single" w:color="000000" w:sz="4" w:space="0"/>
              <w:bottom w:val="single" w:color="000000" w:sz="4" w:space="0"/>
              <w:right w:val="single" w:color="000000" w:sz="4" w:space="0"/>
              <w:tl2br w:val="nil"/>
              <w:tr2bl w:val="nil"/>
            </w:tcBorders>
            <w:noWrap/>
            <w:vAlign w:val="center"/>
          </w:tcPr>
          <w:p w14:paraId="3B6CC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A28C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8A570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055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3DE17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185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9FBE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998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A0C2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nil"/>
              <w:left w:val="single" w:color="000000" w:sz="4" w:space="0"/>
              <w:bottom w:val="single" w:color="000000" w:sz="4" w:space="0"/>
              <w:right w:val="nil"/>
              <w:tl2br w:val="nil"/>
              <w:tr2bl w:val="nil"/>
            </w:tcBorders>
            <w:noWrap w:val="0"/>
            <w:vAlign w:val="center"/>
          </w:tcPr>
          <w:p w14:paraId="447EEE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8F54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547BFB9C">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6FF58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D339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BE71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ED56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5C8D4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C33A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B38B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A6E2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9E05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E2D2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243C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062124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0556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7005BF27">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4051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8EBE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22C0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2ECE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00B7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945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8D7A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65D4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B20E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56BD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4AFB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7C4DBC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FB3F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255C5B01">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2360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015A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F9394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951D8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8FA5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1F081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9F73E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DDA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3171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2EC1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89F5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7E7EFF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33F0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7BBF9433">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4BC6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8D08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B14F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B66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E50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53F9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5145A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D263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AD53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C372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1829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322F15D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73CF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0C150EF9">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611D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B702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DF602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4#楼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C081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6558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4310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F35A7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E6C7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4241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65B1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D8F5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448A09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A788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2C91A4A5">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6AC7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142F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93DDE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F438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89349E">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0"/>
                <w:szCs w:val="20"/>
                <w:highlight w:val="none"/>
              </w:rPr>
            </w:pP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CD2F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77562B">
            <w:pPr>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2"/>
                <w:szCs w:val="22"/>
                <w:highlight w:val="none"/>
              </w:rPr>
            </w:pP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F1C3D">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2"/>
                <w:szCs w:val="22"/>
                <w:highlight w:val="none"/>
              </w:rPr>
            </w:pP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90E5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B8E3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C18D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379424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54B5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5DDC00D3">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767E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19F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76C6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212F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FCCA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DF3F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934B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34FF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CA8A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AE71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B73B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nil"/>
              <w:tl2br w:val="nil"/>
              <w:tr2bl w:val="nil"/>
            </w:tcBorders>
            <w:noWrap w:val="0"/>
            <w:vAlign w:val="center"/>
          </w:tcPr>
          <w:p w14:paraId="210345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continue"/>
            <w:tcBorders>
              <w:top w:val="single" w:color="000000" w:sz="4" w:space="0"/>
              <w:left w:val="single" w:color="000000" w:sz="4" w:space="0"/>
              <w:bottom w:val="single" w:color="auto" w:sz="4" w:space="0"/>
              <w:right w:val="single" w:color="000000" w:sz="4" w:space="0"/>
              <w:tl2br w:val="nil"/>
              <w:tr2bl w:val="nil"/>
            </w:tcBorders>
            <w:noWrap w:val="0"/>
            <w:vAlign w:val="center"/>
          </w:tcPr>
          <w:p w14:paraId="1F1CAD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none"/>
              </w:rPr>
            </w:pPr>
          </w:p>
        </w:tc>
        <w:tc>
          <w:tcPr>
            <w:tcW w:w="550" w:type="dxa"/>
            <w:tcBorders>
              <w:top w:val="single" w:color="000000" w:sz="4" w:space="0"/>
              <w:left w:val="nil"/>
              <w:bottom w:val="single" w:color="auto" w:sz="4" w:space="0"/>
              <w:right w:val="single" w:color="000000" w:sz="4" w:space="0"/>
              <w:tl2br w:val="nil"/>
              <w:tr2bl w:val="nil"/>
            </w:tcBorders>
            <w:noWrap/>
            <w:vAlign w:val="center"/>
          </w:tcPr>
          <w:p w14:paraId="4338D702">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5268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A431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6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DD8E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036C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D714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2"/>
                <w:szCs w:val="22"/>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16F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97DBE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267813">
            <w:pPr>
              <w:keepNext w:val="0"/>
              <w:keepLines w:val="0"/>
              <w:widowControl/>
              <w:suppressLineNumbers w:val="0"/>
              <w:spacing w:before="0" w:beforeAutospacing="0" w:after="0" w:afterAutospacing="0"/>
              <w:ind w:left="0" w:right="0"/>
              <w:jc w:val="left"/>
              <w:textAlignment w:val="center"/>
              <w:rPr>
                <w:rStyle w:val="94"/>
                <w:rFonts w:hint="eastAsia"/>
                <w:color w:val="auto"/>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3D8E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CFD8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386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single" w:color="auto" w:sz="4" w:space="0"/>
              <w:tl2br w:val="nil"/>
              <w:tr2bl w:val="nil"/>
            </w:tcBorders>
            <w:noWrap w:val="0"/>
            <w:vAlign w:val="center"/>
          </w:tcPr>
          <w:p w14:paraId="712101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rPr>
            </w:pPr>
          </w:p>
        </w:tc>
        <w:tc>
          <w:tcPr>
            <w:tcW w:w="11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E7CEC67">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1电梯门晌耐火极限不应低于1.00h,并应符合现行国冢标准《电梯层门耐火试验完整性、隔热性和热通量测定法》GB/T27903-2011规定的完整性和隔热性的要求。</w:t>
            </w:r>
          </w:p>
        </w:tc>
        <w:tc>
          <w:tcPr>
            <w:tcW w:w="550" w:type="dxa"/>
            <w:tcBorders>
              <w:top w:val="single" w:color="auto" w:sz="4" w:space="0"/>
              <w:left w:val="single" w:color="auto" w:sz="4" w:space="0"/>
              <w:bottom w:val="single" w:color="auto" w:sz="4" w:space="0"/>
              <w:right w:val="single" w:color="auto" w:sz="4" w:space="0"/>
              <w:tl2br w:val="nil"/>
              <w:tr2bl w:val="nil"/>
            </w:tcBorders>
            <w:noWrap/>
            <w:vAlign w:val="center"/>
          </w:tcPr>
          <w:p w14:paraId="7622FB65">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none"/>
              </w:rPr>
            </w:pPr>
          </w:p>
        </w:tc>
      </w:tr>
      <w:tr w14:paraId="3B7DB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50D85F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0E9AF59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25A62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4687E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ED282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A43EC7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AF306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C0A75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19B1C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7952E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14:paraId="710391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51487C7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3455AE2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789E2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5C9B3A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23FFE7B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2D61D3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E1487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C185F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5871BF0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1F074C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C066B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64E62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0162A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14:paraId="5336F9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0BB4B5E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30AB930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28FB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2AD49F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26431C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r>
              <w:rPr>
                <w:rStyle w:val="94"/>
                <w:color w:val="auto"/>
                <w:highlight w:val="none"/>
                <w:lang w:val="en-US" w:eastAsia="zh-CN" w:bidi="ar"/>
              </w:rPr>
              <w:t>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FBE34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28ECB1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D0C03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77EAFD5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322D1B4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3FA3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0EACC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559553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restart"/>
            <w:tcBorders>
              <w:top w:val="single" w:color="000000" w:sz="4" w:space="0"/>
              <w:left w:val="single" w:color="000000" w:sz="4" w:space="0"/>
              <w:bottom w:val="single" w:color="000000" w:sz="4" w:space="0"/>
              <w:right w:val="single" w:color="auto" w:sz="4" w:space="0"/>
            </w:tcBorders>
            <w:noWrap w:val="0"/>
            <w:vAlign w:val="center"/>
          </w:tcPr>
          <w:p w14:paraId="7B3342A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p w14:paraId="1D5D525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4D7FDE9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478C4A4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40D1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4EB105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274EE2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73DF9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1BB42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E0C61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8644B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596803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51BD9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B43B5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939C8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continue"/>
            <w:tcBorders>
              <w:top w:val="single" w:color="000000" w:sz="4" w:space="0"/>
              <w:left w:val="single" w:color="000000" w:sz="4" w:space="0"/>
              <w:bottom w:val="single" w:color="000000" w:sz="4" w:space="0"/>
              <w:right w:val="single" w:color="auto" w:sz="4" w:space="0"/>
            </w:tcBorders>
            <w:noWrap w:val="0"/>
            <w:vAlign w:val="center"/>
          </w:tcPr>
          <w:p w14:paraId="7181FF3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083F8C2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10BFCE0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62B9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09EC18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0F5291D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0774A0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5BD78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A16BA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0EC746E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4EA32E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F9599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58101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7806E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restart"/>
            <w:tcBorders>
              <w:top w:val="single" w:color="000000" w:sz="4" w:space="0"/>
              <w:left w:val="single" w:color="000000" w:sz="4" w:space="0"/>
              <w:bottom w:val="single" w:color="000000" w:sz="4" w:space="0"/>
              <w:right w:val="single" w:color="auto" w:sz="4" w:space="0"/>
            </w:tcBorders>
            <w:noWrap w:val="0"/>
            <w:vAlign w:val="center"/>
          </w:tcPr>
          <w:p w14:paraId="4F53D4E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p w14:paraId="1B39534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71CFC93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20B0745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2ACD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25C31B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061798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r>
              <w:rPr>
                <w:rStyle w:val="94"/>
                <w:color w:val="auto"/>
                <w:highlight w:val="none"/>
                <w:lang w:val="en-US" w:eastAsia="zh-CN" w:bidi="ar"/>
              </w:rPr>
              <w:t>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3E5BE7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440B42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D8AE3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5B6169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8DA47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6010A0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DE503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D4830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continue"/>
            <w:tcBorders>
              <w:top w:val="single" w:color="000000" w:sz="4" w:space="0"/>
              <w:left w:val="single" w:color="000000" w:sz="4" w:space="0"/>
              <w:bottom w:val="single" w:color="000000" w:sz="4" w:space="0"/>
              <w:right w:val="single" w:color="auto" w:sz="4" w:space="0"/>
            </w:tcBorders>
            <w:noWrap w:val="0"/>
            <w:vAlign w:val="center"/>
          </w:tcPr>
          <w:p w14:paraId="0E87239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32F4B1A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2A9CABD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4085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72F1F8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50D9FAF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7649DF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8F1484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EF0E9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02EDE5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0B8072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070FE0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4626DE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7B34F5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restart"/>
            <w:tcBorders>
              <w:top w:val="single" w:color="000000" w:sz="4" w:space="0"/>
              <w:left w:val="single" w:color="000000" w:sz="4" w:space="0"/>
              <w:bottom w:val="single" w:color="000000" w:sz="4" w:space="0"/>
              <w:right w:val="single" w:color="auto" w:sz="4" w:space="0"/>
            </w:tcBorders>
            <w:noWrap w:val="0"/>
            <w:vAlign w:val="center"/>
          </w:tcPr>
          <w:p w14:paraId="1CEB20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p w14:paraId="1814319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27EA500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740A43C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07A6D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67576E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49E794E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BB5B6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4D240C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9735F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3C6F037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5143F5E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03EF6F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12B847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FA7D4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continue"/>
            <w:tcBorders>
              <w:top w:val="single" w:color="000000" w:sz="4" w:space="0"/>
              <w:left w:val="single" w:color="000000" w:sz="4" w:space="0"/>
              <w:bottom w:val="single" w:color="000000" w:sz="4" w:space="0"/>
              <w:right w:val="single" w:color="auto" w:sz="4" w:space="0"/>
            </w:tcBorders>
            <w:noWrap w:val="0"/>
            <w:vAlign w:val="center"/>
          </w:tcPr>
          <w:p w14:paraId="36AB0C1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7F6AD18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02021F4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20FD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3"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57EA3B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775B8A1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2069C8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620EA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6A5C4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8028D3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76576B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01A0BD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DDF101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5E4E4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14:paraId="7910686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54EBE5E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110418F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Style w:val="96"/>
                <w:color w:val="auto"/>
                <w:highlight w:val="none"/>
                <w:lang w:val="en-US" w:eastAsia="zh-CN" w:bidi="ar"/>
              </w:rPr>
              <w:t>无机房电梯</w:t>
            </w:r>
          </w:p>
        </w:tc>
      </w:tr>
      <w:tr w14:paraId="2D67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419894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79D3D5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r>
              <w:rPr>
                <w:rStyle w:val="94"/>
                <w:color w:val="auto"/>
                <w:highlight w:val="none"/>
                <w:lang w:val="en-US" w:eastAsia="zh-CN" w:bidi="ar"/>
              </w:rPr>
              <w:t>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13CFA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592CB7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CF442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0379A4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78A7D7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E17BF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6239D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10255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tcBorders>
              <w:top w:val="single" w:color="000000" w:sz="4" w:space="0"/>
              <w:left w:val="single" w:color="000000" w:sz="4" w:space="0"/>
              <w:bottom w:val="single" w:color="auto" w:sz="4" w:space="0"/>
              <w:right w:val="single" w:color="auto" w:sz="4" w:space="0"/>
            </w:tcBorders>
            <w:noWrap w:val="0"/>
            <w:vAlign w:val="center"/>
          </w:tcPr>
          <w:p w14:paraId="5664498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3BD52FA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4246AAA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50C6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09863E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49A764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8DBA9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85980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0E69B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344E490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118705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07F981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91883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auto" w:sz="4" w:space="0"/>
            </w:tcBorders>
            <w:noWrap w:val="0"/>
            <w:vAlign w:val="center"/>
          </w:tcPr>
          <w:p w14:paraId="705253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restart"/>
            <w:tcBorders>
              <w:top w:val="single" w:color="auto" w:sz="4" w:space="0"/>
              <w:left w:val="single" w:color="auto" w:sz="4" w:space="0"/>
              <w:bottom w:val="single" w:color="000000" w:sz="4" w:space="0"/>
              <w:right w:val="single" w:color="auto" w:sz="4" w:space="0"/>
            </w:tcBorders>
            <w:noWrap w:val="0"/>
            <w:vAlign w:val="center"/>
          </w:tcPr>
          <w:p w14:paraId="637A01E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p w14:paraId="3B78AF6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261433E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00F4EAB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2A2D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69F198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1DC852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r>
              <w:rPr>
                <w:rStyle w:val="94"/>
                <w:color w:val="auto"/>
                <w:highlight w:val="none"/>
                <w:lang w:val="en-US" w:eastAsia="zh-CN" w:bidi="ar"/>
              </w:rPr>
              <w:t>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4B09BA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CB273F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970C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1648E9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3882746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1E0FF7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AA43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auto" w:sz="4" w:space="0"/>
            </w:tcBorders>
            <w:noWrap w:val="0"/>
            <w:vAlign w:val="center"/>
          </w:tcPr>
          <w:p w14:paraId="00A691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continue"/>
            <w:tcBorders>
              <w:top w:val="single" w:color="000000" w:sz="4" w:space="0"/>
              <w:left w:val="single" w:color="auto" w:sz="4" w:space="0"/>
              <w:bottom w:val="single" w:color="000000" w:sz="4" w:space="0"/>
              <w:right w:val="single" w:color="auto" w:sz="4" w:space="0"/>
            </w:tcBorders>
            <w:noWrap w:val="0"/>
            <w:vAlign w:val="center"/>
          </w:tcPr>
          <w:p w14:paraId="2272AA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14:paraId="2D4C338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auto" w:sz="4" w:space="0"/>
              <w:left w:val="single" w:color="auto" w:sz="4" w:space="0"/>
              <w:bottom w:val="single" w:color="auto" w:sz="4" w:space="0"/>
              <w:right w:val="single" w:color="auto" w:sz="4" w:space="0"/>
            </w:tcBorders>
            <w:noWrap w:val="0"/>
            <w:vAlign w:val="center"/>
          </w:tcPr>
          <w:p w14:paraId="4704BF9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2CD75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60EED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24</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768FE94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F9FB5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737EF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EC04F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002938C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F3181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4ED9D0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7D83E1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auto" w:sz="4" w:space="0"/>
            </w:tcBorders>
            <w:noWrap w:val="0"/>
            <w:vAlign w:val="center"/>
          </w:tcPr>
          <w:p w14:paraId="3CF114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restart"/>
            <w:tcBorders>
              <w:top w:val="single" w:color="000000" w:sz="4" w:space="0"/>
              <w:left w:val="single" w:color="auto" w:sz="4" w:space="0"/>
              <w:bottom w:val="single" w:color="000000" w:sz="4" w:space="0"/>
              <w:right w:val="nil"/>
            </w:tcBorders>
            <w:noWrap w:val="0"/>
            <w:vAlign w:val="center"/>
          </w:tcPr>
          <w:p w14:paraId="2E5EEDF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p w14:paraId="2A5D11D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restart"/>
            <w:tcBorders>
              <w:top w:val="single" w:color="auto" w:sz="4" w:space="0"/>
              <w:left w:val="single" w:color="000000" w:sz="4" w:space="0"/>
              <w:right w:val="nil"/>
            </w:tcBorders>
            <w:noWrap w:val="0"/>
            <w:vAlign w:val="center"/>
          </w:tcPr>
          <w:p w14:paraId="2266412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1电梯门晌耐火极限不应低于1.00h,并应符合现行国冢标准《电梯层门耐火试验完整性、隔热性和热通量测定法》GB/T27903-2011规定的完整性和隔热性的要求。</w:t>
            </w:r>
          </w:p>
        </w:tc>
        <w:tc>
          <w:tcPr>
            <w:tcW w:w="550" w:type="dxa"/>
            <w:tcBorders>
              <w:top w:val="single" w:color="auto" w:sz="4" w:space="0"/>
              <w:left w:val="single" w:color="000000" w:sz="4" w:space="0"/>
              <w:bottom w:val="single" w:color="000000" w:sz="4" w:space="0"/>
              <w:right w:val="single" w:color="auto" w:sz="4" w:space="0"/>
            </w:tcBorders>
            <w:noWrap w:val="0"/>
            <w:vAlign w:val="center"/>
          </w:tcPr>
          <w:p w14:paraId="703880C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3E27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7A313D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224BB4A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7A4503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BDA7B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14381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3734301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F2995C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none"/>
                <w:u w:val="none"/>
              </w:rPr>
            </w:pPr>
            <w:r>
              <w:rPr>
                <w:rStyle w:val="94"/>
                <w:color w:val="auto"/>
                <w:highlight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ED13A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3B1B9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783" w:type="dxa"/>
            <w:tcBorders>
              <w:top w:val="single" w:color="000000" w:sz="4" w:space="0"/>
              <w:left w:val="single" w:color="000000" w:sz="4" w:space="0"/>
              <w:bottom w:val="single" w:color="000000" w:sz="4" w:space="0"/>
              <w:right w:val="single" w:color="auto" w:sz="4" w:space="0"/>
            </w:tcBorders>
            <w:noWrap w:val="0"/>
            <w:vAlign w:val="center"/>
          </w:tcPr>
          <w:p w14:paraId="26A70C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34" w:type="dxa"/>
            <w:vMerge w:val="continue"/>
            <w:tcBorders>
              <w:top w:val="single" w:color="000000" w:sz="4" w:space="0"/>
              <w:left w:val="single" w:color="auto" w:sz="4" w:space="0"/>
              <w:bottom w:val="single" w:color="000000" w:sz="4" w:space="0"/>
              <w:right w:val="nil"/>
            </w:tcBorders>
            <w:noWrap w:val="0"/>
            <w:vAlign w:val="center"/>
          </w:tcPr>
          <w:p w14:paraId="6053F5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1183" w:type="dxa"/>
            <w:vMerge w:val="continue"/>
            <w:tcBorders>
              <w:left w:val="single" w:color="000000" w:sz="4" w:space="0"/>
              <w:right w:val="nil"/>
            </w:tcBorders>
            <w:noWrap w:val="0"/>
            <w:vAlign w:val="center"/>
          </w:tcPr>
          <w:p w14:paraId="4C84959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000000" w:sz="4" w:space="0"/>
              <w:left w:val="single" w:color="000000" w:sz="4" w:space="0"/>
              <w:bottom w:val="single" w:color="000000" w:sz="4" w:space="0"/>
              <w:right w:val="single" w:color="auto" w:sz="4" w:space="0"/>
            </w:tcBorders>
            <w:noWrap w:val="0"/>
            <w:vAlign w:val="center"/>
          </w:tcPr>
          <w:p w14:paraId="564FBD14">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72B56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1"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39F1EB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B6446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r>
              <w:rPr>
                <w:rStyle w:val="97"/>
                <w:color w:val="auto"/>
                <w:highlight w:val="none"/>
                <w:lang w:val="en-US" w:eastAsia="zh-CN" w:bidi="ar"/>
              </w:rPr>
              <w:t>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377E2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377F6C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none"/>
                <w:u w:val="none"/>
              </w:rPr>
            </w:pPr>
            <w:r>
              <w:rPr>
                <w:rStyle w:val="98"/>
                <w:color w:val="auto"/>
                <w:highlight w:val="none"/>
                <w:lang w:val="en-US" w:eastAsia="zh-CN" w:bidi="ar"/>
              </w:rPr>
              <w:t>无机房食梯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F85D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lang w:val="en-US"/>
              </w:rPr>
            </w:pPr>
            <w:r>
              <w:rPr>
                <w:rFonts w:hint="eastAsia" w:ascii="Times New Roman" w:hAnsi="Times New Roman" w:eastAsia="宋体" w:cs="Times New Roman"/>
                <w:i w:val="0"/>
                <w:iCs w:val="0"/>
                <w:color w:val="auto"/>
                <w:kern w:val="0"/>
                <w:sz w:val="22"/>
                <w:szCs w:val="22"/>
                <w:highlight w:val="none"/>
                <w:u w:val="none"/>
                <w:lang w:val="en-US" w:eastAsia="zh-CN" w:bidi="ar"/>
              </w:rPr>
              <w:t>300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A8BD86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019D162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sz w:val="22"/>
                <w:szCs w:val="22"/>
                <w:highlight w:val="none"/>
                <w:u w:val="none"/>
              </w:rPr>
            </w:pP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4E2C9B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D6EFD8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783" w:type="dxa"/>
            <w:tcBorders>
              <w:top w:val="single" w:color="000000" w:sz="4" w:space="0"/>
              <w:left w:val="single" w:color="000000" w:sz="4" w:space="0"/>
              <w:bottom w:val="single" w:color="000000" w:sz="4" w:space="0"/>
              <w:right w:val="single" w:color="auto" w:sz="4" w:space="0"/>
            </w:tcBorders>
            <w:noWrap w:val="0"/>
            <w:vAlign w:val="center"/>
          </w:tcPr>
          <w:p w14:paraId="62F2E92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834" w:type="dxa"/>
            <w:tcBorders>
              <w:top w:val="single" w:color="000000" w:sz="4" w:space="0"/>
              <w:left w:val="single" w:color="auto" w:sz="4" w:space="0"/>
              <w:bottom w:val="single" w:color="auto" w:sz="4" w:space="0"/>
              <w:right w:val="nil"/>
            </w:tcBorders>
            <w:noWrap w:val="0"/>
            <w:vAlign w:val="center"/>
          </w:tcPr>
          <w:p w14:paraId="5B3CA36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vMerge w:val="continue"/>
            <w:tcBorders>
              <w:left w:val="single" w:color="000000" w:sz="4" w:space="0"/>
              <w:bottom w:val="single" w:color="auto" w:sz="4" w:space="0"/>
              <w:right w:val="nil"/>
            </w:tcBorders>
            <w:noWrap w:val="0"/>
            <w:vAlign w:val="center"/>
          </w:tcPr>
          <w:p w14:paraId="077E629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kern w:val="2"/>
                <w:sz w:val="20"/>
                <w:szCs w:val="20"/>
                <w:highlight w:val="none"/>
                <w:u w:val="none"/>
                <w:lang w:val="en-US" w:eastAsia="zh-CN" w:bidi="ar-SA"/>
              </w:rPr>
            </w:pPr>
          </w:p>
        </w:tc>
        <w:tc>
          <w:tcPr>
            <w:tcW w:w="550" w:type="dxa"/>
            <w:tcBorders>
              <w:top w:val="single" w:color="000000" w:sz="4" w:space="0"/>
              <w:left w:val="single" w:color="000000" w:sz="4" w:space="0"/>
              <w:bottom w:val="single" w:color="auto" w:sz="4" w:space="0"/>
              <w:right w:val="single" w:color="auto" w:sz="4" w:space="0"/>
            </w:tcBorders>
            <w:noWrap w:val="0"/>
            <w:vAlign w:val="center"/>
          </w:tcPr>
          <w:p w14:paraId="7D765EE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0C39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12D201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27</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5B7CC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22"/>
                <w:szCs w:val="22"/>
                <w:highlight w:val="none"/>
                <w:u w:val="none"/>
              </w:rPr>
            </w:pPr>
            <w:r>
              <w:rPr>
                <w:rStyle w:val="99"/>
                <w:color w:val="auto"/>
                <w:highlight w:val="none"/>
                <w:lang w:val="en-US" w:eastAsia="zh-CN" w:bidi="ar"/>
              </w:rPr>
              <w:t>小计</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2EE8B5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26</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BC1902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sz w:val="20"/>
                <w:szCs w:val="20"/>
                <w:highlight w:val="none"/>
                <w:u w:val="none"/>
              </w:rPr>
            </w:pP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9DF71F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70BF0707">
            <w:pPr>
              <w:keepNext w:val="0"/>
              <w:keepLines w:val="0"/>
              <w:suppressLineNumbers w:val="0"/>
              <w:spacing w:before="0" w:beforeAutospacing="0" w:after="0" w:afterAutospacing="0"/>
              <w:ind w:left="0" w:right="0"/>
              <w:jc w:val="right"/>
              <w:rPr>
                <w:rFonts w:hint="default" w:ascii="Times New Roman" w:hAnsi="Times New Roman" w:eastAsia="宋体" w:cs="Times New Roman"/>
                <w:i w:val="0"/>
                <w:iCs w:val="0"/>
                <w:color w:val="auto"/>
                <w:sz w:val="22"/>
                <w:szCs w:val="22"/>
                <w:highlight w:val="none"/>
                <w:u w:val="none"/>
              </w:rPr>
            </w:pP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609499C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sz w:val="22"/>
                <w:szCs w:val="22"/>
                <w:highlight w:val="none"/>
                <w:u w:val="none"/>
              </w:rPr>
            </w:pP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EE879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6458996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7AF561C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none"/>
                <w:u w:val="none"/>
              </w:rPr>
            </w:pPr>
          </w:p>
        </w:tc>
        <w:tc>
          <w:tcPr>
            <w:tcW w:w="834" w:type="dxa"/>
            <w:tcBorders>
              <w:top w:val="single" w:color="auto" w:sz="4" w:space="0"/>
              <w:left w:val="single" w:color="000000" w:sz="4" w:space="0"/>
              <w:bottom w:val="single" w:color="000000" w:sz="4" w:space="0"/>
              <w:right w:val="single" w:color="000000" w:sz="4" w:space="0"/>
            </w:tcBorders>
            <w:noWrap w:val="0"/>
            <w:vAlign w:val="center"/>
          </w:tcPr>
          <w:p w14:paraId="48E8950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none"/>
                <w:u w:val="none"/>
                <w:lang w:val="en-US" w:eastAsia="zh-CN" w:bidi="ar-SA"/>
              </w:rPr>
            </w:pPr>
          </w:p>
        </w:tc>
        <w:tc>
          <w:tcPr>
            <w:tcW w:w="1183" w:type="dxa"/>
            <w:tcBorders>
              <w:top w:val="single" w:color="auto" w:sz="4" w:space="0"/>
              <w:left w:val="single" w:color="000000" w:sz="4" w:space="0"/>
              <w:bottom w:val="single" w:color="000000" w:sz="4" w:space="0"/>
              <w:right w:val="single" w:color="000000" w:sz="4" w:space="0"/>
            </w:tcBorders>
            <w:noWrap w:val="0"/>
            <w:vAlign w:val="center"/>
          </w:tcPr>
          <w:p w14:paraId="01B80E2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18"/>
                <w:szCs w:val="18"/>
                <w:highlight w:val="none"/>
                <w:u w:val="none"/>
                <w:lang w:val="en-US" w:eastAsia="zh-CN" w:bidi="ar-SA"/>
              </w:rPr>
            </w:pPr>
          </w:p>
        </w:tc>
        <w:tc>
          <w:tcPr>
            <w:tcW w:w="550" w:type="dxa"/>
            <w:tcBorders>
              <w:top w:val="single" w:color="auto" w:sz="4" w:space="0"/>
              <w:left w:val="single" w:color="000000" w:sz="4" w:space="0"/>
              <w:bottom w:val="single" w:color="000000" w:sz="4" w:space="0"/>
              <w:right w:val="single" w:color="000000" w:sz="4" w:space="0"/>
            </w:tcBorders>
            <w:noWrap w:val="0"/>
            <w:vAlign w:val="center"/>
          </w:tcPr>
          <w:p w14:paraId="730A0E6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none"/>
                <w:u w:val="none"/>
                <w:lang w:val="en-US" w:eastAsia="zh-CN" w:bidi="ar-SA"/>
              </w:rPr>
            </w:pPr>
          </w:p>
        </w:tc>
      </w:tr>
      <w:tr w14:paraId="4A80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733" w:type="dxa"/>
          <w:trHeight w:val="1884" w:hRule="atLeast"/>
        </w:trPr>
        <w:tc>
          <w:tcPr>
            <w:tcW w:w="8684" w:type="dxa"/>
            <w:gridSpan w:val="11"/>
            <w:tcBorders>
              <w:top w:val="single" w:color="000000" w:sz="4" w:space="0"/>
              <w:left w:val="single" w:color="000000" w:sz="4" w:space="0"/>
              <w:bottom w:val="single" w:color="000000" w:sz="4" w:space="0"/>
              <w:right w:val="single" w:color="000000" w:sz="4" w:space="0"/>
            </w:tcBorders>
            <w:noWrap w:val="0"/>
            <w:vAlign w:val="top"/>
          </w:tcPr>
          <w:p w14:paraId="7105AED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无障碍设计要求：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1.电梯门应符合《无障碍设计规范》GB50763-2012要求。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2.侯梯厅应按要求清晰显示轿厢上下运行方向和楼层位置及电梯抵达音响。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电梯门开启净宽度≥0.8m,轿厢深度≥1.6m，轿厢宽度≥1.5m，轿厢正面和侧面应设高0.8-0.85m的扶手，轿厢侧面应设高0.9-1.1m带盲文的选层按钮；轿厢正面高0.9m处至顶部应安装镜子；轿厢上下运行及到达应有清晰显示和报层音响。</w:t>
            </w:r>
          </w:p>
        </w:tc>
      </w:tr>
    </w:tbl>
    <w:p w14:paraId="2114695D">
      <w:pPr>
        <w:rPr>
          <w:color w:val="auto"/>
        </w:rPr>
      </w:pPr>
    </w:p>
    <w:p w14:paraId="6070CA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rPr>
      </w:pPr>
      <w:r>
        <w:rPr>
          <w:rFonts w:hint="eastAsia" w:ascii="宋体" w:hAnsi="宋体" w:cs="仿宋"/>
          <w:color w:val="auto"/>
          <w:sz w:val="24"/>
          <w:szCs w:val="24"/>
          <w:highlight w:val="none"/>
          <w:lang w:val="zh-CN"/>
        </w:rPr>
        <w:t>注：基于各电梯厂家对电梯参数表示方式及原则有区别，上表中数据仅供参考，具体数据请结合施工现场、施工图纸及招标单位工程技术</w:t>
      </w:r>
      <w:r>
        <w:rPr>
          <w:rFonts w:hint="eastAsia" w:ascii="宋体" w:hAnsi="宋体" w:cs="仿宋"/>
          <w:color w:val="auto"/>
          <w:sz w:val="24"/>
          <w:szCs w:val="24"/>
          <w:highlight w:val="none"/>
          <w:lang w:val="en-US" w:eastAsia="zh-CN"/>
        </w:rPr>
        <w:t>人员</w:t>
      </w:r>
      <w:r>
        <w:rPr>
          <w:rFonts w:hint="eastAsia" w:ascii="宋体" w:hAnsi="宋体" w:cs="仿宋"/>
          <w:color w:val="auto"/>
          <w:sz w:val="24"/>
          <w:szCs w:val="24"/>
          <w:highlight w:val="none"/>
          <w:lang w:val="zh-CN"/>
        </w:rPr>
        <w:t>确认，如未对电梯参数进行确认即参与招标，由此产生的一切费用视为</w:t>
      </w:r>
      <w:r>
        <w:rPr>
          <w:rFonts w:hint="eastAsia" w:ascii="宋体" w:hAnsi="宋体" w:cs="仿宋"/>
          <w:color w:val="auto"/>
          <w:sz w:val="24"/>
          <w:szCs w:val="24"/>
          <w:highlight w:val="none"/>
          <w:lang w:val="en-US" w:eastAsia="zh-CN"/>
        </w:rPr>
        <w:t>包含到投标报价中</w:t>
      </w:r>
      <w:r>
        <w:rPr>
          <w:rFonts w:hint="eastAsia" w:ascii="宋体" w:hAnsi="宋体" w:cs="仿宋"/>
          <w:color w:val="auto"/>
          <w:sz w:val="24"/>
          <w:szCs w:val="24"/>
          <w:highlight w:val="none"/>
          <w:lang w:val="zh-CN"/>
        </w:rPr>
        <w:t>。</w:t>
      </w:r>
    </w:p>
    <w:p w14:paraId="158B7A36">
      <w:pPr>
        <w:numPr>
          <w:ilvl w:val="0"/>
          <w:numId w:val="0"/>
        </w:numPr>
        <w:shd w:val="clear" w:color="auto" w:fill="auto"/>
        <w:spacing w:line="460" w:lineRule="exact"/>
        <w:ind w:firstLine="240" w:firstLineChars="1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本项目的电梯包括，但不限于以下功能，且一定满足规范及图纸的设计要求。</w:t>
      </w:r>
    </w:p>
    <w:p w14:paraId="1244A62C">
      <w:pPr>
        <w:shd w:val="clear" w:color="auto" w:fill="auto"/>
        <w:spacing w:line="4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技术要求（凡以“★”标注的部分为重要技术要求，必须按要求配置）</w:t>
      </w:r>
    </w:p>
    <w:p w14:paraId="4EA5D973">
      <w:pPr>
        <w:shd w:val="clear" w:color="auto" w:fill="auto"/>
        <w:spacing w:line="460" w:lineRule="exact"/>
        <w:ind w:firstLine="240" w:firstLineChars="1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1、电梯的层数、洞口尺寸等以实际尺寸为准，可参照施工图纸。</w:t>
      </w:r>
    </w:p>
    <w:p w14:paraId="2E858D58">
      <w:pPr>
        <w:shd w:val="clear" w:color="auto" w:fill="auto"/>
        <w:spacing w:line="4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注：各楼层填有层高数据的均为可停站。机房、底坑、门洞、井道尺寸由乙方自行落实；在满足技术规范的同时，轿厢尺寸力求最大。具体尺寸应以乙方人员实际测量为准。</w:t>
      </w:r>
    </w:p>
    <w:p w14:paraId="55814222">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2、电梯的控制方式：</w:t>
      </w:r>
    </w:p>
    <w:p w14:paraId="56810167">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电梯控制方式采用并联控制，具体位置按照土建施工图电梯布置的具体位置确定。</w:t>
      </w:r>
    </w:p>
    <w:p w14:paraId="0939DDF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3、电源条件：动力：三相五线制：380V、50Hz照明：单相照明：220V、50Hz采用LED冷光源照明设备</w:t>
      </w:r>
    </w:p>
    <w:p w14:paraId="74C9568C">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本工程的电能质量满足国家现行的相关规范要求，在正常运行情况下，用电设备端子处电压及频率偏差允许值均符合国家现行的相关规范要求。</w:t>
      </w:r>
    </w:p>
    <w:p w14:paraId="6BE82C5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4、电梯生产、供货、安装等应符合现行的国家标准和现行的相关规范。</w:t>
      </w:r>
    </w:p>
    <w:p w14:paraId="47B7B8CE">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5、使用寿命要求：不少于20年。</w:t>
      </w:r>
    </w:p>
    <w:p w14:paraId="2460FA1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6、控制系统：智能控制VVVF变频变压全电脑调速控制，并联控制，</w:t>
      </w:r>
    </w:p>
    <w:p w14:paraId="14413D2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7、电梯包括轿厢和轿厢门采用逆变器自动调节门速和转矩，使门的开启和关闭轻柔、稳定、可靠和灵敏。</w:t>
      </w:r>
    </w:p>
    <w:p w14:paraId="38BE525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8、相邻两部电梯既可以并联运行，又可以独立运行</w:t>
      </w:r>
    </w:p>
    <w:p w14:paraId="24765BBE">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9、开门机：采用交流变频控制</w:t>
      </w:r>
    </w:p>
    <w:p w14:paraId="4E16212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★10、拖动系统：交流调频调压无齿轮拖动（曳引机为永磁同步无齿轮曳引机），其中曳引机核心部件必须为原品牌、原装产品。</w:t>
      </w:r>
    </w:p>
    <w:p w14:paraId="08C25F2E">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机械位置：井道顶部</w:t>
      </w:r>
    </w:p>
    <w:p w14:paraId="6BA6C23D">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11、性能指标</w:t>
      </w:r>
    </w:p>
    <w:p w14:paraId="66ED6CAD">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A、平层精度误差：≤10mm B、运行振动：水平振动≤15cm/s2，垂直振动≤20cm/s2</w:t>
      </w:r>
    </w:p>
    <w:p w14:paraId="665404D3">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C、额定速度运行时机房内平均噪声值≤80dB运行中轿厢内最大噪声值≤55dB</w:t>
      </w:r>
    </w:p>
    <w:p w14:paraId="7BB1C89A">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12、机房位置：梯井上方</w:t>
      </w:r>
    </w:p>
    <w:p w14:paraId="774B923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13、开门方式：双开中分式</w:t>
      </w:r>
    </w:p>
    <w:p w14:paraId="0C226E5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14、轿厢尺寸：按国家规定执行</w:t>
      </w:r>
    </w:p>
    <w:p w14:paraId="2B2A326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15、开门尺寸：1000kg电梯门开启净宽度应大于或等于0.9m.</w:t>
      </w:r>
    </w:p>
    <w:p w14:paraId="60595E2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16、发纹不锈钢304板厚度不小于1.2mm</w:t>
      </w:r>
    </w:p>
    <w:p w14:paraId="587062F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17、导靴：滑动导靴</w:t>
      </w:r>
    </w:p>
    <w:p w14:paraId="768B8D3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18、光幕；≥128束。</w:t>
      </w:r>
    </w:p>
    <w:p w14:paraId="283A158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19、噪音：满足国标要求。</w:t>
      </w:r>
    </w:p>
    <w:p w14:paraId="45F2545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（二）、梯厅要求：</w:t>
      </w:r>
    </w:p>
    <w:p w14:paraId="616EF3C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1、各服务层均设组合式呼唤按钮（带楼层及方向显示），面板为发纹不锈钢板。电梯按钮增加盲文按钮。</w:t>
      </w:r>
    </w:p>
    <w:p w14:paraId="4F09275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2、首层设钥匙开关。</w:t>
      </w:r>
    </w:p>
    <w:p w14:paraId="0E011946">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3、厅门均设三角钥匙孔。</w:t>
      </w:r>
    </w:p>
    <w:p w14:paraId="5EA4AF6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4、厅门：首层厅门为发纹不锈钢，其余为钢板喷粉。</w:t>
      </w:r>
    </w:p>
    <w:p w14:paraId="0A13098A">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（三）、轿厢要求：</w:t>
      </w:r>
    </w:p>
    <w:p w14:paraId="39106B51">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1、轿顶：轿厢尺寸按国家规定执行，应尽可能宽大舒适。标准型轿顶，</w:t>
      </w:r>
    </w:p>
    <w:p w14:paraId="6B488526">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厢内配有发纹不锈钢操作面板（带轿厢所在楼层位置及方向显示）、标准照明设备和嵌入式风扇1台。预留监控设备安装位置；</w:t>
      </w:r>
    </w:p>
    <w:p w14:paraId="11CB35E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2、轿厢门：发纹不锈钢（中分式）。</w:t>
      </w:r>
    </w:p>
    <w:p w14:paraId="6894D81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3、轿厢壁：发纹不锈钢304，厚度≥1.2mm。轿厢侧面应设高0.8-0.85m的扶手。</w:t>
      </w:r>
    </w:p>
    <w:p w14:paraId="7CD0DE5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4、操作面板：发纹不锈钢304。</w:t>
      </w:r>
    </w:p>
    <w:p w14:paraId="31A643D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5、轿厢地面：PVC复合耐磨地板。</w:t>
      </w:r>
    </w:p>
    <w:p w14:paraId="2B859992">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6、轿厢内必须采用简体中文标明以下内容：电梯品牌，载重量，乘员人数，使用方法与安全注意事项。</w:t>
      </w:r>
    </w:p>
    <w:p w14:paraId="5CCC9874">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（四）、功能配置</w:t>
      </w:r>
    </w:p>
    <w:p w14:paraId="0C0A44CD">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安全功能</w:t>
      </w:r>
    </w:p>
    <w:p w14:paraId="23D9E016">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拯救及故障检测</w:t>
      </w:r>
    </w:p>
    <w:p w14:paraId="6E8A1CB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1）修正运行</w:t>
      </w:r>
    </w:p>
    <w:p w14:paraId="1BF67421">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2）马达过热保护</w:t>
      </w:r>
    </w:p>
    <w:p w14:paraId="0BDA1BC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3）电源相位故障监测</w:t>
      </w:r>
    </w:p>
    <w:p w14:paraId="3AC2A2F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4）驱动运行时间监察</w:t>
      </w:r>
    </w:p>
    <w:p w14:paraId="641F24C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5）制动方式一电阻式</w:t>
      </w:r>
    </w:p>
    <w:p w14:paraId="0348AB9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6）超载指示灯</w:t>
      </w:r>
    </w:p>
    <w:p w14:paraId="4D7B4AE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7）救助运行功能</w:t>
      </w:r>
    </w:p>
    <w:p w14:paraId="5FDC2F5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8）同步运行</w:t>
      </w:r>
    </w:p>
    <w:p w14:paraId="3B24989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9）轿厢应急照明--独立照明</w:t>
      </w:r>
    </w:p>
    <w:p w14:paraId="1DA54AB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10）断电再平功能、紧急通讯功能</w:t>
      </w:r>
    </w:p>
    <w:p w14:paraId="3BCA14A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11）警铃一五方通讯功能：按下轿厢中的紧急呼叫按钮能向机房和管理中心呼叫、通话，机房、底坑、轿顶、控制中心和轿内之间能五向互通。五方通话在控制中心设一个电话分机来集中受理通话请求。</w:t>
      </w:r>
    </w:p>
    <w:p w14:paraId="319D18E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其他安全及维护功能</w:t>
      </w:r>
    </w:p>
    <w:p w14:paraId="10103DA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12）检修运行</w:t>
      </w:r>
    </w:p>
    <w:p w14:paraId="2BC425E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13）维修用开门按钮</w:t>
      </w:r>
    </w:p>
    <w:p w14:paraId="52762C9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14）控制柜内呼按钮</w:t>
      </w:r>
    </w:p>
    <w:p w14:paraId="5466F50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15）轿门触点</w:t>
      </w:r>
    </w:p>
    <w:p w14:paraId="687E803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16）轿门位置开关</w:t>
      </w:r>
    </w:p>
    <w:p w14:paraId="12B0A9DD">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17）禁止开门开关</w:t>
      </w:r>
    </w:p>
    <w:p w14:paraId="560D7042">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18）轿厢急停开关一井道</w:t>
      </w:r>
    </w:p>
    <w:p w14:paraId="277FBC8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19）轿厢急停开关一控制柜</w:t>
      </w:r>
    </w:p>
    <w:p w14:paraId="21F3B169">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20）轿厢急停开关一轿顶</w:t>
      </w:r>
    </w:p>
    <w:p w14:paraId="71A7DB9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21）禁止外呼开关</w:t>
      </w:r>
    </w:p>
    <w:p w14:paraId="13319A3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22）轿厢限速器安全触点</w:t>
      </w:r>
    </w:p>
    <w:p w14:paraId="4C99382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23）轿厢安全钳安全触点</w:t>
      </w:r>
    </w:p>
    <w:p w14:paraId="68D2AAFD">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24）轿厢限速器张紧块安全触点乘客舒适功能出入轿厢</w:t>
      </w:r>
    </w:p>
    <w:p w14:paraId="21962A3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25）关门按钮</w:t>
      </w:r>
    </w:p>
    <w:p w14:paraId="7EA08DD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26）关门按钮指示灯</w:t>
      </w:r>
    </w:p>
    <w:p w14:paraId="2ED8645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27）开门按钮</w:t>
      </w:r>
    </w:p>
    <w:p w14:paraId="6DD884D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28）开门按钮指示灯</w:t>
      </w:r>
    </w:p>
    <w:p w14:paraId="67681516">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29）光蕃式安全门边</w:t>
      </w:r>
    </w:p>
    <w:p w14:paraId="023BFAD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30）内呼取消：设置双击取消按钮滋用、误用保护</w:t>
      </w:r>
    </w:p>
    <w:p w14:paraId="0B22CA9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31）按钮黏滞监察</w:t>
      </w:r>
    </w:p>
    <w:p w14:paraId="4A239A64">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32）反向内呼、运行舒适度</w:t>
      </w:r>
    </w:p>
    <w:p w14:paraId="7E73ACF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33）轿内风扇操作一自动</w:t>
      </w:r>
    </w:p>
    <w:p w14:paraId="46B2DCD9">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34）起动转矩预置</w:t>
      </w:r>
    </w:p>
    <w:p w14:paraId="204F7CA2">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35）测速计故障计数器，三次控制功能、空轿厢分配</w:t>
      </w:r>
    </w:p>
    <w:p w14:paraId="7F62769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36）主楼层停靠一门关信息功能，厅外乘客信息显示</w:t>
      </w:r>
    </w:p>
    <w:p w14:paraId="2241E15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37）外呼登记显示、轿内信息显示采用不锈钢按钮、液晶显示</w:t>
      </w:r>
    </w:p>
    <w:p w14:paraId="5C7BF83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38）超载报警显示功能</w:t>
      </w:r>
    </w:p>
    <w:p w14:paraId="5D87047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39）轿厢位置指示：轿厢上下运行及到达应有清晰显示。</w:t>
      </w:r>
    </w:p>
    <w:p w14:paraId="3D5FB1A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40）运行方向指示</w:t>
      </w:r>
    </w:p>
    <w:p w14:paraId="55DB816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41）内呼登记指示灯采用不锈钢按钮控制柜信息</w:t>
      </w:r>
    </w:p>
    <w:p w14:paraId="66D7429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42）控制柜内轿厢位置指示</w:t>
      </w:r>
    </w:p>
    <w:p w14:paraId="312E2A2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43）启动计数器、客户要求功能</w:t>
      </w:r>
    </w:p>
    <w:p w14:paraId="69E0370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44）消防员操作运行</w:t>
      </w:r>
    </w:p>
    <w:p w14:paraId="4C1008D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45）轿厢内监控功能</w:t>
      </w:r>
    </w:p>
    <w:p w14:paraId="04BC591C">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单元双住宅电梯控制方式采用两台并联控制，并能够进行消防联动。</w:t>
      </w:r>
    </w:p>
    <w:p w14:paraId="5643C10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（五）制造安装标准</w:t>
      </w:r>
    </w:p>
    <w:p w14:paraId="32E4FA61">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1、满足技术监督局和消防部门的整体验收。</w:t>
      </w:r>
    </w:p>
    <w:p w14:paraId="4126268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2、乙方的电梯设备应符合但不限于下列标准和规范，有最新版本列标准和规范的，应执行最新要求：</w:t>
      </w:r>
    </w:p>
    <w:p w14:paraId="309A05F2">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《电梯制造与安装安全规范》GB75882003</w:t>
      </w:r>
    </w:p>
    <w:p w14:paraId="0857085E">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《电梯实验方法》GB/T10059-2009《电梯技术条件》GB/T10058-2009</w:t>
      </w:r>
    </w:p>
    <w:p w14:paraId="25EAB4EB">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《电梯安装验收规范》GB/T 10060-2011</w:t>
      </w:r>
    </w:p>
    <w:p w14:paraId="2C074DB1">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《电梯工程施工质量验收规范》GB50310-2002</w:t>
      </w:r>
    </w:p>
    <w:p w14:paraId="7A422F8F">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《电梯主要参数轿厢、井道、机房的型式尺寸》GB/T-7025.1-2008</w:t>
      </w:r>
    </w:p>
    <w:p w14:paraId="28B14573">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《电梯用钢丝绳》GB8903-2005</w:t>
      </w:r>
    </w:p>
    <w:p w14:paraId="6FED7D57">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《电梯曳引机》GB/T24478-2009</w:t>
      </w:r>
    </w:p>
    <w:p w14:paraId="367FA1C8">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《电梯T型导轨》GB/T22562-2008</w:t>
      </w:r>
    </w:p>
    <w:p w14:paraId="7ECE4118">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《电梯监督检验和定期检验规则一曳引与强制驱动电梯》TSGT7001-2009。</w:t>
      </w:r>
    </w:p>
    <w:p w14:paraId="106078B2">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其他要求：</w:t>
      </w:r>
    </w:p>
    <w:p w14:paraId="116FCF7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1、电梯厅按钮高度为0.9-1.1m。</w:t>
      </w:r>
    </w:p>
    <w:p w14:paraId="1355FDA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2、电梯的曳引机、门机、控制柜三大系统核心部件必须为原品牌、原厂、原装、产品。供货时，需提供证明材料，电梯控制箱的主板应具有防水要求。</w:t>
      </w:r>
    </w:p>
    <w:p w14:paraId="5E5B890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3、为了和小区监控系统连接，在电梯安装时需在轿厢内预留固定监控摄像头位置和线头，提供电梯运行状态、故障报警及监控室预留接口。</w:t>
      </w:r>
    </w:p>
    <w:p w14:paraId="10D771D9">
      <w:pPr>
        <w:pStyle w:val="3"/>
        <w:jc w:val="center"/>
        <w:rPr>
          <w:color w:val="auto"/>
        </w:rPr>
        <w:sectPr>
          <w:footerReference r:id="rId6" w:type="first"/>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p w14:paraId="28E05A05">
      <w:pPr>
        <w:pStyle w:val="2"/>
        <w:ind w:left="0" w:leftChars="0" w:firstLine="0" w:firstLineChars="0"/>
        <w:jc w:val="center"/>
        <w:rPr>
          <w:color w:val="auto"/>
        </w:rPr>
      </w:pPr>
      <w:bookmarkStart w:id="229" w:name="_Toc157669096"/>
      <w:bookmarkStart w:id="230" w:name="_Toc5263"/>
      <w:r>
        <w:rPr>
          <w:color w:val="auto"/>
        </w:rPr>
        <w:t>第</w:t>
      </w:r>
      <w:r>
        <w:rPr>
          <w:rFonts w:hint="eastAsia"/>
          <w:color w:val="auto"/>
          <w:lang w:val="en-US" w:eastAsia="zh-CN"/>
        </w:rPr>
        <w:t>八</w:t>
      </w:r>
      <w:r>
        <w:rPr>
          <w:color w:val="auto"/>
        </w:rPr>
        <w:t>章</w:t>
      </w:r>
      <w:r>
        <w:rPr>
          <w:rFonts w:hint="eastAsia"/>
          <w:color w:val="auto"/>
        </w:rPr>
        <w:t xml:space="preserve">  </w:t>
      </w:r>
      <w:r>
        <w:rPr>
          <w:color w:val="auto"/>
        </w:rPr>
        <w:t>投标文件格式</w:t>
      </w:r>
      <w:bookmarkEnd w:id="228"/>
      <w:bookmarkEnd w:id="229"/>
      <w:bookmarkEnd w:id="230"/>
    </w:p>
    <w:p w14:paraId="59664D8D">
      <w:pPr>
        <w:jc w:val="center"/>
        <w:outlineLvl w:val="0"/>
        <w:rPr>
          <w:rFonts w:ascii="Times New Roman" w:hAnsi="Times New Roman"/>
          <w:color w:val="auto"/>
          <w:sz w:val="28"/>
          <w:szCs w:val="28"/>
        </w:rPr>
      </w:pPr>
      <w:r>
        <w:rPr>
          <w:rFonts w:hint="eastAsia" w:ascii="Times New Roman" w:hAnsi="Times New Roman"/>
          <w:color w:val="auto"/>
        </w:rPr>
        <w:t xml:space="preserve">                                                           </w:t>
      </w:r>
      <w:r>
        <w:rPr>
          <w:rFonts w:hint="eastAsia" w:ascii="Times New Roman" w:hAnsi="Times New Roman" w:eastAsia="黑体"/>
          <w:color w:val="auto"/>
          <w:sz w:val="28"/>
          <w:szCs w:val="28"/>
        </w:rPr>
        <w:t xml:space="preserve"> </w:t>
      </w:r>
    </w:p>
    <w:p w14:paraId="4342FB82">
      <w:pPr>
        <w:spacing w:line="400" w:lineRule="exact"/>
        <w:rPr>
          <w:rFonts w:ascii="Times New Roman" w:hAnsi="Times New Roman"/>
          <w:color w:val="auto"/>
        </w:rPr>
      </w:pPr>
    </w:p>
    <w:p w14:paraId="5B70070E">
      <w:pPr>
        <w:spacing w:line="400" w:lineRule="exact"/>
        <w:rPr>
          <w:rFonts w:ascii="Times New Roman" w:hAnsi="Times New Roman"/>
          <w:color w:val="auto"/>
        </w:rPr>
      </w:pPr>
    </w:p>
    <w:p w14:paraId="437B2DCD">
      <w:pPr>
        <w:jc w:val="center"/>
        <w:outlineLvl w:val="0"/>
        <w:rPr>
          <w:rFonts w:hint="default" w:ascii="Times New Roman" w:hAnsi="Times New Roman" w:eastAsia="黑体"/>
          <w:color w:val="auto"/>
          <w:sz w:val="28"/>
          <w:szCs w:val="28"/>
          <w:lang w:val="en-US" w:eastAsia="zh-CN"/>
        </w:rPr>
      </w:pPr>
      <w:r>
        <w:rPr>
          <w:rFonts w:hint="eastAsia" w:ascii="Times New Roman" w:hAnsi="Times New Roman" w:eastAsia="黑体"/>
          <w:color w:val="auto"/>
          <w:sz w:val="28"/>
          <w:szCs w:val="28"/>
          <w:u w:val="single"/>
        </w:rPr>
        <w:t xml:space="preserve">                </w:t>
      </w:r>
      <w:r>
        <w:rPr>
          <w:rFonts w:hint="eastAsia" w:ascii="Times New Roman" w:hAnsi="Times New Roman" w:eastAsia="黑体"/>
          <w:color w:val="auto"/>
          <w:sz w:val="28"/>
          <w:szCs w:val="28"/>
          <w:u w:val="single"/>
          <w:lang w:val="en-US" w:eastAsia="zh-CN"/>
        </w:rPr>
        <w:t xml:space="preserve"> </w:t>
      </w:r>
      <w:bookmarkStart w:id="231" w:name="_Toc14093"/>
      <w:bookmarkStart w:id="232" w:name="_Toc29107"/>
      <w:bookmarkStart w:id="233" w:name="_Toc28997"/>
      <w:bookmarkStart w:id="234" w:name="_Toc157669097"/>
      <w:r>
        <w:rPr>
          <w:rFonts w:ascii="Times New Roman" w:hAnsi="Times New Roman" w:eastAsia="黑体"/>
          <w:color w:val="auto"/>
          <w:sz w:val="28"/>
          <w:szCs w:val="28"/>
        </w:rPr>
        <w:t>（项目名称）</w:t>
      </w:r>
      <w:bookmarkEnd w:id="231"/>
      <w:bookmarkEnd w:id="232"/>
      <w:bookmarkEnd w:id="233"/>
      <w:bookmarkEnd w:id="234"/>
      <w:r>
        <w:rPr>
          <w:rFonts w:hint="eastAsia" w:ascii="Times New Roman" w:hAnsi="Times New Roman" w:eastAsia="黑体"/>
          <w:color w:val="auto"/>
          <w:sz w:val="28"/>
          <w:szCs w:val="28"/>
          <w:u w:val="single"/>
          <w:lang w:val="en-US" w:eastAsia="zh-CN"/>
        </w:rPr>
        <w:t xml:space="preserve">       </w:t>
      </w:r>
      <w:r>
        <w:rPr>
          <w:rFonts w:hint="eastAsia" w:ascii="Times New Roman" w:hAnsi="Times New Roman" w:eastAsia="黑体"/>
          <w:color w:val="auto"/>
          <w:sz w:val="28"/>
          <w:szCs w:val="28"/>
          <w:lang w:val="en-US" w:eastAsia="zh-CN"/>
        </w:rPr>
        <w:t>（标段）</w:t>
      </w:r>
    </w:p>
    <w:p w14:paraId="421834F9">
      <w:pPr>
        <w:rPr>
          <w:rFonts w:ascii="Times New Roman" w:hAnsi="Times New Roman" w:eastAsia="黑体"/>
          <w:color w:val="auto"/>
          <w:sz w:val="20"/>
        </w:rPr>
      </w:pPr>
    </w:p>
    <w:p w14:paraId="23E914AC">
      <w:pPr>
        <w:rPr>
          <w:rFonts w:ascii="Times New Roman" w:hAnsi="Times New Roman" w:eastAsia="黑体"/>
          <w:color w:val="auto"/>
          <w:sz w:val="20"/>
        </w:rPr>
      </w:pPr>
    </w:p>
    <w:p w14:paraId="32EEE28F">
      <w:pPr>
        <w:jc w:val="center"/>
        <w:rPr>
          <w:rFonts w:ascii="Times New Roman" w:hAnsi="Times New Roman" w:eastAsia="黑体"/>
          <w:color w:val="auto"/>
          <w:sz w:val="44"/>
        </w:rPr>
      </w:pPr>
    </w:p>
    <w:p w14:paraId="2F7D2B43">
      <w:pPr>
        <w:jc w:val="center"/>
        <w:rPr>
          <w:rFonts w:ascii="Times New Roman" w:hAnsi="Times New Roman" w:eastAsia="黑体"/>
          <w:color w:val="auto"/>
          <w:sz w:val="44"/>
        </w:rPr>
      </w:pPr>
    </w:p>
    <w:p w14:paraId="1098A129">
      <w:pPr>
        <w:jc w:val="center"/>
        <w:rPr>
          <w:rFonts w:ascii="Times New Roman" w:hAnsi="Times New Roman" w:eastAsia="黑体"/>
          <w:color w:val="auto"/>
          <w:sz w:val="44"/>
        </w:rPr>
      </w:pPr>
      <w:r>
        <w:rPr>
          <w:rFonts w:ascii="Times New Roman" w:hAnsi="Times New Roman" w:eastAsia="黑体"/>
          <w:color w:val="auto"/>
          <w:sz w:val="44"/>
        </w:rPr>
        <w:t>投 标 文 件</w:t>
      </w:r>
    </w:p>
    <w:p w14:paraId="73B6EA09">
      <w:pPr>
        <w:jc w:val="center"/>
        <w:rPr>
          <w:rFonts w:ascii="Times New Roman" w:hAnsi="Times New Roman" w:eastAsia="黑体"/>
          <w:color w:val="auto"/>
          <w:sz w:val="44"/>
        </w:rPr>
      </w:pPr>
    </w:p>
    <w:p w14:paraId="52C64F5D">
      <w:pPr>
        <w:ind w:firstLine="2940" w:firstLineChars="1050"/>
        <w:rPr>
          <w:rFonts w:ascii="Times New Roman" w:hAnsi="Times New Roman" w:eastAsia="黑体"/>
          <w:color w:val="auto"/>
          <w:sz w:val="28"/>
          <w:u w:val="single"/>
        </w:rPr>
      </w:pPr>
      <w:r>
        <w:rPr>
          <w:rFonts w:ascii="Times New Roman" w:hAnsi="Times New Roman" w:eastAsia="黑体"/>
          <w:color w:val="auto"/>
          <w:sz w:val="28"/>
        </w:rPr>
        <w:t>项目编号：</w:t>
      </w:r>
      <w:r>
        <w:rPr>
          <w:rFonts w:hint="eastAsia" w:ascii="Times New Roman" w:hAnsi="Times New Roman" w:eastAsia="黑体"/>
          <w:color w:val="auto"/>
          <w:sz w:val="28"/>
          <w:u w:val="single"/>
        </w:rPr>
        <w:t xml:space="preserve">             </w:t>
      </w:r>
    </w:p>
    <w:p w14:paraId="0D0A212D">
      <w:pPr>
        <w:rPr>
          <w:rFonts w:ascii="Times New Roman" w:hAnsi="Times New Roman" w:eastAsia="黑体"/>
          <w:color w:val="auto"/>
          <w:sz w:val="28"/>
        </w:rPr>
      </w:pPr>
    </w:p>
    <w:p w14:paraId="59D89DB4">
      <w:pPr>
        <w:rPr>
          <w:rFonts w:ascii="Times New Roman" w:hAnsi="Times New Roman" w:eastAsia="黑体"/>
          <w:color w:val="auto"/>
          <w:sz w:val="28"/>
        </w:rPr>
      </w:pPr>
    </w:p>
    <w:p w14:paraId="760B5957">
      <w:pPr>
        <w:rPr>
          <w:rFonts w:ascii="Times New Roman" w:hAnsi="Times New Roman" w:eastAsia="黑体"/>
          <w:color w:val="auto"/>
          <w:sz w:val="28"/>
        </w:rPr>
      </w:pPr>
    </w:p>
    <w:p w14:paraId="34DB5950">
      <w:pPr>
        <w:rPr>
          <w:rFonts w:ascii="Times New Roman" w:hAnsi="Times New Roman" w:eastAsia="黑体"/>
          <w:color w:val="auto"/>
          <w:sz w:val="28"/>
        </w:rPr>
      </w:pPr>
    </w:p>
    <w:p w14:paraId="5A64B398">
      <w:pPr>
        <w:rPr>
          <w:rFonts w:ascii="Times New Roman" w:hAnsi="Times New Roman" w:eastAsia="黑体"/>
          <w:color w:val="auto"/>
          <w:sz w:val="28"/>
        </w:rPr>
      </w:pPr>
    </w:p>
    <w:p w14:paraId="5B53D323">
      <w:pPr>
        <w:spacing w:line="400" w:lineRule="exact"/>
        <w:jc w:val="center"/>
        <w:rPr>
          <w:rFonts w:ascii="Times New Roman" w:hAnsi="Times New Roman"/>
          <w:color w:val="auto"/>
          <w:u w:val="single"/>
        </w:rPr>
      </w:pPr>
    </w:p>
    <w:p w14:paraId="3AB5E0F3">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投标人：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（盖单位章）</w:t>
      </w:r>
    </w:p>
    <w:p w14:paraId="6AC11AF8">
      <w:pPr>
        <w:spacing w:line="400" w:lineRule="exact"/>
        <w:ind w:firstLine="1960" w:firstLineChars="700"/>
        <w:rPr>
          <w:rFonts w:ascii="Times New Roman" w:hAnsi="Times New Roman" w:eastAsia="黑体"/>
          <w:color w:val="auto"/>
          <w:sz w:val="28"/>
          <w:u w:val="single"/>
        </w:rPr>
      </w:pPr>
    </w:p>
    <w:p w14:paraId="17F52E45">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法定代表人或委托代理人：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签字或盖章）</w:t>
      </w:r>
    </w:p>
    <w:p w14:paraId="68B8347F">
      <w:pPr>
        <w:spacing w:line="400" w:lineRule="exact"/>
        <w:jc w:val="center"/>
        <w:rPr>
          <w:rFonts w:ascii="Times New Roman" w:hAnsi="Times New Roman" w:eastAsia="黑体"/>
          <w:color w:val="auto"/>
          <w:sz w:val="28"/>
        </w:rPr>
      </w:pPr>
    </w:p>
    <w:p w14:paraId="09BA27BA">
      <w:pPr>
        <w:spacing w:line="400" w:lineRule="exact"/>
        <w:ind w:firstLine="1400" w:firstLineChars="500"/>
        <w:rPr>
          <w:rFonts w:ascii="Times New Roman" w:hAnsi="Times New Roman"/>
          <w:color w:val="auto"/>
        </w:rPr>
      </w:pPr>
      <w:r>
        <w:rPr>
          <w:rFonts w:hint="eastAsia" w:ascii="Times New Roman" w:hAnsi="Times New Roman" w:eastAsia="黑体"/>
          <w:color w:val="auto"/>
          <w:sz w:val="28"/>
        </w:rPr>
        <w:t>日   期：</w:t>
      </w:r>
      <w:r>
        <w:rPr>
          <w:rFonts w:hint="eastAsia" w:ascii="Times New Roman" w:hAnsi="Times New Roman" w:eastAsia="黑体"/>
          <w:color w:val="auto"/>
          <w:sz w:val="28"/>
          <w:u w:val="single"/>
        </w:rPr>
        <w:t xml:space="preserve">      </w:t>
      </w:r>
      <w:r>
        <w:rPr>
          <w:rFonts w:ascii="Times New Roman" w:hAnsi="Times New Roman" w:eastAsia="黑体"/>
          <w:color w:val="auto"/>
          <w:sz w:val="28"/>
        </w:rPr>
        <w:t>年</w:t>
      </w:r>
      <w:r>
        <w:rPr>
          <w:rFonts w:hint="eastAsia" w:ascii="Times New Roman" w:hAnsi="Times New Roman" w:eastAsia="黑体"/>
          <w:color w:val="auto"/>
          <w:sz w:val="28"/>
          <w:u w:val="single"/>
        </w:rPr>
        <w:t xml:space="preserve">     </w:t>
      </w:r>
      <w:r>
        <w:rPr>
          <w:rFonts w:ascii="Times New Roman" w:hAnsi="Times New Roman" w:eastAsia="黑体"/>
          <w:color w:val="auto"/>
          <w:sz w:val="28"/>
        </w:rPr>
        <w:t>月</w:t>
      </w:r>
      <w:r>
        <w:rPr>
          <w:rFonts w:hint="eastAsia" w:ascii="Times New Roman" w:hAnsi="Times New Roman" w:eastAsia="黑体"/>
          <w:color w:val="auto"/>
          <w:sz w:val="28"/>
        </w:rPr>
        <w:t xml:space="preserve"> </w:t>
      </w:r>
      <w:r>
        <w:rPr>
          <w:rFonts w:hint="eastAsia" w:ascii="Times New Roman" w:hAnsi="Times New Roman" w:eastAsia="黑体"/>
          <w:color w:val="auto"/>
          <w:sz w:val="28"/>
          <w:u w:val="single"/>
        </w:rPr>
        <w:t xml:space="preserve">     </w:t>
      </w:r>
      <w:r>
        <w:rPr>
          <w:rFonts w:ascii="Times New Roman" w:hAnsi="Times New Roman" w:eastAsia="黑体"/>
          <w:color w:val="auto"/>
          <w:sz w:val="28"/>
        </w:rPr>
        <w:t>日</w:t>
      </w:r>
      <w:r>
        <w:rPr>
          <w:rFonts w:ascii="Times New Roman" w:hAnsi="Times New Roman"/>
          <w:color w:val="auto"/>
        </w:rPr>
        <w:br w:type="page"/>
      </w:r>
    </w:p>
    <w:p w14:paraId="62D503D1">
      <w:pPr>
        <w:pStyle w:val="3"/>
        <w:jc w:val="center"/>
        <w:rPr>
          <w:rFonts w:ascii="Times New Roman" w:hAnsi="Times New Roman"/>
          <w:color w:val="auto"/>
        </w:rPr>
      </w:pPr>
      <w:bookmarkStart w:id="235" w:name="_Toc534190151"/>
      <w:r>
        <w:rPr>
          <w:rFonts w:ascii="Times New Roman" w:hAnsi="Times New Roman"/>
          <w:color w:val="auto"/>
        </w:rPr>
        <w:t>目</w:t>
      </w:r>
      <w:r>
        <w:rPr>
          <w:rFonts w:hint="eastAsia" w:ascii="Times New Roman" w:hAnsi="Times New Roman"/>
          <w:color w:val="auto"/>
        </w:rPr>
        <w:t xml:space="preserve"> </w:t>
      </w:r>
      <w:r>
        <w:rPr>
          <w:rFonts w:ascii="Times New Roman" w:hAnsi="Times New Roman"/>
          <w:color w:val="auto"/>
        </w:rPr>
        <w:t>录</w:t>
      </w:r>
      <w:bookmarkEnd w:id="235"/>
    </w:p>
    <w:p w14:paraId="283B60DE">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一、投标函</w:t>
      </w:r>
    </w:p>
    <w:p w14:paraId="07B94EE5">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二、</w:t>
      </w:r>
      <w:r>
        <w:rPr>
          <w:rFonts w:hint="eastAsia" w:ascii="Times New Roman" w:hAnsi="Times New Roman"/>
          <w:color w:val="auto"/>
          <w:sz w:val="24"/>
          <w:szCs w:val="24"/>
        </w:rPr>
        <w:t>报价一览表</w:t>
      </w:r>
    </w:p>
    <w:p w14:paraId="398D2C93">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三</w:t>
      </w:r>
      <w:r>
        <w:rPr>
          <w:rFonts w:ascii="Times New Roman" w:hAnsi="Times New Roman"/>
          <w:color w:val="auto"/>
          <w:sz w:val="24"/>
          <w:szCs w:val="24"/>
        </w:rPr>
        <w:t>、法定代表人身份证明</w:t>
      </w:r>
      <w:r>
        <w:rPr>
          <w:rFonts w:hint="eastAsia" w:ascii="Times New Roman" w:hAnsi="Times New Roman"/>
          <w:color w:val="auto"/>
          <w:sz w:val="24"/>
          <w:szCs w:val="24"/>
        </w:rPr>
        <w:t>或法人</w:t>
      </w:r>
      <w:r>
        <w:rPr>
          <w:rFonts w:ascii="Times New Roman" w:hAnsi="Times New Roman"/>
          <w:color w:val="auto"/>
          <w:sz w:val="24"/>
          <w:szCs w:val="24"/>
        </w:rPr>
        <w:t>授权委托书</w:t>
      </w:r>
    </w:p>
    <w:p w14:paraId="3183DCEF">
      <w:pPr>
        <w:spacing w:line="540" w:lineRule="exact"/>
        <w:ind w:firstLine="480" w:firstLineChars="200"/>
        <w:rPr>
          <w:rFonts w:ascii="Times New Roman" w:hAnsi="Times New Roman"/>
          <w:color w:val="auto"/>
          <w:sz w:val="24"/>
          <w:szCs w:val="24"/>
        </w:rPr>
      </w:pPr>
      <w:r>
        <w:rPr>
          <w:rFonts w:hint="eastAsia" w:ascii="Times New Roman" w:hAnsi="Times New Roman" w:cs="宋体"/>
          <w:color w:val="auto"/>
          <w:kern w:val="0"/>
          <w:sz w:val="24"/>
          <w:szCs w:val="24"/>
        </w:rPr>
        <w:t>四、</w:t>
      </w:r>
      <w:r>
        <w:rPr>
          <w:rFonts w:hint="eastAsia" w:ascii="Times New Roman" w:hAnsi="Times New Roman"/>
          <w:color w:val="auto"/>
          <w:sz w:val="24"/>
          <w:szCs w:val="24"/>
        </w:rPr>
        <w:t>已标价工程量清单</w:t>
      </w:r>
    </w:p>
    <w:p w14:paraId="14ABF8A5">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五</w:t>
      </w:r>
      <w:r>
        <w:rPr>
          <w:rFonts w:ascii="Times New Roman" w:hAnsi="Times New Roman"/>
          <w:color w:val="auto"/>
          <w:sz w:val="24"/>
          <w:szCs w:val="24"/>
        </w:rPr>
        <w:t>、</w:t>
      </w:r>
      <w:r>
        <w:rPr>
          <w:rFonts w:hint="eastAsia" w:ascii="Times New Roman" w:hAnsi="Times New Roman"/>
          <w:color w:val="auto"/>
          <w:sz w:val="24"/>
          <w:szCs w:val="24"/>
        </w:rPr>
        <w:t>施工组织设计</w:t>
      </w:r>
    </w:p>
    <w:p w14:paraId="0B8170BF">
      <w:pPr>
        <w:spacing w:line="540" w:lineRule="exact"/>
        <w:ind w:firstLine="480" w:firstLineChars="200"/>
        <w:rPr>
          <w:rFonts w:ascii="Times New Roman" w:hAnsi="Times New Roman"/>
          <w:color w:val="auto"/>
          <w:sz w:val="24"/>
          <w:szCs w:val="24"/>
        </w:rPr>
      </w:pPr>
      <w:bookmarkStart w:id="236" w:name="_Toc7039"/>
      <w:bookmarkStart w:id="237" w:name="_Toc352691655"/>
      <w:bookmarkStart w:id="238" w:name="_Toc369531691"/>
      <w:r>
        <w:rPr>
          <w:rFonts w:hint="eastAsia" w:ascii="Times New Roman" w:hAnsi="Times New Roman"/>
          <w:color w:val="auto"/>
          <w:sz w:val="24"/>
          <w:szCs w:val="24"/>
          <w:lang w:val="en-US" w:eastAsia="zh-CN"/>
        </w:rPr>
        <w:t>六</w:t>
      </w:r>
      <w:r>
        <w:rPr>
          <w:rFonts w:ascii="Times New Roman" w:hAnsi="Times New Roman"/>
          <w:color w:val="auto"/>
          <w:sz w:val="24"/>
          <w:szCs w:val="24"/>
        </w:rPr>
        <w:t>、</w:t>
      </w:r>
      <w:r>
        <w:rPr>
          <w:rFonts w:hint="eastAsia" w:ascii="Times New Roman" w:hAnsi="Times New Roman"/>
          <w:color w:val="auto"/>
          <w:sz w:val="24"/>
          <w:szCs w:val="24"/>
        </w:rPr>
        <w:t>项目管理机构</w:t>
      </w:r>
    </w:p>
    <w:p w14:paraId="2FAD9F10">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七</w:t>
      </w:r>
      <w:r>
        <w:rPr>
          <w:rFonts w:ascii="Times New Roman" w:hAnsi="Times New Roman"/>
          <w:color w:val="auto"/>
          <w:sz w:val="24"/>
          <w:szCs w:val="24"/>
        </w:rPr>
        <w:t>、</w:t>
      </w:r>
      <w:r>
        <w:rPr>
          <w:rFonts w:hint="eastAsia" w:ascii="Times New Roman" w:hAnsi="Times New Roman"/>
          <w:color w:val="auto"/>
          <w:sz w:val="24"/>
          <w:szCs w:val="24"/>
        </w:rPr>
        <w:t>资格审查资料</w:t>
      </w:r>
    </w:p>
    <w:p w14:paraId="3C00BE43">
      <w:pPr>
        <w:spacing w:line="540" w:lineRule="exact"/>
        <w:ind w:firstLine="480" w:firstLineChars="200"/>
        <w:rPr>
          <w:rFonts w:ascii="Times New Roman" w:hAnsi="Times New Roman"/>
          <w:color w:val="auto"/>
          <w:sz w:val="24"/>
          <w:szCs w:val="24"/>
        </w:rPr>
      </w:pPr>
      <w:bookmarkStart w:id="239" w:name="_Toc300835204"/>
      <w:bookmarkStart w:id="240" w:name="_Toc247514232"/>
      <w:bookmarkStart w:id="241" w:name="_Toc247527819"/>
      <w:r>
        <w:rPr>
          <w:rFonts w:hint="eastAsia" w:ascii="Times New Roman" w:hAnsi="Times New Roman"/>
          <w:color w:val="auto"/>
          <w:sz w:val="24"/>
          <w:szCs w:val="24"/>
          <w:lang w:val="en-US" w:eastAsia="zh-CN"/>
        </w:rPr>
        <w:t>八</w:t>
      </w:r>
      <w:r>
        <w:rPr>
          <w:rFonts w:ascii="Times New Roman" w:hAnsi="Times New Roman"/>
          <w:color w:val="auto"/>
          <w:sz w:val="24"/>
          <w:szCs w:val="24"/>
        </w:rPr>
        <w:t>、</w:t>
      </w:r>
      <w:bookmarkEnd w:id="239"/>
      <w:bookmarkEnd w:id="240"/>
      <w:bookmarkEnd w:id="241"/>
      <w:r>
        <w:rPr>
          <w:rFonts w:hint="eastAsia" w:ascii="Times New Roman" w:hAnsi="Times New Roman"/>
          <w:color w:val="auto"/>
          <w:sz w:val="24"/>
          <w:szCs w:val="24"/>
        </w:rPr>
        <w:t>对招标文件的认同程度的声明</w:t>
      </w:r>
    </w:p>
    <w:p w14:paraId="1D02C77E">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九</w:t>
      </w:r>
      <w:r>
        <w:rPr>
          <w:rFonts w:hint="eastAsia" w:ascii="Times New Roman" w:hAnsi="Times New Roman"/>
          <w:color w:val="auto"/>
          <w:sz w:val="24"/>
          <w:szCs w:val="24"/>
        </w:rPr>
        <w:t>、其他材料</w:t>
      </w:r>
    </w:p>
    <w:p w14:paraId="5EC4AFC4">
      <w:pPr>
        <w:pStyle w:val="17"/>
        <w:rPr>
          <w:color w:val="auto"/>
          <w:szCs w:val="21"/>
        </w:rPr>
      </w:pPr>
    </w:p>
    <w:p w14:paraId="6298EC48">
      <w:pPr>
        <w:rPr>
          <w:rFonts w:ascii="Times New Roman" w:hAnsi="Times New Roman"/>
          <w:color w:val="auto"/>
          <w:sz w:val="24"/>
          <w:szCs w:val="24"/>
        </w:rPr>
      </w:pPr>
    </w:p>
    <w:p w14:paraId="1FC5725F">
      <w:pPr>
        <w:pStyle w:val="17"/>
        <w:rPr>
          <w:color w:val="auto"/>
          <w:sz w:val="24"/>
          <w:szCs w:val="24"/>
        </w:rPr>
      </w:pPr>
    </w:p>
    <w:p w14:paraId="7CC4BD57">
      <w:pPr>
        <w:rPr>
          <w:rFonts w:ascii="Times New Roman" w:hAnsi="Times New Roman"/>
          <w:color w:val="auto"/>
          <w:sz w:val="24"/>
          <w:szCs w:val="24"/>
        </w:rPr>
      </w:pPr>
    </w:p>
    <w:p w14:paraId="7347C304">
      <w:pPr>
        <w:pStyle w:val="17"/>
        <w:rPr>
          <w:color w:val="auto"/>
          <w:sz w:val="24"/>
          <w:szCs w:val="24"/>
        </w:rPr>
      </w:pPr>
    </w:p>
    <w:p w14:paraId="2171203B">
      <w:pPr>
        <w:rPr>
          <w:rFonts w:ascii="Times New Roman" w:hAnsi="Times New Roman"/>
          <w:color w:val="auto"/>
          <w:sz w:val="24"/>
          <w:szCs w:val="24"/>
        </w:rPr>
      </w:pPr>
    </w:p>
    <w:p w14:paraId="5C82116C">
      <w:pPr>
        <w:pStyle w:val="17"/>
        <w:rPr>
          <w:color w:val="auto"/>
          <w:sz w:val="24"/>
          <w:szCs w:val="24"/>
        </w:rPr>
      </w:pPr>
    </w:p>
    <w:p w14:paraId="76E8266D">
      <w:pPr>
        <w:rPr>
          <w:rFonts w:ascii="Times New Roman" w:hAnsi="Times New Roman"/>
          <w:color w:val="auto"/>
          <w:sz w:val="24"/>
          <w:szCs w:val="24"/>
        </w:rPr>
      </w:pPr>
    </w:p>
    <w:p w14:paraId="0D8686B6">
      <w:pPr>
        <w:pStyle w:val="17"/>
        <w:rPr>
          <w:color w:val="auto"/>
          <w:sz w:val="24"/>
          <w:szCs w:val="24"/>
        </w:rPr>
      </w:pPr>
    </w:p>
    <w:p w14:paraId="4E0AB3C4">
      <w:pPr>
        <w:rPr>
          <w:rFonts w:ascii="Times New Roman" w:hAnsi="Times New Roman"/>
          <w:color w:val="auto"/>
          <w:sz w:val="24"/>
          <w:szCs w:val="24"/>
        </w:rPr>
      </w:pPr>
    </w:p>
    <w:p w14:paraId="5E249EB8">
      <w:pPr>
        <w:pStyle w:val="17"/>
        <w:rPr>
          <w:color w:val="auto"/>
          <w:sz w:val="24"/>
          <w:szCs w:val="24"/>
        </w:rPr>
      </w:pPr>
    </w:p>
    <w:p w14:paraId="43CD052B">
      <w:pPr>
        <w:rPr>
          <w:rFonts w:ascii="Times New Roman" w:hAnsi="Times New Roman"/>
          <w:color w:val="auto"/>
          <w:sz w:val="24"/>
          <w:szCs w:val="24"/>
        </w:rPr>
      </w:pPr>
    </w:p>
    <w:p w14:paraId="4D92B24E">
      <w:pPr>
        <w:pStyle w:val="17"/>
        <w:rPr>
          <w:color w:val="auto"/>
          <w:sz w:val="24"/>
          <w:szCs w:val="24"/>
        </w:rPr>
      </w:pPr>
    </w:p>
    <w:p w14:paraId="71407929">
      <w:pPr>
        <w:rPr>
          <w:rFonts w:ascii="Times New Roman" w:hAnsi="Times New Roman"/>
          <w:color w:val="auto"/>
          <w:sz w:val="24"/>
          <w:szCs w:val="24"/>
        </w:rPr>
      </w:pPr>
    </w:p>
    <w:p w14:paraId="7633D674">
      <w:pPr>
        <w:pStyle w:val="17"/>
        <w:rPr>
          <w:color w:val="auto"/>
          <w:sz w:val="24"/>
          <w:szCs w:val="24"/>
        </w:rPr>
      </w:pPr>
    </w:p>
    <w:p w14:paraId="544C4739">
      <w:pPr>
        <w:rPr>
          <w:rFonts w:ascii="Times New Roman" w:hAnsi="Times New Roman"/>
          <w:color w:val="auto"/>
          <w:sz w:val="24"/>
          <w:szCs w:val="24"/>
        </w:rPr>
      </w:pPr>
    </w:p>
    <w:p w14:paraId="00F13277">
      <w:pPr>
        <w:pStyle w:val="17"/>
        <w:rPr>
          <w:color w:val="auto"/>
          <w:sz w:val="24"/>
          <w:szCs w:val="24"/>
        </w:rPr>
      </w:pPr>
    </w:p>
    <w:p w14:paraId="1F345DF2">
      <w:pPr>
        <w:rPr>
          <w:rFonts w:ascii="Times New Roman" w:hAnsi="Times New Roman"/>
          <w:color w:val="auto"/>
          <w:sz w:val="24"/>
          <w:szCs w:val="24"/>
        </w:rPr>
      </w:pPr>
    </w:p>
    <w:p w14:paraId="3D802773">
      <w:pPr>
        <w:pStyle w:val="17"/>
        <w:rPr>
          <w:color w:val="auto"/>
          <w:sz w:val="24"/>
          <w:szCs w:val="24"/>
        </w:rPr>
      </w:pPr>
    </w:p>
    <w:p w14:paraId="19E6D651">
      <w:pPr>
        <w:rPr>
          <w:color w:val="auto"/>
        </w:rPr>
      </w:pPr>
    </w:p>
    <w:p w14:paraId="750610EA">
      <w:pPr>
        <w:pStyle w:val="36"/>
        <w:rPr>
          <w:color w:val="auto"/>
        </w:rPr>
      </w:pPr>
    </w:p>
    <w:p w14:paraId="4DBDB485">
      <w:pPr>
        <w:rPr>
          <w:color w:val="auto"/>
        </w:rPr>
      </w:pPr>
    </w:p>
    <w:bookmarkEnd w:id="236"/>
    <w:bookmarkEnd w:id="237"/>
    <w:bookmarkEnd w:id="238"/>
    <w:p w14:paraId="7C75958F">
      <w:pPr>
        <w:pStyle w:val="3"/>
        <w:numPr>
          <w:ilvl w:val="0"/>
          <w:numId w:val="3"/>
        </w:numPr>
        <w:jc w:val="center"/>
        <w:rPr>
          <w:rFonts w:ascii="黑体" w:hAnsi="黑体" w:cs="黑体"/>
          <w:color w:val="auto"/>
        </w:rPr>
      </w:pPr>
      <w:bookmarkStart w:id="242" w:name="_Toc534190152"/>
      <w:bookmarkStart w:id="243" w:name="_Toc14019"/>
      <w:r>
        <w:rPr>
          <w:rFonts w:hint="eastAsia" w:ascii="黑体" w:hAnsi="黑体" w:cs="黑体"/>
          <w:color w:val="auto"/>
        </w:rPr>
        <w:t>投标</w:t>
      </w:r>
      <w:bookmarkStart w:id="244" w:name="_Toc6931"/>
      <w:bookmarkStart w:id="245" w:name="_Toc352691656"/>
      <w:bookmarkStart w:id="246" w:name="_Toc369531692"/>
      <w:r>
        <w:rPr>
          <w:rFonts w:hint="eastAsia" w:ascii="黑体" w:hAnsi="黑体" w:cs="黑体"/>
          <w:color w:val="auto"/>
        </w:rPr>
        <w:t>函</w:t>
      </w:r>
      <w:bookmarkEnd w:id="242"/>
      <w:bookmarkEnd w:id="243"/>
    </w:p>
    <w:p w14:paraId="7FAD70E8">
      <w:pPr>
        <w:pStyle w:val="10"/>
        <w:rPr>
          <w:color w:val="auto"/>
        </w:rPr>
      </w:pPr>
    </w:p>
    <w:bookmarkEnd w:id="244"/>
    <w:bookmarkEnd w:id="245"/>
    <w:bookmarkEnd w:id="246"/>
    <w:p w14:paraId="3DF3EC8A">
      <w:pPr>
        <w:spacing w:line="360" w:lineRule="auto"/>
        <w:rPr>
          <w:rFonts w:ascii="宋体" w:hAnsi="宋体"/>
          <w:bCs/>
          <w:color w:val="auto"/>
          <w:szCs w:val="21"/>
        </w:rPr>
      </w:pPr>
      <w:r>
        <w:rPr>
          <w:rFonts w:hint="eastAsia" w:ascii="宋体" w:hAnsi="宋体"/>
          <w:bCs/>
          <w:color w:val="auto"/>
          <w:szCs w:val="21"/>
          <w:u w:val="single"/>
        </w:rPr>
        <w:t xml:space="preserve">                              </w:t>
      </w:r>
      <w:r>
        <w:rPr>
          <w:rFonts w:hint="eastAsia" w:ascii="宋体" w:hAnsi="宋体"/>
          <w:bCs/>
          <w:color w:val="auto"/>
          <w:szCs w:val="21"/>
        </w:rPr>
        <w:t>（招标人名称）：</w:t>
      </w:r>
    </w:p>
    <w:p w14:paraId="455E8044">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1．我方已仔细研究了</w:t>
      </w:r>
      <w:r>
        <w:rPr>
          <w:rFonts w:hint="eastAsia" w:ascii="Times New Roman" w:hAnsi="Times New Roman"/>
          <w:color w:val="auto"/>
          <w:szCs w:val="21"/>
          <w:u w:val="single"/>
        </w:rPr>
        <w:t xml:space="preserve">    </w:t>
      </w:r>
      <w:r>
        <w:rPr>
          <w:rFonts w:hint="eastAsia" w:ascii="Times New Roman" w:hAnsi="Times New Roman"/>
          <w:color w:val="auto"/>
          <w:szCs w:val="21"/>
          <w:u w:val="single"/>
          <w:lang w:eastAsia="zh-CN"/>
        </w:rPr>
        <w:t>（</w:t>
      </w:r>
      <w:r>
        <w:rPr>
          <w:rFonts w:hint="eastAsia" w:ascii="Times New Roman" w:hAnsi="Times New Roman"/>
          <w:color w:val="auto"/>
          <w:szCs w:val="21"/>
          <w:u w:val="single"/>
          <w:lang w:val="en-US" w:eastAsia="zh-CN"/>
        </w:rPr>
        <w:t>项目名称、标段</w:t>
      </w:r>
      <w:r>
        <w:rPr>
          <w:rFonts w:hint="eastAsia" w:ascii="Times New Roman" w:hAnsi="Times New Roman"/>
          <w:color w:val="auto"/>
          <w:szCs w:val="21"/>
          <w:u w:val="single"/>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招标文件的全部内容，对招标文件中所有的规定要求、条件全部确认，对招标文件的全部内容予以认同。</w:t>
      </w:r>
    </w:p>
    <w:p w14:paraId="2CBAB12F">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愿意以人民币（大写）</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元（¥ </w:t>
      </w:r>
      <w:r>
        <w:rPr>
          <w:rFonts w:hint="eastAsia" w:ascii="Times New Roman" w:hAnsi="Times New Roman"/>
          <w:color w:val="auto"/>
          <w:szCs w:val="21"/>
          <w:u w:val="single"/>
        </w:rPr>
        <w:t xml:space="preserve">         </w:t>
      </w:r>
      <w:r>
        <w:rPr>
          <w:rFonts w:hint="eastAsia" w:ascii="Times New Roman" w:hAnsi="Times New Roman"/>
          <w:color w:val="auto"/>
          <w:szCs w:val="21"/>
        </w:rPr>
        <w:t>）的投标总报价，完全认同招标文件中约定总工期</w:t>
      </w:r>
      <w:r>
        <w:rPr>
          <w:rFonts w:hint="eastAsia" w:ascii="Times New Roman" w:hAnsi="Times New Roman"/>
          <w:color w:val="auto"/>
          <w:szCs w:val="21"/>
          <w:u w:val="single"/>
        </w:rPr>
        <w:t xml:space="preserve">    </w:t>
      </w:r>
      <w:r>
        <w:rPr>
          <w:rFonts w:hint="eastAsia" w:ascii="Times New Roman" w:hAnsi="Times New Roman"/>
          <w:color w:val="auto"/>
          <w:szCs w:val="21"/>
        </w:rPr>
        <w:t>天，按合同约定实施和完成本项目，修补工程中的任何缺陷，工程质量达到</w:t>
      </w:r>
      <w:r>
        <w:rPr>
          <w:rFonts w:hint="eastAsia" w:ascii="Times New Roman" w:hAnsi="Times New Roman"/>
          <w:color w:val="auto"/>
          <w:szCs w:val="21"/>
          <w:u w:val="single"/>
        </w:rPr>
        <w:t xml:space="preserve">                      </w:t>
      </w:r>
      <w:r>
        <w:rPr>
          <w:rFonts w:hint="eastAsia" w:ascii="Times New Roman" w:hAnsi="Times New Roman"/>
          <w:color w:val="auto"/>
          <w:szCs w:val="21"/>
        </w:rPr>
        <w:t>。</w:t>
      </w:r>
    </w:p>
    <w:p w14:paraId="64F9F3E8">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2．我方承诺在投标有效期内不修改、撤销投标文件。</w:t>
      </w:r>
    </w:p>
    <w:p w14:paraId="6348B35B">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3．如我方中标：</w:t>
      </w:r>
    </w:p>
    <w:p w14:paraId="328CEE3D">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（l）我方承诺在收到中标通知书后，在中标通知书规定的期限内与你方签订合同。</w:t>
      </w:r>
    </w:p>
    <w:p w14:paraId="7FF07F26">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（2）在签订合同时不向你方提出附加条件；</w:t>
      </w:r>
    </w:p>
    <w:p w14:paraId="7DC285A7">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（3）我方承诺已准备了充足的资金，工程一径开工，施工中就不停工，并在合同约定的期限内完成并移交全部合同工程。</w:t>
      </w:r>
    </w:p>
    <w:p w14:paraId="511BA938">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（4）我方承诺在工程施工中，按时足额发放农民工工资，无拖欠农民工工资的现象。</w:t>
      </w:r>
    </w:p>
    <w:p w14:paraId="503C1644">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（5）在合同约定的期限内完成合同规定的全部义务。</w:t>
      </w:r>
    </w:p>
    <w:p w14:paraId="0F5C0065">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lang w:val="en-US" w:eastAsia="zh-CN"/>
        </w:rPr>
        <w:t>4．我方在此声明，所递交的投标文件及有关资料内容完整、真实和准</w:t>
      </w:r>
      <w:r>
        <w:rPr>
          <w:rFonts w:hint="eastAsia" w:ascii="Times New Roman" w:hAnsi="Times New Roman"/>
          <w:color w:val="auto"/>
          <w:szCs w:val="21"/>
        </w:rPr>
        <w:t>确，且不存在第二章“投标人须知” 规定的任何一种情形。</w:t>
      </w:r>
    </w:p>
    <w:p w14:paraId="4A4F3EFD">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5. （其他补充说明）。</w:t>
      </w:r>
    </w:p>
    <w:bookmarkEnd w:id="213"/>
    <w:bookmarkEnd w:id="214"/>
    <w:bookmarkEnd w:id="215"/>
    <w:bookmarkEnd w:id="216"/>
    <w:bookmarkEnd w:id="217"/>
    <w:bookmarkEnd w:id="218"/>
    <w:bookmarkEnd w:id="219"/>
    <w:bookmarkEnd w:id="220"/>
    <w:bookmarkEnd w:id="221"/>
    <w:p w14:paraId="4D62E6F6">
      <w:pPr>
        <w:spacing w:line="440" w:lineRule="exact"/>
        <w:ind w:firstLine="3780" w:firstLineChars="1800"/>
        <w:jc w:val="left"/>
        <w:rPr>
          <w:rFonts w:ascii="Times New Roman" w:hAnsi="Times New Roman"/>
          <w:color w:val="auto"/>
          <w:szCs w:val="21"/>
        </w:rPr>
      </w:pPr>
      <w:bookmarkStart w:id="247" w:name="_Toc352691659"/>
      <w:bookmarkEnd w:id="247"/>
      <w:bookmarkStart w:id="248" w:name="_Toc369531695"/>
      <w:bookmarkEnd w:id="248"/>
      <w:bookmarkStart w:id="249" w:name="_Toc352691660"/>
      <w:bookmarkEnd w:id="249"/>
      <w:bookmarkStart w:id="250" w:name="_Toc16568"/>
      <w:bookmarkEnd w:id="250"/>
      <w:bookmarkStart w:id="251" w:name="_Toc369531696"/>
      <w:bookmarkEnd w:id="251"/>
      <w:bookmarkStart w:id="252" w:name="_Toc16824"/>
      <w:bookmarkEnd w:id="252"/>
    </w:p>
    <w:p w14:paraId="36F861D1">
      <w:pPr>
        <w:spacing w:line="440" w:lineRule="exact"/>
        <w:ind w:firstLine="3780" w:firstLineChars="1800"/>
        <w:jc w:val="left"/>
        <w:rPr>
          <w:rFonts w:ascii="Times New Roman" w:hAnsi="Times New Roman"/>
          <w:color w:val="auto"/>
          <w:szCs w:val="21"/>
        </w:rPr>
      </w:pPr>
    </w:p>
    <w:p w14:paraId="58C2A60D">
      <w:pPr>
        <w:spacing w:line="440" w:lineRule="exact"/>
        <w:ind w:firstLine="3780" w:firstLineChars="1800"/>
        <w:jc w:val="left"/>
        <w:rPr>
          <w:rFonts w:ascii="Times New Roman" w:hAnsi="Times New Roman"/>
          <w:color w:val="auto"/>
          <w:szCs w:val="21"/>
        </w:rPr>
      </w:pPr>
    </w:p>
    <w:p w14:paraId="0FFC0C99">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投 标 人：</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 （盖单位章） </w:t>
      </w:r>
      <w:r>
        <w:rPr>
          <w:rFonts w:hint="eastAsia"/>
          <w:color w:val="auto"/>
          <w:szCs w:val="21"/>
        </w:rPr>
        <w:t xml:space="preserve">   </w:t>
      </w:r>
    </w:p>
    <w:p w14:paraId="0E6C4A35">
      <w:pPr>
        <w:spacing w:line="440" w:lineRule="exact"/>
        <w:jc w:val="left"/>
        <w:rPr>
          <w:rFonts w:ascii="Times New Roman" w:hAnsi="Times New Roman"/>
          <w:color w:val="auto"/>
          <w:szCs w:val="21"/>
        </w:rPr>
      </w:pPr>
      <w:r>
        <w:rPr>
          <w:rFonts w:ascii="Times New Roman" w:hAnsi="Times New Roman"/>
          <w:color w:val="auto"/>
          <w:szCs w:val="21"/>
        </w:rPr>
        <w:t xml:space="preserve">                      </w:t>
      </w:r>
      <w:r>
        <w:rPr>
          <w:rFonts w:hint="eastAsia" w:ascii="Times New Roman" w:hAnsi="Times New Roman"/>
          <w:color w:val="auto"/>
          <w:szCs w:val="21"/>
        </w:rPr>
        <w:t xml:space="preserve">            </w:t>
      </w:r>
      <w:r>
        <w:rPr>
          <w:rFonts w:ascii="Times New Roman" w:hAnsi="Times New Roman"/>
          <w:color w:val="auto"/>
          <w:szCs w:val="21"/>
        </w:rPr>
        <w:t xml:space="preserve">  法定代表人或其委托代理人：</w:t>
      </w:r>
      <w:r>
        <w:rPr>
          <w:rFonts w:hint="eastAsia" w:ascii="Times New Roman" w:hAnsi="Times New Roman"/>
          <w:color w:val="auto"/>
          <w:szCs w:val="21"/>
          <w:u w:val="single"/>
        </w:rPr>
        <w:t xml:space="preserve">   </w:t>
      </w:r>
      <w:r>
        <w:rPr>
          <w:rFonts w:ascii="Times New Roman" w:hAnsi="Times New Roman"/>
          <w:color w:val="auto"/>
          <w:szCs w:val="21"/>
          <w:u w:val="single"/>
        </w:rPr>
        <w:tab/>
      </w:r>
      <w:r>
        <w:rPr>
          <w:rFonts w:ascii="Times New Roman" w:hAnsi="Times New Roman"/>
          <w:color w:val="auto"/>
          <w:szCs w:val="21"/>
        </w:rPr>
        <w:t>（签字或盖章）</w:t>
      </w:r>
    </w:p>
    <w:p w14:paraId="7BD7173A">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地    址：</w:t>
      </w:r>
      <w:r>
        <w:rPr>
          <w:rFonts w:ascii="Times New Roman" w:hAnsi="Times New Roman"/>
          <w:color w:val="auto"/>
          <w:szCs w:val="21"/>
          <w:u w:val="single"/>
        </w:rPr>
        <w:tab/>
      </w:r>
      <w:r>
        <w:rPr>
          <w:rFonts w:hint="eastAsia" w:ascii="Times New Roman" w:hAnsi="Times New Roman"/>
          <w:color w:val="auto"/>
          <w:szCs w:val="21"/>
          <w:u w:val="single"/>
        </w:rPr>
        <w:t xml:space="preserve">               </w:t>
      </w:r>
      <w:r>
        <w:rPr>
          <w:rFonts w:ascii="Times New Roman" w:hAnsi="Times New Roman"/>
          <w:color w:val="auto"/>
          <w:szCs w:val="21"/>
          <w:u w:val="single"/>
        </w:rPr>
        <w:tab/>
      </w:r>
    </w:p>
    <w:p w14:paraId="2B1305C0">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电    话：</w:t>
      </w:r>
      <w:r>
        <w:rPr>
          <w:rFonts w:ascii="Times New Roman" w:hAnsi="Times New Roman"/>
          <w:color w:val="auto"/>
          <w:szCs w:val="21"/>
          <w:u w:val="single"/>
        </w:rPr>
        <w:tab/>
      </w:r>
      <w:r>
        <w:rPr>
          <w:rFonts w:hint="eastAsia" w:ascii="Times New Roman" w:hAnsi="Times New Roman"/>
          <w:color w:val="auto"/>
          <w:szCs w:val="21"/>
          <w:u w:val="single"/>
        </w:rPr>
        <w:t xml:space="preserve">            </w:t>
      </w:r>
      <w:r>
        <w:rPr>
          <w:rFonts w:ascii="Times New Roman" w:hAnsi="Times New Roman"/>
          <w:color w:val="auto"/>
          <w:szCs w:val="21"/>
          <w:u w:val="single"/>
        </w:rPr>
        <w:tab/>
      </w:r>
    </w:p>
    <w:p w14:paraId="16F3E859">
      <w:pPr>
        <w:wordWrap w:val="0"/>
        <w:spacing w:line="440" w:lineRule="exact"/>
        <w:ind w:firstLine="3990" w:firstLineChars="1900"/>
        <w:rPr>
          <w:rFonts w:ascii="Times New Roman" w:hAnsi="Times New Roman"/>
          <w:color w:val="auto"/>
          <w:szCs w:val="21"/>
        </w:rPr>
      </w:pPr>
      <w:r>
        <w:rPr>
          <w:rFonts w:hint="eastAsia" w:ascii="Times New Roman" w:hAnsi="Times New Roman"/>
          <w:color w:val="auto"/>
          <w:szCs w:val="21"/>
          <w:u w:val="single"/>
        </w:rPr>
        <w:t xml:space="preserve">       </w:t>
      </w:r>
      <w:r>
        <w:rPr>
          <w:rFonts w:hint="eastAsia" w:ascii="Times New Roman" w:hAnsi="Times New Roman"/>
          <w:color w:val="auto"/>
          <w:szCs w:val="21"/>
        </w:rPr>
        <w:t>年</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 </w:t>
      </w:r>
      <w:r>
        <w:rPr>
          <w:rFonts w:ascii="Times New Roman" w:hAnsi="Times New Roman"/>
          <w:color w:val="auto"/>
          <w:szCs w:val="21"/>
        </w:rPr>
        <w:t>月</w:t>
      </w:r>
      <w:r>
        <w:rPr>
          <w:rFonts w:hint="eastAsia" w:ascii="Times New Roman" w:hAnsi="Times New Roman"/>
          <w:color w:val="auto"/>
          <w:szCs w:val="21"/>
          <w:u w:val="single"/>
        </w:rPr>
        <w:t xml:space="preserve">       </w:t>
      </w:r>
      <w:r>
        <w:rPr>
          <w:rFonts w:ascii="Times New Roman" w:hAnsi="Times New Roman"/>
          <w:color w:val="auto"/>
          <w:szCs w:val="21"/>
        </w:rPr>
        <w:t>日</w:t>
      </w:r>
    </w:p>
    <w:p w14:paraId="7A45B585">
      <w:pPr>
        <w:spacing w:line="440" w:lineRule="exact"/>
        <w:rPr>
          <w:rFonts w:ascii="Times New Roman" w:hAnsi="Times New Roman"/>
          <w:color w:val="auto"/>
          <w:szCs w:val="21"/>
        </w:rPr>
      </w:pPr>
    </w:p>
    <w:p w14:paraId="210D8322">
      <w:pPr>
        <w:pStyle w:val="10"/>
        <w:rPr>
          <w:rFonts w:ascii="Times New Roman" w:hAnsi="Times New Roman" w:eastAsia="黑体"/>
          <w:color w:val="auto"/>
          <w:sz w:val="20"/>
        </w:rPr>
      </w:pPr>
      <w:bookmarkStart w:id="253" w:name="_Toc384308375"/>
      <w:bookmarkStart w:id="254" w:name="_Toc152042576"/>
      <w:bookmarkStart w:id="255" w:name="_Toc247514246"/>
      <w:bookmarkStart w:id="256" w:name="_Toc369531697"/>
      <w:bookmarkStart w:id="257" w:name="_Toc247527827"/>
      <w:bookmarkStart w:id="258" w:name="_Toc144974856"/>
      <w:bookmarkStart w:id="259" w:name="_Toc352691661"/>
      <w:bookmarkStart w:id="260" w:name="_Toc17960"/>
      <w:bookmarkStart w:id="261" w:name="_Toc300835209"/>
      <w:bookmarkStart w:id="262" w:name="_Toc152045787"/>
      <w:bookmarkStart w:id="263" w:name="_Toc361508752"/>
    </w:p>
    <w:p w14:paraId="1989C1D7">
      <w:pPr>
        <w:pStyle w:val="3"/>
        <w:numPr>
          <w:ilvl w:val="0"/>
          <w:numId w:val="3"/>
        </w:numPr>
        <w:jc w:val="center"/>
        <w:rPr>
          <w:rFonts w:ascii="黑体" w:hAnsi="黑体" w:cs="黑体"/>
          <w:color w:val="auto"/>
        </w:rPr>
      </w:pPr>
      <w:bookmarkStart w:id="264" w:name="_Toc16889"/>
      <w:r>
        <w:rPr>
          <w:rFonts w:hint="eastAsia" w:ascii="黑体" w:hAnsi="黑体" w:cs="黑体"/>
          <w:color w:val="auto"/>
        </w:rPr>
        <w:t>报价一览表</w:t>
      </w:r>
      <w:bookmarkEnd w:id="264"/>
    </w:p>
    <w:tbl>
      <w:tblPr>
        <w:tblStyle w:val="37"/>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3"/>
        <w:gridCol w:w="3776"/>
        <w:gridCol w:w="1470"/>
        <w:gridCol w:w="1991"/>
      </w:tblGrid>
      <w:tr w14:paraId="5C72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243" w:type="dxa"/>
            <w:vAlign w:val="center"/>
          </w:tcPr>
          <w:p w14:paraId="7ABA4FD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项目名称</w:t>
            </w:r>
          </w:p>
        </w:tc>
        <w:tc>
          <w:tcPr>
            <w:tcW w:w="3776" w:type="dxa"/>
            <w:vAlign w:val="center"/>
          </w:tcPr>
          <w:p w14:paraId="7C0304B9">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c>
          <w:tcPr>
            <w:tcW w:w="1470" w:type="dxa"/>
            <w:vAlign w:val="center"/>
          </w:tcPr>
          <w:p w14:paraId="38EFBEE7">
            <w:pPr>
              <w:keepNext w:val="0"/>
              <w:keepLines w:val="0"/>
              <w:suppressLineNumbers w:val="0"/>
              <w:tabs>
                <w:tab w:val="left" w:pos="2730"/>
              </w:tabs>
              <w:snapToGrid w:val="0"/>
              <w:spacing w:before="0" w:beforeAutospacing="0" w:after="0" w:afterAutospacing="0" w:line="360" w:lineRule="auto"/>
              <w:ind w:left="0" w:right="0"/>
              <w:jc w:val="center"/>
              <w:rPr>
                <w:rFonts w:hint="eastAsia" w:ascii="宋体" w:hAnsi="宋体" w:eastAsia="仿宋"/>
                <w:bCs/>
                <w:color w:val="auto"/>
                <w:kern w:val="0"/>
                <w:szCs w:val="21"/>
                <w:lang w:val="en-US" w:eastAsia="zh-CN"/>
              </w:rPr>
            </w:pPr>
            <w:r>
              <w:rPr>
                <w:rFonts w:hint="eastAsia" w:ascii="宋体" w:hAnsi="宋体"/>
                <w:bCs/>
                <w:color w:val="auto"/>
                <w:kern w:val="0"/>
                <w:szCs w:val="21"/>
                <w:lang w:val="en-US" w:eastAsia="zh-CN"/>
              </w:rPr>
              <w:t>标段</w:t>
            </w:r>
          </w:p>
        </w:tc>
        <w:tc>
          <w:tcPr>
            <w:tcW w:w="1991" w:type="dxa"/>
            <w:vAlign w:val="center"/>
          </w:tcPr>
          <w:p w14:paraId="5E7802C7">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3233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243" w:type="dxa"/>
            <w:vAlign w:val="center"/>
          </w:tcPr>
          <w:p w14:paraId="2A7546C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投标人名称</w:t>
            </w:r>
          </w:p>
        </w:tc>
        <w:tc>
          <w:tcPr>
            <w:tcW w:w="7237" w:type="dxa"/>
            <w:gridSpan w:val="3"/>
            <w:vAlign w:val="center"/>
          </w:tcPr>
          <w:p w14:paraId="734871DA">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7D12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243" w:type="dxa"/>
            <w:vAlign w:val="center"/>
          </w:tcPr>
          <w:p w14:paraId="3448D1D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总报价（元）</w:t>
            </w:r>
          </w:p>
        </w:tc>
        <w:tc>
          <w:tcPr>
            <w:tcW w:w="7237" w:type="dxa"/>
            <w:gridSpan w:val="3"/>
            <w:vAlign w:val="center"/>
          </w:tcPr>
          <w:p w14:paraId="6E3347DD">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u w:val="single"/>
              </w:rPr>
            </w:pPr>
            <w:r>
              <w:rPr>
                <w:rFonts w:hint="eastAsia" w:ascii="宋体" w:hAnsi="宋体"/>
                <w:bCs/>
                <w:color w:val="auto"/>
                <w:kern w:val="0"/>
                <w:szCs w:val="21"/>
              </w:rPr>
              <w:t>大写：</w:t>
            </w:r>
            <w:r>
              <w:rPr>
                <w:rFonts w:hint="eastAsia" w:ascii="宋体" w:hAnsi="宋体"/>
                <w:bCs/>
                <w:color w:val="auto"/>
                <w:kern w:val="0"/>
                <w:szCs w:val="21"/>
                <w:u w:val="single"/>
              </w:rPr>
              <w:t xml:space="preserve">                        </w:t>
            </w:r>
          </w:p>
          <w:p w14:paraId="2AFC939F">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rPr>
            </w:pPr>
            <w:r>
              <w:rPr>
                <w:rFonts w:hint="eastAsia" w:ascii="宋体" w:hAnsi="宋体"/>
                <w:bCs/>
                <w:color w:val="auto"/>
                <w:kern w:val="0"/>
                <w:szCs w:val="21"/>
              </w:rPr>
              <w:t>小写：</w:t>
            </w:r>
            <w:r>
              <w:rPr>
                <w:rFonts w:hint="eastAsia" w:ascii="宋体" w:hAnsi="宋体"/>
                <w:bCs/>
                <w:color w:val="auto"/>
                <w:kern w:val="0"/>
                <w:szCs w:val="21"/>
                <w:u w:val="single"/>
              </w:rPr>
              <w:t xml:space="preserve">                        </w:t>
            </w:r>
          </w:p>
        </w:tc>
      </w:tr>
      <w:tr w14:paraId="1BF1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2243" w:type="dxa"/>
            <w:vAlign w:val="center"/>
          </w:tcPr>
          <w:p w14:paraId="1C7E6E8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计划工期</w:t>
            </w:r>
          </w:p>
        </w:tc>
        <w:tc>
          <w:tcPr>
            <w:tcW w:w="7237" w:type="dxa"/>
            <w:gridSpan w:val="3"/>
            <w:vAlign w:val="center"/>
          </w:tcPr>
          <w:p w14:paraId="4BEC034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47F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243" w:type="dxa"/>
            <w:vAlign w:val="center"/>
          </w:tcPr>
          <w:p w14:paraId="48E800DC">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cs="宋体"/>
                <w:bCs/>
                <w:color w:val="auto"/>
                <w:kern w:val="0"/>
                <w:szCs w:val="21"/>
              </w:rPr>
              <w:t>质量标准</w:t>
            </w:r>
          </w:p>
        </w:tc>
        <w:tc>
          <w:tcPr>
            <w:tcW w:w="7237" w:type="dxa"/>
            <w:gridSpan w:val="3"/>
            <w:vAlign w:val="center"/>
          </w:tcPr>
          <w:p w14:paraId="0BB6432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2941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2243" w:type="dxa"/>
            <w:vAlign w:val="center"/>
          </w:tcPr>
          <w:p w14:paraId="5B9AAB4A">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对招标文件的认同程度</w:t>
            </w:r>
          </w:p>
        </w:tc>
        <w:tc>
          <w:tcPr>
            <w:tcW w:w="7237" w:type="dxa"/>
            <w:gridSpan w:val="3"/>
            <w:vAlign w:val="center"/>
          </w:tcPr>
          <w:p w14:paraId="063F205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1746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2243" w:type="dxa"/>
            <w:vAlign w:val="center"/>
          </w:tcPr>
          <w:p w14:paraId="2ECCC05D">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备注（其他优惠条款及承诺）</w:t>
            </w:r>
          </w:p>
        </w:tc>
        <w:tc>
          <w:tcPr>
            <w:tcW w:w="7237" w:type="dxa"/>
            <w:gridSpan w:val="3"/>
            <w:vAlign w:val="center"/>
          </w:tcPr>
          <w:p w14:paraId="1E72D211">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bl>
    <w:p w14:paraId="563271D0">
      <w:pPr>
        <w:spacing w:line="360" w:lineRule="auto"/>
        <w:ind w:firstLine="422" w:firstLineChars="200"/>
        <w:rPr>
          <w:rFonts w:ascii="宋体" w:hAnsi="宋体" w:cs="宋体"/>
          <w:b/>
          <w:bCs/>
          <w:color w:val="auto"/>
          <w:kern w:val="0"/>
          <w:szCs w:val="21"/>
          <w:lang w:val="fr-FR"/>
        </w:rPr>
      </w:pPr>
      <w:r>
        <w:rPr>
          <w:rFonts w:hint="eastAsia" w:ascii="宋体" w:hAnsi="宋体" w:cs="宋体"/>
          <w:b/>
          <w:bCs/>
          <w:color w:val="auto"/>
          <w:kern w:val="0"/>
          <w:szCs w:val="21"/>
          <w:lang w:val="fr-FR"/>
        </w:rPr>
        <w:t>备注：报价保留两位小数</w:t>
      </w:r>
    </w:p>
    <w:p w14:paraId="60A03BCE">
      <w:pPr>
        <w:jc w:val="center"/>
        <w:rPr>
          <w:rFonts w:ascii="宋体" w:hAnsi="宋体" w:cs="宋体"/>
          <w:bCs/>
          <w:color w:val="auto"/>
          <w:szCs w:val="21"/>
        </w:rPr>
      </w:pPr>
    </w:p>
    <w:p w14:paraId="17090F5A">
      <w:pPr>
        <w:ind w:left="420" w:leftChars="200"/>
        <w:rPr>
          <w:rFonts w:ascii="宋体" w:hAnsi="宋体" w:cs="宋体"/>
          <w:bCs/>
          <w:color w:val="auto"/>
          <w:szCs w:val="21"/>
        </w:rPr>
      </w:pPr>
    </w:p>
    <w:p w14:paraId="18DCCED5">
      <w:pPr>
        <w:spacing w:line="360" w:lineRule="auto"/>
        <w:ind w:firstLine="3360" w:firstLineChars="1600"/>
        <w:rPr>
          <w:rFonts w:ascii="宋体" w:hAnsi="宋体" w:cs="宋体"/>
          <w:color w:val="auto"/>
          <w:szCs w:val="21"/>
        </w:rPr>
      </w:pPr>
      <w:r>
        <w:rPr>
          <w:rFonts w:hint="eastAsia" w:ascii="宋体" w:hAnsi="宋体" w:cs="宋体"/>
          <w:color w:val="auto"/>
          <w:szCs w:val="21"/>
        </w:rPr>
        <w:t xml:space="preserve"> 投标人： </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AB931F6">
      <w:pPr>
        <w:spacing w:line="360" w:lineRule="auto"/>
        <w:ind w:firstLine="3418" w:firstLineChars="1628"/>
        <w:jc w:val="lef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（签字或盖章）</w:t>
      </w:r>
    </w:p>
    <w:p w14:paraId="352E54FE">
      <w:pPr>
        <w:spacing w:line="360" w:lineRule="auto"/>
        <w:ind w:firstLine="4258" w:firstLineChars="20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5343D5C">
      <w:pPr>
        <w:spacing w:line="360" w:lineRule="auto"/>
        <w:rPr>
          <w:rFonts w:ascii="宋体" w:hAnsi="宋体" w:cs="宋体"/>
          <w:color w:val="auto"/>
          <w:sz w:val="24"/>
          <w:szCs w:val="24"/>
        </w:rPr>
        <w:sectPr>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bookmarkEnd w:id="253"/>
    <w:bookmarkEnd w:id="254"/>
    <w:bookmarkEnd w:id="255"/>
    <w:bookmarkEnd w:id="256"/>
    <w:bookmarkEnd w:id="257"/>
    <w:bookmarkEnd w:id="258"/>
    <w:bookmarkEnd w:id="259"/>
    <w:bookmarkEnd w:id="260"/>
    <w:bookmarkEnd w:id="261"/>
    <w:bookmarkEnd w:id="262"/>
    <w:bookmarkEnd w:id="263"/>
    <w:p w14:paraId="548274DC">
      <w:pPr>
        <w:pStyle w:val="3"/>
        <w:jc w:val="center"/>
        <w:rPr>
          <w:rFonts w:ascii="Times New Roman" w:hAnsi="Times New Roman"/>
          <w:color w:val="auto"/>
        </w:rPr>
      </w:pPr>
      <w:bookmarkStart w:id="265" w:name="_Toc7091"/>
      <w:bookmarkStart w:id="266" w:name="_Toc534190153"/>
      <w:r>
        <w:rPr>
          <w:rFonts w:hint="eastAsia" w:ascii="Times New Roman" w:hAnsi="Times New Roman"/>
          <w:color w:val="auto"/>
        </w:rPr>
        <w:t>三</w:t>
      </w:r>
      <w:r>
        <w:rPr>
          <w:rFonts w:ascii="Times New Roman" w:hAnsi="Times New Roman"/>
          <w:color w:val="auto"/>
        </w:rPr>
        <w:t>、法定代表人身份证明</w:t>
      </w:r>
      <w:bookmarkEnd w:id="265"/>
      <w:bookmarkEnd w:id="266"/>
    </w:p>
    <w:p w14:paraId="4152C431">
      <w:pPr>
        <w:spacing w:line="360" w:lineRule="auto"/>
        <w:jc w:val="center"/>
        <w:rPr>
          <w:rFonts w:ascii="宋体" w:hAnsi="宋体" w:cs="宋体"/>
          <w:b/>
          <w:color w:val="auto"/>
          <w:sz w:val="28"/>
          <w:szCs w:val="28"/>
        </w:rPr>
      </w:pPr>
    </w:p>
    <w:p w14:paraId="5F6A09A5">
      <w:pPr>
        <w:spacing w:line="480" w:lineRule="auto"/>
        <w:ind w:firstLine="630" w:firstLineChars="300"/>
        <w:rPr>
          <w:rFonts w:ascii="宋体" w:hAnsi="宋体" w:cs="宋体"/>
          <w:color w:val="auto"/>
          <w:szCs w:val="21"/>
        </w:rPr>
      </w:pPr>
      <w:r>
        <w:rPr>
          <w:rFonts w:hint="eastAsia" w:ascii="宋体" w:hAnsi="宋体" w:cs="宋体"/>
          <w:color w:val="auto"/>
          <w:szCs w:val="21"/>
        </w:rPr>
        <w:t>投标人名称：</w:t>
      </w:r>
      <w:r>
        <w:rPr>
          <w:rFonts w:hint="eastAsia" w:ascii="宋体" w:hAnsi="宋体" w:cs="宋体"/>
          <w:color w:val="auto"/>
          <w:szCs w:val="21"/>
          <w:u w:val="single"/>
        </w:rPr>
        <w:t xml:space="preserve">                                 </w:t>
      </w:r>
    </w:p>
    <w:p w14:paraId="4F800B47">
      <w:pPr>
        <w:spacing w:line="480" w:lineRule="auto"/>
        <w:ind w:firstLine="630" w:firstLineChars="300"/>
        <w:rPr>
          <w:rFonts w:ascii="宋体" w:hAnsi="宋体" w:cs="宋体"/>
          <w:color w:val="auto"/>
          <w:szCs w:val="21"/>
        </w:rPr>
      </w:pPr>
      <w:r>
        <w:rPr>
          <w:rFonts w:hint="eastAsia" w:ascii="宋体" w:hAnsi="宋体" w:cs="宋体"/>
          <w:color w:val="auto"/>
          <w:szCs w:val="21"/>
        </w:rPr>
        <w:t>单位性质：</w:t>
      </w:r>
      <w:r>
        <w:rPr>
          <w:rFonts w:hint="eastAsia" w:ascii="宋体" w:hAnsi="宋体" w:cs="宋体"/>
          <w:color w:val="auto"/>
          <w:szCs w:val="21"/>
          <w:u w:val="single"/>
        </w:rPr>
        <w:t xml:space="preserve">                                   </w:t>
      </w:r>
    </w:p>
    <w:p w14:paraId="0BABDF84">
      <w:pPr>
        <w:spacing w:line="480" w:lineRule="auto"/>
        <w:ind w:firstLine="630" w:firstLineChars="300"/>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p w14:paraId="0BD4D7E7">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成立时间：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 xml:space="preserve">月 </w:t>
      </w:r>
      <w:r>
        <w:rPr>
          <w:rFonts w:hint="eastAsia" w:ascii="宋体" w:hAnsi="宋体" w:cs="宋体"/>
          <w:color w:val="auto"/>
          <w:szCs w:val="21"/>
          <w:u w:val="single"/>
        </w:rPr>
        <w:t xml:space="preserve">      </w:t>
      </w:r>
      <w:r>
        <w:rPr>
          <w:rFonts w:hint="eastAsia" w:ascii="宋体" w:hAnsi="宋体" w:cs="宋体"/>
          <w:color w:val="auto"/>
          <w:szCs w:val="21"/>
        </w:rPr>
        <w:t>日</w:t>
      </w:r>
    </w:p>
    <w:p w14:paraId="4A94209B">
      <w:pPr>
        <w:spacing w:line="480" w:lineRule="auto"/>
        <w:ind w:firstLine="630" w:firstLineChars="300"/>
        <w:rPr>
          <w:rFonts w:ascii="宋体" w:hAnsi="宋体" w:cs="宋体"/>
          <w:color w:val="auto"/>
          <w:szCs w:val="21"/>
        </w:rPr>
      </w:pPr>
      <w:r>
        <w:rPr>
          <w:rFonts w:hint="eastAsia" w:ascii="宋体" w:hAnsi="宋体" w:cs="宋体"/>
          <w:color w:val="auto"/>
          <w:szCs w:val="21"/>
        </w:rPr>
        <w:t>经营期限：</w:t>
      </w:r>
      <w:r>
        <w:rPr>
          <w:rFonts w:hint="eastAsia" w:ascii="宋体" w:hAnsi="宋体" w:cs="宋体"/>
          <w:color w:val="auto"/>
          <w:szCs w:val="21"/>
          <w:u w:val="single"/>
        </w:rPr>
        <w:t xml:space="preserve">                            </w:t>
      </w:r>
    </w:p>
    <w:p w14:paraId="2B738F7E">
      <w:pPr>
        <w:spacing w:line="480" w:lineRule="auto"/>
        <w:ind w:firstLine="630" w:firstLineChars="300"/>
        <w:rPr>
          <w:rFonts w:ascii="宋体" w:hAnsi="宋体" w:cs="宋体"/>
          <w:color w:val="auto"/>
          <w:szCs w:val="21"/>
        </w:rPr>
      </w:pPr>
      <w:r>
        <w:rPr>
          <w:rFonts w:hint="eastAsia" w:ascii="宋体" w:hAnsi="宋体" w:cs="宋体"/>
          <w:color w:val="auto"/>
          <w:szCs w:val="21"/>
        </w:rPr>
        <w:t>姓名：</w:t>
      </w:r>
      <w:r>
        <w:rPr>
          <w:rFonts w:hint="eastAsia" w:ascii="宋体" w:hAnsi="宋体" w:cs="宋体"/>
          <w:color w:val="auto"/>
          <w:szCs w:val="21"/>
          <w:u w:val="single"/>
        </w:rPr>
        <w:t xml:space="preserve">        </w:t>
      </w:r>
      <w:r>
        <w:rPr>
          <w:rFonts w:hint="eastAsia" w:ascii="宋体" w:hAnsi="宋体" w:cs="宋体"/>
          <w:color w:val="auto"/>
          <w:szCs w:val="21"/>
        </w:rPr>
        <w:t xml:space="preserve"> 性别：</w:t>
      </w:r>
      <w:r>
        <w:rPr>
          <w:rFonts w:hint="eastAsia" w:ascii="宋体" w:hAnsi="宋体" w:cs="宋体"/>
          <w:color w:val="auto"/>
          <w:szCs w:val="21"/>
          <w:u w:val="single"/>
        </w:rPr>
        <w:t xml:space="preserve">       </w:t>
      </w:r>
      <w:r>
        <w:rPr>
          <w:rFonts w:hint="eastAsia" w:ascii="宋体" w:hAnsi="宋体" w:cs="宋体"/>
          <w:color w:val="auto"/>
          <w:szCs w:val="21"/>
        </w:rPr>
        <w:t xml:space="preserve"> 年龄：</w:t>
      </w:r>
      <w:r>
        <w:rPr>
          <w:rFonts w:hint="eastAsia" w:ascii="宋体" w:hAnsi="宋体" w:cs="宋体"/>
          <w:color w:val="auto"/>
          <w:szCs w:val="21"/>
          <w:u w:val="single"/>
        </w:rPr>
        <w:t xml:space="preserve">       </w:t>
      </w:r>
      <w:r>
        <w:rPr>
          <w:rFonts w:hint="eastAsia" w:ascii="宋体" w:hAnsi="宋体" w:cs="宋体"/>
          <w:color w:val="auto"/>
          <w:szCs w:val="21"/>
        </w:rPr>
        <w:t xml:space="preserve"> 职务：</w:t>
      </w:r>
      <w:r>
        <w:rPr>
          <w:rFonts w:hint="eastAsia" w:ascii="宋体" w:hAnsi="宋体" w:cs="宋体"/>
          <w:color w:val="auto"/>
          <w:szCs w:val="21"/>
          <w:u w:val="single"/>
        </w:rPr>
        <w:t xml:space="preserve">        </w:t>
      </w:r>
    </w:p>
    <w:p w14:paraId="08318163">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系 </w:t>
      </w:r>
      <w:r>
        <w:rPr>
          <w:rFonts w:hint="eastAsia" w:ascii="宋体" w:hAnsi="宋体" w:cs="宋体"/>
          <w:color w:val="auto"/>
          <w:szCs w:val="21"/>
          <w:u w:val="single"/>
        </w:rPr>
        <w:t xml:space="preserve">                       </w:t>
      </w:r>
      <w:r>
        <w:rPr>
          <w:rFonts w:hint="eastAsia" w:ascii="宋体" w:hAnsi="宋体" w:cs="宋体"/>
          <w:color w:val="auto"/>
          <w:szCs w:val="21"/>
        </w:rPr>
        <w:t>（投标人名称）的法定代表人。</w:t>
      </w:r>
    </w:p>
    <w:p w14:paraId="068A0817">
      <w:pPr>
        <w:spacing w:line="480" w:lineRule="auto"/>
        <w:ind w:firstLine="630" w:firstLineChars="300"/>
        <w:rPr>
          <w:rFonts w:ascii="宋体" w:hAnsi="宋体" w:cs="宋体"/>
          <w:color w:val="auto"/>
          <w:szCs w:val="21"/>
        </w:rPr>
      </w:pPr>
      <w:r>
        <w:rPr>
          <w:rFonts w:hint="eastAsia" w:ascii="宋体" w:hAnsi="宋体" w:cs="宋体"/>
          <w:color w:val="auto"/>
          <w:szCs w:val="21"/>
        </w:rPr>
        <w:t>特此证明。</w:t>
      </w:r>
    </w:p>
    <w:p w14:paraId="64A9D01C">
      <w:pPr>
        <w:spacing w:before="78" w:line="185" w:lineRule="auto"/>
        <w:ind w:firstLine="612" w:firstLineChars="300"/>
        <w:rPr>
          <w:rFonts w:ascii="宋体" w:hAnsi="宋体" w:cs="宋体"/>
          <w:color w:val="auto"/>
          <w:szCs w:val="21"/>
        </w:rPr>
      </w:pPr>
      <w:r>
        <w:rPr>
          <w:rFonts w:ascii="宋体" w:hAnsi="宋体" w:cs="宋体"/>
          <w:color w:val="auto"/>
          <w:spacing w:val="-3"/>
          <w:szCs w:val="21"/>
        </w:rPr>
        <w:t>附法定代表人身份证复印件。</w:t>
      </w:r>
    </w:p>
    <w:p w14:paraId="30254B40">
      <w:pPr>
        <w:pStyle w:val="56"/>
        <w:ind w:firstLine="420"/>
        <w:rPr>
          <w:color w:val="auto"/>
          <w:sz w:val="21"/>
          <w:szCs w:val="21"/>
        </w:rPr>
      </w:pPr>
    </w:p>
    <w:p w14:paraId="026EC40E">
      <w:pPr>
        <w:spacing w:line="480" w:lineRule="auto"/>
        <w:ind w:firstLine="4678" w:firstLineChars="2228"/>
        <w:rPr>
          <w:rFonts w:ascii="宋体" w:hAnsi="宋体" w:cs="宋体"/>
          <w:color w:val="auto"/>
          <w:szCs w:val="21"/>
        </w:rPr>
      </w:pPr>
    </w:p>
    <w:p w14:paraId="038AEA06">
      <w:pPr>
        <w:spacing w:line="480" w:lineRule="auto"/>
        <w:ind w:firstLine="4678" w:firstLineChars="2228"/>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2547F9F3">
      <w:pPr>
        <w:spacing w:line="480" w:lineRule="auto"/>
        <w:ind w:firstLine="4888" w:firstLineChars="23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 年</w:t>
      </w:r>
      <w:r>
        <w:rPr>
          <w:rFonts w:hint="eastAsia" w:ascii="宋体" w:hAnsi="宋体" w:cs="宋体"/>
          <w:color w:val="auto"/>
          <w:szCs w:val="21"/>
          <w:u w:val="single"/>
        </w:rPr>
        <w:t xml:space="preserve">      </w:t>
      </w:r>
      <w:r>
        <w:rPr>
          <w:rFonts w:hint="eastAsia" w:ascii="宋体" w:hAnsi="宋体" w:cs="宋体"/>
          <w:color w:val="auto"/>
          <w:szCs w:val="21"/>
        </w:rPr>
        <w:t xml:space="preserve">  月 </w:t>
      </w:r>
      <w:r>
        <w:rPr>
          <w:rFonts w:hint="eastAsia" w:ascii="宋体" w:hAnsi="宋体" w:cs="宋体"/>
          <w:color w:val="auto"/>
          <w:szCs w:val="21"/>
          <w:u w:val="single"/>
        </w:rPr>
        <w:t xml:space="preserve">      </w:t>
      </w:r>
      <w:r>
        <w:rPr>
          <w:rFonts w:hint="eastAsia" w:ascii="宋体" w:hAnsi="宋体" w:cs="宋体"/>
          <w:color w:val="auto"/>
          <w:szCs w:val="21"/>
        </w:rPr>
        <w:t xml:space="preserve"> 日</w:t>
      </w:r>
    </w:p>
    <w:p w14:paraId="50015A4B">
      <w:pPr>
        <w:pStyle w:val="3"/>
        <w:jc w:val="center"/>
        <w:rPr>
          <w:rFonts w:ascii="Times New Roman" w:hAnsi="Times New Roman"/>
          <w:color w:val="auto"/>
          <w:sz w:val="21"/>
          <w:szCs w:val="21"/>
        </w:rPr>
      </w:pPr>
    </w:p>
    <w:p w14:paraId="450C0E81">
      <w:pPr>
        <w:rPr>
          <w:rFonts w:ascii="Times New Roman" w:hAnsi="Times New Roman"/>
          <w:color w:val="auto"/>
          <w:szCs w:val="21"/>
        </w:rPr>
      </w:pPr>
    </w:p>
    <w:p w14:paraId="4A94BF55">
      <w:pPr>
        <w:rPr>
          <w:rFonts w:ascii="Times New Roman" w:hAnsi="Times New Roman"/>
          <w:color w:val="auto"/>
          <w:szCs w:val="21"/>
        </w:rPr>
      </w:pPr>
    </w:p>
    <w:p w14:paraId="17A96993">
      <w:pPr>
        <w:rPr>
          <w:rFonts w:ascii="Times New Roman" w:hAnsi="Times New Roman"/>
          <w:color w:val="auto"/>
          <w:szCs w:val="21"/>
        </w:rPr>
      </w:pPr>
    </w:p>
    <w:p w14:paraId="2FAD6ABF">
      <w:pPr>
        <w:rPr>
          <w:rFonts w:ascii="Times New Roman" w:hAnsi="Times New Roman"/>
          <w:color w:val="auto"/>
          <w:szCs w:val="21"/>
        </w:rPr>
      </w:pPr>
    </w:p>
    <w:p w14:paraId="7F910B11">
      <w:pPr>
        <w:widowControl/>
        <w:jc w:val="left"/>
        <w:rPr>
          <w:rFonts w:ascii="Times New Roman" w:hAnsi="Times New Roman"/>
          <w:color w:val="auto"/>
          <w:szCs w:val="21"/>
        </w:rPr>
      </w:pPr>
      <w:r>
        <w:rPr>
          <w:rFonts w:ascii="Times New Roman" w:hAnsi="Times New Roman"/>
          <w:color w:val="auto"/>
          <w:szCs w:val="21"/>
        </w:rPr>
        <w:br w:type="page"/>
      </w:r>
      <w:bookmarkStart w:id="267" w:name="_Toc534190154"/>
    </w:p>
    <w:p w14:paraId="7FF228C4">
      <w:pPr>
        <w:pStyle w:val="3"/>
        <w:spacing w:line="240" w:lineRule="auto"/>
        <w:jc w:val="center"/>
        <w:rPr>
          <w:rFonts w:ascii="Times New Roman" w:hAnsi="Times New Roman"/>
          <w:color w:val="auto"/>
        </w:rPr>
      </w:pPr>
      <w:r>
        <w:rPr>
          <w:rFonts w:ascii="Times New Roman" w:hAnsi="Times New Roman"/>
          <w:color w:val="auto"/>
        </w:rPr>
        <w:t>授权委托书</w:t>
      </w:r>
      <w:bookmarkEnd w:id="267"/>
    </w:p>
    <w:p w14:paraId="435F6215">
      <w:pPr>
        <w:jc w:val="center"/>
        <w:rPr>
          <w:rFonts w:ascii="宋体" w:hAnsi="宋体" w:cs="宋体"/>
          <w:color w:val="auto"/>
          <w:spacing w:val="-1"/>
          <w:szCs w:val="21"/>
        </w:rPr>
      </w:pPr>
      <w:r>
        <w:rPr>
          <w:rFonts w:ascii="宋体" w:hAnsi="宋体" w:cs="宋体"/>
          <w:color w:val="auto"/>
          <w:spacing w:val="-1"/>
          <w:szCs w:val="21"/>
        </w:rPr>
        <w:t>（委托代理人参加会议的提供）</w:t>
      </w:r>
    </w:p>
    <w:p w14:paraId="52CBDF90">
      <w:pPr>
        <w:pStyle w:val="56"/>
        <w:ind w:firstLine="420"/>
        <w:rPr>
          <w:color w:val="auto"/>
          <w:sz w:val="21"/>
          <w:szCs w:val="21"/>
        </w:rPr>
      </w:pPr>
    </w:p>
    <w:p w14:paraId="6036DCE8">
      <w:pPr>
        <w:topLinePunct/>
        <w:spacing w:line="360" w:lineRule="auto"/>
        <w:ind w:firstLine="420" w:firstLineChars="200"/>
        <w:rPr>
          <w:rFonts w:ascii="Times New Roman" w:hAnsi="Times New Roman"/>
          <w:color w:val="auto"/>
          <w:szCs w:val="21"/>
        </w:rPr>
      </w:pPr>
      <w:r>
        <w:rPr>
          <w:rFonts w:ascii="Times New Roman" w:hAnsi="Times New Roman"/>
          <w:color w:val="auto"/>
          <w:szCs w:val="21"/>
        </w:rPr>
        <w:t>本人</w:t>
      </w:r>
      <w:r>
        <w:rPr>
          <w:rFonts w:ascii="Times New Roman" w:hAnsi="Times New Roman"/>
          <w:color w:val="auto"/>
          <w:szCs w:val="21"/>
          <w:u w:val="single"/>
        </w:rPr>
        <w:t>（姓名）</w:t>
      </w:r>
      <w:r>
        <w:rPr>
          <w:rFonts w:ascii="Times New Roman" w:hAnsi="Times New Roman"/>
          <w:color w:val="auto"/>
          <w:szCs w:val="21"/>
        </w:rPr>
        <w:t>系</w:t>
      </w:r>
      <w:r>
        <w:rPr>
          <w:rFonts w:hint="eastAsia" w:ascii="Times New Roman" w:hAnsi="Times New Roman"/>
          <w:color w:val="auto"/>
          <w:szCs w:val="21"/>
          <w:u w:val="single"/>
        </w:rPr>
        <w:t xml:space="preserve">     </w:t>
      </w:r>
      <w:r>
        <w:rPr>
          <w:rFonts w:ascii="Times New Roman" w:hAnsi="Times New Roman"/>
          <w:color w:val="auto"/>
          <w:szCs w:val="21"/>
          <w:u w:val="single"/>
        </w:rPr>
        <w:t>（投标人名称）</w:t>
      </w:r>
      <w:r>
        <w:rPr>
          <w:rFonts w:hint="eastAsia" w:ascii="Times New Roman" w:hAnsi="Times New Roman"/>
          <w:color w:val="auto"/>
          <w:szCs w:val="21"/>
          <w:u w:val="single"/>
        </w:rPr>
        <w:t xml:space="preserve">    </w:t>
      </w:r>
      <w:r>
        <w:rPr>
          <w:rFonts w:ascii="Times New Roman" w:hAnsi="Times New Roman"/>
          <w:color w:val="auto"/>
          <w:szCs w:val="21"/>
        </w:rPr>
        <w:t>的法定代表人，现委托</w:t>
      </w:r>
      <w:r>
        <w:rPr>
          <w:rFonts w:hint="eastAsia" w:ascii="Times New Roman" w:hAnsi="Times New Roman"/>
          <w:color w:val="auto"/>
          <w:szCs w:val="21"/>
          <w:u w:val="single"/>
        </w:rPr>
        <w:t xml:space="preserve">  </w:t>
      </w:r>
      <w:r>
        <w:rPr>
          <w:rFonts w:ascii="Times New Roman" w:hAnsi="Times New Roman"/>
          <w:color w:val="auto"/>
          <w:szCs w:val="21"/>
          <w:u w:val="single"/>
        </w:rPr>
        <w:t>（姓名）</w:t>
      </w:r>
      <w:r>
        <w:rPr>
          <w:rFonts w:hint="eastAsia" w:ascii="Times New Roman" w:hAnsi="Times New Roman"/>
          <w:color w:val="auto"/>
          <w:szCs w:val="21"/>
          <w:u w:val="single"/>
        </w:rPr>
        <w:t xml:space="preserve"> </w:t>
      </w:r>
      <w:r>
        <w:rPr>
          <w:rFonts w:ascii="Times New Roman" w:hAnsi="Times New Roman"/>
          <w:color w:val="auto"/>
          <w:szCs w:val="21"/>
        </w:rPr>
        <w:t>为我方代理人。代理人根据授权，以我方名义签署、澄清确认、递交、撤回、修改</w:t>
      </w:r>
      <w:r>
        <w:rPr>
          <w:rFonts w:hint="eastAsia" w:ascii="Times New Roman" w:hAnsi="Times New Roman"/>
          <w:color w:val="auto"/>
          <w:szCs w:val="21"/>
          <w:u w:val="single"/>
        </w:rPr>
        <w:t xml:space="preserve"> </w:t>
      </w:r>
      <w:r>
        <w:rPr>
          <w:rFonts w:hint="eastAsia" w:ascii="Times New Roman" w:hAnsi="Times New Roman"/>
          <w:color w:val="auto"/>
          <w:szCs w:val="21"/>
          <w:u w:val="single"/>
          <w:lang w:eastAsia="zh-CN"/>
        </w:rPr>
        <w:t>（</w:t>
      </w:r>
      <w:r>
        <w:rPr>
          <w:rFonts w:hint="eastAsia" w:ascii="Times New Roman" w:hAnsi="Times New Roman"/>
          <w:color w:val="auto"/>
          <w:szCs w:val="21"/>
          <w:u w:val="single"/>
          <w:lang w:val="en-US" w:eastAsia="zh-CN"/>
        </w:rPr>
        <w:t>项目名称、标段</w:t>
      </w:r>
      <w:r>
        <w:rPr>
          <w:rFonts w:hint="eastAsia" w:ascii="Times New Roman" w:hAnsi="Times New Roman"/>
          <w:color w:val="auto"/>
          <w:szCs w:val="21"/>
          <w:u w:val="single"/>
          <w:lang w:eastAsia="zh-CN"/>
        </w:rPr>
        <w:t>）</w:t>
      </w:r>
      <w:r>
        <w:rPr>
          <w:rFonts w:hint="eastAsia" w:ascii="Times New Roman" w:hAnsi="Times New Roman"/>
          <w:color w:val="auto"/>
          <w:szCs w:val="21"/>
          <w:u w:val="single"/>
        </w:rPr>
        <w:t xml:space="preserve">    </w:t>
      </w:r>
      <w:r>
        <w:rPr>
          <w:rFonts w:ascii="Times New Roman" w:hAnsi="Times New Roman"/>
          <w:color w:val="auto"/>
          <w:szCs w:val="21"/>
        </w:rPr>
        <w:t>招标项目投标文件、签订合同和处理有关事宜，其法律后果由我方承担。</w:t>
      </w:r>
    </w:p>
    <w:p w14:paraId="3637B30B">
      <w:pPr>
        <w:spacing w:line="360" w:lineRule="auto"/>
        <w:rPr>
          <w:rFonts w:ascii="Times New Roman" w:hAnsi="Times New Roman"/>
          <w:color w:val="auto"/>
          <w:szCs w:val="21"/>
        </w:rPr>
      </w:pPr>
      <w:r>
        <w:rPr>
          <w:rFonts w:ascii="Times New Roman" w:hAnsi="Times New Roman"/>
          <w:color w:val="auto"/>
          <w:szCs w:val="21"/>
        </w:rPr>
        <w:t>委托期限：</w:t>
      </w:r>
      <w:r>
        <w:rPr>
          <w:rFonts w:hint="eastAsia" w:ascii="Times New Roman" w:hAnsi="Times New Roman"/>
          <w:color w:val="auto"/>
          <w:szCs w:val="21"/>
          <w:u w:val="single"/>
        </w:rPr>
        <w:t xml:space="preserve">                         </w:t>
      </w:r>
      <w:r>
        <w:rPr>
          <w:rFonts w:ascii="Times New Roman" w:hAnsi="Times New Roman"/>
          <w:color w:val="auto"/>
          <w:szCs w:val="21"/>
        </w:rPr>
        <w:t>。</w:t>
      </w:r>
    </w:p>
    <w:p w14:paraId="49A6DAA4">
      <w:pPr>
        <w:spacing w:line="360" w:lineRule="auto"/>
        <w:ind w:firstLine="420" w:firstLineChars="200"/>
        <w:rPr>
          <w:rFonts w:ascii="Times New Roman" w:hAnsi="Times New Roman"/>
          <w:color w:val="auto"/>
          <w:szCs w:val="21"/>
        </w:rPr>
      </w:pPr>
      <w:r>
        <w:rPr>
          <w:rFonts w:ascii="Times New Roman" w:hAnsi="Times New Roman"/>
          <w:color w:val="auto"/>
          <w:szCs w:val="21"/>
        </w:rPr>
        <w:t>代理人无转委托权。</w:t>
      </w:r>
    </w:p>
    <w:p w14:paraId="61F63A88">
      <w:pPr>
        <w:spacing w:line="440" w:lineRule="exact"/>
        <w:ind w:firstLine="420" w:firstLineChars="200"/>
        <w:rPr>
          <w:rFonts w:ascii="Times New Roman" w:hAnsi="Times New Roman"/>
          <w:color w:val="auto"/>
          <w:szCs w:val="21"/>
        </w:rPr>
      </w:pPr>
    </w:p>
    <w:p w14:paraId="337B9DE2">
      <w:pPr>
        <w:spacing w:line="440" w:lineRule="exact"/>
        <w:rPr>
          <w:rFonts w:ascii="Times New Roman" w:hAnsi="Times New Roman"/>
          <w:color w:val="auto"/>
          <w:szCs w:val="21"/>
        </w:rPr>
      </w:pPr>
      <w:r>
        <w:rPr>
          <w:rFonts w:ascii="Times New Roman" w:hAnsi="Times New Roman"/>
          <w:color w:val="auto"/>
          <w:szCs w:val="21"/>
        </w:rPr>
        <w:t>附：法定代表人身份证</w:t>
      </w:r>
      <w:r>
        <w:rPr>
          <w:rFonts w:hint="eastAsia" w:ascii="Times New Roman" w:hAnsi="Times New Roman"/>
          <w:color w:val="auto"/>
          <w:szCs w:val="21"/>
        </w:rPr>
        <w:t>复印件</w:t>
      </w:r>
      <w:r>
        <w:rPr>
          <w:rFonts w:ascii="Times New Roman" w:hAnsi="Times New Roman"/>
          <w:color w:val="auto"/>
          <w:szCs w:val="21"/>
        </w:rPr>
        <w:t>及委托代理人身份证</w:t>
      </w:r>
      <w:r>
        <w:rPr>
          <w:rFonts w:hint="eastAsia" w:ascii="Times New Roman" w:hAnsi="Times New Roman"/>
          <w:color w:val="auto"/>
          <w:szCs w:val="21"/>
        </w:rPr>
        <w:t>复印件</w:t>
      </w:r>
    </w:p>
    <w:p w14:paraId="7F6001C0">
      <w:pPr>
        <w:spacing w:line="440" w:lineRule="exact"/>
        <w:rPr>
          <w:rFonts w:ascii="Times New Roman" w:hAnsi="Times New Roman"/>
          <w:color w:val="auto"/>
          <w:szCs w:val="21"/>
        </w:rPr>
      </w:pPr>
    </w:p>
    <w:p w14:paraId="3AE0B974">
      <w:pPr>
        <w:spacing w:line="480" w:lineRule="auto"/>
        <w:ind w:firstLine="4139" w:firstLineChars="1971"/>
        <w:rPr>
          <w:rFonts w:ascii="宋体" w:hAnsi="宋体" w:cs="宋体"/>
          <w:color w:val="auto"/>
          <w:szCs w:val="21"/>
        </w:rPr>
      </w:pPr>
      <w:bookmarkStart w:id="268" w:name="_Toc534190156"/>
    </w:p>
    <w:p w14:paraId="789159BC">
      <w:pPr>
        <w:spacing w:line="480" w:lineRule="auto"/>
        <w:ind w:firstLine="4139" w:firstLineChars="1971"/>
        <w:rPr>
          <w:rFonts w:ascii="宋体" w:hAnsi="宋体" w:cs="宋体"/>
          <w:color w:val="auto"/>
          <w:szCs w:val="21"/>
        </w:rPr>
      </w:pPr>
    </w:p>
    <w:p w14:paraId="5EAC8DAA">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投标人： </w:t>
      </w:r>
      <w:r>
        <w:rPr>
          <w:rFonts w:hint="eastAsia" w:ascii="宋体" w:hAnsi="宋体" w:cs="宋体"/>
          <w:color w:val="auto"/>
          <w:szCs w:val="21"/>
          <w:u w:val="single"/>
        </w:rPr>
        <w:t xml:space="preserve">                         </w:t>
      </w:r>
      <w:r>
        <w:rPr>
          <w:rFonts w:hint="eastAsia" w:ascii="宋体" w:hAnsi="宋体" w:cs="宋体"/>
          <w:color w:val="auto"/>
          <w:szCs w:val="21"/>
        </w:rPr>
        <w:t xml:space="preserve"> （盖单位章）</w:t>
      </w:r>
    </w:p>
    <w:p w14:paraId="085C14CD">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法定代表人： </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354EADF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D1624BD">
      <w:pPr>
        <w:spacing w:line="480" w:lineRule="auto"/>
        <w:ind w:firstLine="4139" w:firstLineChars="1971"/>
        <w:rPr>
          <w:rFonts w:ascii="宋体" w:hAnsi="宋体" w:cs="宋体"/>
          <w:color w:val="auto"/>
          <w:szCs w:val="21"/>
        </w:rPr>
      </w:pPr>
      <w:r>
        <w:rPr>
          <w:rFonts w:hint="eastAsia" w:ascii="宋体" w:hAnsi="宋体" w:cs="宋体"/>
          <w:color w:val="auto"/>
          <w:szCs w:val="21"/>
        </w:rPr>
        <w:t>委托代理人：</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2C95123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E63D179">
      <w:pPr>
        <w:spacing w:line="480" w:lineRule="auto"/>
        <w:ind w:firstLine="4139" w:firstLineChars="1971"/>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946FC00">
      <w:pPr>
        <w:pStyle w:val="3"/>
        <w:spacing w:line="240" w:lineRule="auto"/>
        <w:jc w:val="center"/>
        <w:rPr>
          <w:rFonts w:ascii="Times New Roman" w:hAnsi="Times New Roman"/>
          <w:color w:val="auto"/>
          <w:sz w:val="21"/>
          <w:szCs w:val="21"/>
        </w:rPr>
      </w:pPr>
    </w:p>
    <w:p w14:paraId="5BFD1D8E">
      <w:pPr>
        <w:rPr>
          <w:color w:val="auto"/>
          <w:szCs w:val="21"/>
        </w:rPr>
      </w:pPr>
    </w:p>
    <w:p w14:paraId="525F0B2D">
      <w:pPr>
        <w:rPr>
          <w:color w:val="auto"/>
          <w:szCs w:val="21"/>
        </w:rPr>
      </w:pPr>
    </w:p>
    <w:p w14:paraId="4E5673DF">
      <w:pPr>
        <w:pStyle w:val="54"/>
        <w:rPr>
          <w:rFonts w:ascii="Times New Roman" w:hAnsi="Times New Roman"/>
          <w:color w:val="auto"/>
        </w:rPr>
      </w:pPr>
    </w:p>
    <w:p w14:paraId="30BE35CD">
      <w:pPr>
        <w:pStyle w:val="54"/>
        <w:rPr>
          <w:rFonts w:ascii="Times New Roman" w:hAnsi="Times New Roman"/>
          <w:color w:val="auto"/>
        </w:rPr>
      </w:pPr>
    </w:p>
    <w:p w14:paraId="3DAAE52B">
      <w:pPr>
        <w:pStyle w:val="54"/>
        <w:rPr>
          <w:rFonts w:ascii="Times New Roman" w:hAnsi="Times New Roman"/>
          <w:color w:val="auto"/>
        </w:rPr>
      </w:pPr>
    </w:p>
    <w:p w14:paraId="71A39F2A">
      <w:pPr>
        <w:pStyle w:val="54"/>
        <w:rPr>
          <w:rFonts w:ascii="Times New Roman" w:hAnsi="Times New Roman"/>
          <w:color w:val="auto"/>
        </w:rPr>
      </w:pPr>
    </w:p>
    <w:bookmarkEnd w:id="268"/>
    <w:p w14:paraId="11787946">
      <w:pPr>
        <w:spacing w:line="440" w:lineRule="exact"/>
        <w:ind w:firstLine="2158" w:firstLineChars="1028"/>
        <w:jc w:val="right"/>
        <w:rPr>
          <w:rFonts w:ascii="Times New Roman" w:hAnsi="Times New Roman"/>
          <w:color w:val="auto"/>
          <w:u w:val="single"/>
        </w:rPr>
      </w:pPr>
    </w:p>
    <w:p w14:paraId="369CEDA2">
      <w:pPr>
        <w:pStyle w:val="3"/>
        <w:numPr>
          <w:ilvl w:val="0"/>
          <w:numId w:val="0"/>
        </w:numPr>
        <w:bidi w:val="0"/>
        <w:jc w:val="center"/>
        <w:rPr>
          <w:color w:val="auto"/>
        </w:rPr>
      </w:pPr>
      <w:bookmarkStart w:id="269" w:name="_Toc157669099"/>
      <w:bookmarkStart w:id="270" w:name="_Toc24451"/>
      <w:bookmarkStart w:id="271" w:name="_Toc401"/>
      <w:bookmarkStart w:id="272" w:name="_Toc11613590"/>
      <w:bookmarkStart w:id="273" w:name="_Toc11710017"/>
      <w:bookmarkStart w:id="274" w:name="_Toc294124246"/>
      <w:bookmarkStart w:id="275" w:name="_Toc263258869"/>
      <w:bookmarkStart w:id="276" w:name="_Toc8404"/>
      <w:bookmarkStart w:id="277" w:name="_Toc534190157"/>
      <w:r>
        <w:rPr>
          <w:rFonts w:hint="eastAsia"/>
          <w:color w:val="auto"/>
          <w:lang w:val="en-US" w:eastAsia="zh-CN"/>
        </w:rPr>
        <w:t>四、</w:t>
      </w:r>
      <w:r>
        <w:rPr>
          <w:rFonts w:hint="eastAsia"/>
          <w:color w:val="auto"/>
        </w:rPr>
        <w:t>已标价工程量清单</w:t>
      </w:r>
      <w:bookmarkEnd w:id="269"/>
      <w:bookmarkEnd w:id="270"/>
    </w:p>
    <w:bookmarkEnd w:id="271"/>
    <w:bookmarkEnd w:id="272"/>
    <w:bookmarkEnd w:id="273"/>
    <w:bookmarkEnd w:id="274"/>
    <w:bookmarkEnd w:id="275"/>
    <w:bookmarkEnd w:id="276"/>
    <w:p w14:paraId="6307E003">
      <w:pPr>
        <w:pStyle w:val="3"/>
        <w:jc w:val="center"/>
        <w:rPr>
          <w:rFonts w:ascii="Times New Roman" w:hAnsi="Times New Roman"/>
          <w:color w:val="auto"/>
        </w:rPr>
      </w:pPr>
    </w:p>
    <w:p w14:paraId="1683FB28">
      <w:pPr>
        <w:pStyle w:val="3"/>
        <w:jc w:val="center"/>
        <w:rPr>
          <w:rFonts w:ascii="Times New Roman" w:hAnsi="Times New Roman"/>
          <w:color w:val="auto"/>
        </w:rPr>
      </w:pPr>
    </w:p>
    <w:p w14:paraId="4A3B7EF8">
      <w:pPr>
        <w:rPr>
          <w:rFonts w:ascii="Times New Roman" w:hAnsi="Times New Roman"/>
          <w:color w:val="auto"/>
        </w:rPr>
      </w:pPr>
    </w:p>
    <w:p w14:paraId="4AC255D3">
      <w:pPr>
        <w:pStyle w:val="56"/>
        <w:rPr>
          <w:rFonts w:ascii="Times New Roman" w:hAnsi="Times New Roman"/>
          <w:color w:val="auto"/>
        </w:rPr>
      </w:pPr>
    </w:p>
    <w:p w14:paraId="595A4DC5">
      <w:pPr>
        <w:rPr>
          <w:rFonts w:ascii="Times New Roman" w:hAnsi="Times New Roman"/>
          <w:color w:val="auto"/>
        </w:rPr>
      </w:pPr>
    </w:p>
    <w:p w14:paraId="08495C7F">
      <w:pPr>
        <w:pStyle w:val="56"/>
        <w:rPr>
          <w:rFonts w:ascii="Times New Roman" w:hAnsi="Times New Roman"/>
          <w:color w:val="auto"/>
        </w:rPr>
      </w:pPr>
    </w:p>
    <w:p w14:paraId="3BC4FD55">
      <w:pPr>
        <w:rPr>
          <w:rFonts w:ascii="Times New Roman" w:hAnsi="Times New Roman"/>
          <w:color w:val="auto"/>
        </w:rPr>
      </w:pPr>
    </w:p>
    <w:p w14:paraId="0AF2D358">
      <w:pPr>
        <w:pStyle w:val="56"/>
        <w:rPr>
          <w:rFonts w:ascii="Times New Roman" w:hAnsi="Times New Roman"/>
          <w:color w:val="auto"/>
        </w:rPr>
      </w:pPr>
    </w:p>
    <w:p w14:paraId="29E53833">
      <w:pPr>
        <w:rPr>
          <w:rFonts w:ascii="Times New Roman" w:hAnsi="Times New Roman"/>
          <w:color w:val="auto"/>
        </w:rPr>
      </w:pPr>
    </w:p>
    <w:p w14:paraId="3D0A243A">
      <w:pPr>
        <w:pStyle w:val="56"/>
        <w:rPr>
          <w:rFonts w:ascii="Times New Roman" w:hAnsi="Times New Roman"/>
          <w:color w:val="auto"/>
        </w:rPr>
      </w:pPr>
    </w:p>
    <w:p w14:paraId="62F62A7E">
      <w:pPr>
        <w:rPr>
          <w:rFonts w:ascii="Times New Roman" w:hAnsi="Times New Roman"/>
          <w:color w:val="auto"/>
        </w:rPr>
      </w:pPr>
    </w:p>
    <w:p w14:paraId="6A53661C">
      <w:pPr>
        <w:pStyle w:val="56"/>
        <w:rPr>
          <w:rFonts w:ascii="Times New Roman" w:hAnsi="Times New Roman"/>
          <w:color w:val="auto"/>
        </w:rPr>
      </w:pPr>
    </w:p>
    <w:p w14:paraId="0FED541F">
      <w:pPr>
        <w:rPr>
          <w:rFonts w:ascii="Times New Roman" w:hAnsi="Times New Roman"/>
          <w:color w:val="auto"/>
        </w:rPr>
      </w:pPr>
    </w:p>
    <w:p w14:paraId="7E934687">
      <w:pPr>
        <w:pStyle w:val="56"/>
        <w:rPr>
          <w:rFonts w:ascii="Times New Roman" w:hAnsi="Times New Roman"/>
          <w:color w:val="auto"/>
        </w:rPr>
      </w:pPr>
    </w:p>
    <w:p w14:paraId="66776ADB">
      <w:pPr>
        <w:rPr>
          <w:rFonts w:ascii="Times New Roman" w:hAnsi="Times New Roman"/>
          <w:color w:val="auto"/>
        </w:rPr>
      </w:pPr>
    </w:p>
    <w:p w14:paraId="54EBCF2F">
      <w:pPr>
        <w:pStyle w:val="56"/>
        <w:rPr>
          <w:rFonts w:ascii="Times New Roman" w:hAnsi="Times New Roman"/>
          <w:color w:val="auto"/>
        </w:rPr>
      </w:pPr>
    </w:p>
    <w:p w14:paraId="59C9BF8B">
      <w:pPr>
        <w:rPr>
          <w:rFonts w:ascii="Times New Roman" w:hAnsi="Times New Roman"/>
          <w:color w:val="auto"/>
        </w:rPr>
      </w:pPr>
    </w:p>
    <w:p w14:paraId="159C10FE">
      <w:pPr>
        <w:pStyle w:val="56"/>
        <w:rPr>
          <w:rFonts w:ascii="Times New Roman" w:hAnsi="Times New Roman"/>
          <w:color w:val="auto"/>
        </w:rPr>
      </w:pPr>
    </w:p>
    <w:p w14:paraId="0A1C1372">
      <w:pPr>
        <w:rPr>
          <w:rFonts w:ascii="Times New Roman" w:hAnsi="Times New Roman"/>
          <w:color w:val="auto"/>
        </w:rPr>
      </w:pPr>
    </w:p>
    <w:p w14:paraId="4AC0C7EC">
      <w:pPr>
        <w:pStyle w:val="56"/>
        <w:rPr>
          <w:rFonts w:ascii="Times New Roman" w:hAnsi="Times New Roman"/>
          <w:color w:val="auto"/>
        </w:rPr>
      </w:pPr>
    </w:p>
    <w:p w14:paraId="67825747">
      <w:pPr>
        <w:rPr>
          <w:rFonts w:ascii="Times New Roman" w:hAnsi="Times New Roman"/>
          <w:color w:val="auto"/>
        </w:rPr>
      </w:pPr>
    </w:p>
    <w:p w14:paraId="4D99E4D9">
      <w:pPr>
        <w:pStyle w:val="56"/>
        <w:rPr>
          <w:rFonts w:ascii="Times New Roman" w:hAnsi="Times New Roman"/>
          <w:color w:val="auto"/>
        </w:rPr>
      </w:pPr>
    </w:p>
    <w:p w14:paraId="5C0D9C53">
      <w:pPr>
        <w:rPr>
          <w:rFonts w:ascii="Times New Roman" w:hAnsi="Times New Roman"/>
          <w:color w:val="auto"/>
        </w:rPr>
      </w:pPr>
    </w:p>
    <w:p w14:paraId="5A7ECC05">
      <w:pPr>
        <w:pStyle w:val="56"/>
        <w:rPr>
          <w:rFonts w:ascii="Times New Roman" w:hAnsi="Times New Roman"/>
          <w:color w:val="auto"/>
        </w:rPr>
      </w:pPr>
    </w:p>
    <w:p w14:paraId="619A6BAF">
      <w:pPr>
        <w:rPr>
          <w:rFonts w:ascii="Times New Roman" w:hAnsi="Times New Roman"/>
          <w:color w:val="auto"/>
        </w:rPr>
      </w:pPr>
    </w:p>
    <w:p w14:paraId="0EC255BF">
      <w:pPr>
        <w:pStyle w:val="56"/>
        <w:rPr>
          <w:rFonts w:ascii="Times New Roman" w:hAnsi="Times New Roman"/>
          <w:color w:val="auto"/>
        </w:rPr>
      </w:pPr>
    </w:p>
    <w:p w14:paraId="6F280397">
      <w:pPr>
        <w:rPr>
          <w:rFonts w:ascii="Times New Roman" w:hAnsi="Times New Roman"/>
          <w:color w:val="auto"/>
        </w:rPr>
      </w:pPr>
    </w:p>
    <w:p w14:paraId="34B88387">
      <w:pPr>
        <w:pStyle w:val="56"/>
        <w:rPr>
          <w:rFonts w:ascii="Times New Roman" w:hAnsi="Times New Roman"/>
          <w:color w:val="auto"/>
        </w:rPr>
      </w:pPr>
    </w:p>
    <w:p w14:paraId="5E24D8E7">
      <w:pPr>
        <w:rPr>
          <w:rFonts w:ascii="Times New Roman" w:hAnsi="Times New Roman"/>
          <w:color w:val="auto"/>
        </w:rPr>
      </w:pPr>
    </w:p>
    <w:p w14:paraId="5E74295C">
      <w:pPr>
        <w:pStyle w:val="56"/>
        <w:rPr>
          <w:rFonts w:ascii="Times New Roman" w:hAnsi="Times New Roman"/>
          <w:color w:val="auto"/>
        </w:rPr>
      </w:pPr>
    </w:p>
    <w:bookmarkEnd w:id="277"/>
    <w:p w14:paraId="0B63E21F">
      <w:pPr>
        <w:pStyle w:val="3"/>
        <w:numPr>
          <w:ilvl w:val="0"/>
          <w:numId w:val="0"/>
        </w:numPr>
        <w:jc w:val="center"/>
        <w:rPr>
          <w:rFonts w:ascii="Times New Roman" w:hAnsi="Times New Roman"/>
          <w:color w:val="auto"/>
        </w:rPr>
      </w:pPr>
      <w:r>
        <w:rPr>
          <w:rFonts w:hint="eastAsia" w:ascii="Times New Roman" w:hAnsi="Times New Roman"/>
          <w:color w:val="auto"/>
          <w:lang w:val="en-US" w:eastAsia="zh-CN"/>
        </w:rPr>
        <w:t>五、</w:t>
      </w:r>
      <w:r>
        <w:rPr>
          <w:rFonts w:hint="eastAsia" w:ascii="Times New Roman" w:hAnsi="Times New Roman"/>
          <w:color w:val="auto"/>
        </w:rPr>
        <w:t>施工组织设计</w:t>
      </w:r>
    </w:p>
    <w:p w14:paraId="4115D378">
      <w:pPr>
        <w:pStyle w:val="56"/>
        <w:ind w:firstLine="420"/>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（根据招标文件评分办法自行编制）</w:t>
      </w:r>
    </w:p>
    <w:p w14:paraId="5BFD4CB3">
      <w:pPr>
        <w:pStyle w:val="56"/>
        <w:ind w:firstLine="420"/>
        <w:rPr>
          <w:color w:val="auto"/>
          <w:sz w:val="21"/>
          <w:szCs w:val="21"/>
        </w:rPr>
      </w:pPr>
    </w:p>
    <w:p w14:paraId="41F96B5D">
      <w:pPr>
        <w:rPr>
          <w:color w:val="auto"/>
          <w:szCs w:val="21"/>
        </w:rPr>
      </w:pPr>
    </w:p>
    <w:p w14:paraId="661BF093">
      <w:pPr>
        <w:pStyle w:val="56"/>
        <w:ind w:firstLine="420"/>
        <w:rPr>
          <w:color w:val="auto"/>
          <w:sz w:val="21"/>
          <w:szCs w:val="21"/>
        </w:rPr>
      </w:pPr>
    </w:p>
    <w:p w14:paraId="70CE653E">
      <w:pPr>
        <w:rPr>
          <w:color w:val="auto"/>
          <w:szCs w:val="21"/>
        </w:rPr>
      </w:pPr>
    </w:p>
    <w:p w14:paraId="599E55DC">
      <w:pPr>
        <w:pStyle w:val="56"/>
        <w:ind w:firstLine="420"/>
        <w:rPr>
          <w:color w:val="auto"/>
          <w:sz w:val="21"/>
          <w:szCs w:val="21"/>
        </w:rPr>
      </w:pPr>
    </w:p>
    <w:p w14:paraId="49C464F5">
      <w:pPr>
        <w:rPr>
          <w:color w:val="auto"/>
          <w:szCs w:val="21"/>
        </w:rPr>
      </w:pPr>
    </w:p>
    <w:p w14:paraId="434DA805">
      <w:pPr>
        <w:pStyle w:val="56"/>
        <w:rPr>
          <w:color w:val="auto"/>
        </w:rPr>
      </w:pPr>
    </w:p>
    <w:p w14:paraId="0E292B70">
      <w:pPr>
        <w:rPr>
          <w:color w:val="auto"/>
        </w:rPr>
      </w:pPr>
    </w:p>
    <w:p w14:paraId="1040FE5F">
      <w:pPr>
        <w:pStyle w:val="56"/>
        <w:rPr>
          <w:color w:val="auto"/>
        </w:rPr>
      </w:pPr>
    </w:p>
    <w:p w14:paraId="7016B242">
      <w:pPr>
        <w:rPr>
          <w:color w:val="auto"/>
        </w:rPr>
      </w:pPr>
    </w:p>
    <w:p w14:paraId="1BA3F590">
      <w:pPr>
        <w:pStyle w:val="56"/>
        <w:rPr>
          <w:color w:val="auto"/>
        </w:rPr>
      </w:pPr>
    </w:p>
    <w:p w14:paraId="0B54156B">
      <w:pPr>
        <w:rPr>
          <w:color w:val="auto"/>
        </w:rPr>
      </w:pPr>
    </w:p>
    <w:p w14:paraId="0E2EBE10">
      <w:pPr>
        <w:pStyle w:val="56"/>
        <w:rPr>
          <w:color w:val="auto"/>
        </w:rPr>
      </w:pPr>
    </w:p>
    <w:p w14:paraId="326EBA99">
      <w:pPr>
        <w:pStyle w:val="56"/>
        <w:ind w:firstLine="0" w:firstLineChars="0"/>
        <w:rPr>
          <w:color w:val="auto"/>
        </w:rPr>
      </w:pPr>
    </w:p>
    <w:p w14:paraId="6264358D">
      <w:pPr>
        <w:rPr>
          <w:color w:val="auto"/>
        </w:rPr>
      </w:pPr>
    </w:p>
    <w:p w14:paraId="3BA2175D">
      <w:pPr>
        <w:spacing w:before="91" w:line="186" w:lineRule="auto"/>
        <w:ind w:firstLine="37"/>
        <w:rPr>
          <w:rFonts w:ascii="宋体" w:hAnsi="宋体" w:cs="宋体"/>
          <w:color w:val="auto"/>
          <w:spacing w:val="-13"/>
          <w:sz w:val="28"/>
          <w:szCs w:val="28"/>
        </w:rPr>
      </w:pPr>
    </w:p>
    <w:p w14:paraId="7547BFDB">
      <w:pPr>
        <w:spacing w:before="91" w:line="186" w:lineRule="auto"/>
        <w:ind w:firstLine="37"/>
        <w:rPr>
          <w:rFonts w:ascii="宋体" w:hAnsi="宋体" w:cs="宋体"/>
          <w:color w:val="auto"/>
          <w:spacing w:val="-13"/>
          <w:sz w:val="28"/>
          <w:szCs w:val="28"/>
        </w:rPr>
      </w:pPr>
    </w:p>
    <w:p w14:paraId="75E17185">
      <w:pPr>
        <w:spacing w:before="91" w:line="186" w:lineRule="auto"/>
        <w:ind w:firstLine="37"/>
        <w:rPr>
          <w:rFonts w:ascii="宋体" w:hAnsi="宋体" w:cs="宋体"/>
          <w:color w:val="auto"/>
          <w:spacing w:val="-13"/>
          <w:sz w:val="28"/>
          <w:szCs w:val="28"/>
        </w:rPr>
      </w:pPr>
    </w:p>
    <w:p w14:paraId="11B6F672">
      <w:pPr>
        <w:spacing w:before="91" w:line="186" w:lineRule="auto"/>
        <w:ind w:firstLine="37"/>
        <w:rPr>
          <w:rFonts w:ascii="宋体" w:hAnsi="宋体" w:cs="宋体"/>
          <w:color w:val="auto"/>
          <w:spacing w:val="-13"/>
          <w:sz w:val="28"/>
          <w:szCs w:val="28"/>
        </w:rPr>
      </w:pPr>
    </w:p>
    <w:p w14:paraId="7B361CFA">
      <w:pPr>
        <w:spacing w:before="91" w:line="186" w:lineRule="auto"/>
        <w:ind w:firstLine="37"/>
        <w:rPr>
          <w:rFonts w:ascii="宋体" w:hAnsi="宋体" w:cs="宋体"/>
          <w:color w:val="auto"/>
          <w:spacing w:val="-13"/>
          <w:sz w:val="28"/>
          <w:szCs w:val="28"/>
        </w:rPr>
      </w:pPr>
    </w:p>
    <w:p w14:paraId="70A2651A">
      <w:pPr>
        <w:spacing w:before="91" w:line="186" w:lineRule="auto"/>
        <w:ind w:firstLine="37"/>
        <w:rPr>
          <w:rFonts w:ascii="宋体" w:hAnsi="宋体" w:cs="宋体"/>
          <w:color w:val="auto"/>
          <w:spacing w:val="-13"/>
          <w:sz w:val="28"/>
          <w:szCs w:val="28"/>
        </w:rPr>
      </w:pPr>
    </w:p>
    <w:p w14:paraId="43E5814D">
      <w:pPr>
        <w:spacing w:before="91" w:line="186" w:lineRule="auto"/>
        <w:ind w:firstLine="37"/>
        <w:rPr>
          <w:rFonts w:ascii="宋体" w:hAnsi="宋体" w:cs="宋体"/>
          <w:color w:val="auto"/>
          <w:spacing w:val="-13"/>
          <w:sz w:val="28"/>
          <w:szCs w:val="28"/>
        </w:rPr>
      </w:pPr>
    </w:p>
    <w:p w14:paraId="57DC22FA">
      <w:pPr>
        <w:spacing w:before="91" w:line="186" w:lineRule="auto"/>
        <w:ind w:firstLine="37"/>
        <w:rPr>
          <w:rFonts w:ascii="宋体" w:hAnsi="宋体" w:cs="宋体"/>
          <w:color w:val="auto"/>
          <w:spacing w:val="-13"/>
          <w:sz w:val="28"/>
          <w:szCs w:val="28"/>
        </w:rPr>
      </w:pPr>
    </w:p>
    <w:p w14:paraId="602D7C7F">
      <w:pPr>
        <w:pStyle w:val="36"/>
        <w:rPr>
          <w:rFonts w:ascii="宋体" w:hAnsi="宋体" w:cs="宋体"/>
          <w:color w:val="auto"/>
          <w:spacing w:val="-13"/>
          <w:sz w:val="28"/>
          <w:szCs w:val="28"/>
        </w:rPr>
      </w:pPr>
    </w:p>
    <w:p w14:paraId="20F6B795">
      <w:pPr>
        <w:widowControl/>
        <w:jc w:val="left"/>
        <w:rPr>
          <w:color w:val="auto"/>
        </w:rPr>
      </w:pPr>
      <w:r>
        <w:rPr>
          <w:color w:val="auto"/>
        </w:rPr>
        <w:br w:type="page"/>
      </w:r>
    </w:p>
    <w:p w14:paraId="5E071060">
      <w:pPr>
        <w:pStyle w:val="3"/>
        <w:numPr>
          <w:ilvl w:val="0"/>
          <w:numId w:val="0"/>
        </w:numPr>
        <w:spacing w:after="0"/>
        <w:jc w:val="center"/>
        <w:rPr>
          <w:color w:val="auto"/>
        </w:rPr>
      </w:pPr>
      <w:bookmarkStart w:id="278" w:name="_Toc22901"/>
      <w:bookmarkStart w:id="279" w:name="_Toc534190159"/>
      <w:bookmarkStart w:id="280" w:name="_Toc361508760"/>
      <w:r>
        <w:rPr>
          <w:rFonts w:hint="eastAsia"/>
          <w:color w:val="auto"/>
          <w:lang w:val="en-US" w:eastAsia="zh-CN"/>
        </w:rPr>
        <w:t>六、</w:t>
      </w:r>
      <w:r>
        <w:rPr>
          <w:rFonts w:hint="eastAsia"/>
          <w:color w:val="auto"/>
        </w:rPr>
        <w:t>项目管理机构</w:t>
      </w:r>
    </w:p>
    <w:p w14:paraId="2BF292E1">
      <w:pPr>
        <w:rPr>
          <w:color w:val="auto"/>
          <w:szCs w:val="21"/>
        </w:rPr>
      </w:pPr>
    </w:p>
    <w:tbl>
      <w:tblPr>
        <w:tblStyle w:val="37"/>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0"/>
        <w:gridCol w:w="1228"/>
        <w:gridCol w:w="2173"/>
        <w:gridCol w:w="1499"/>
        <w:gridCol w:w="2244"/>
      </w:tblGrid>
      <w:tr w14:paraId="15F4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970" w:type="dxa"/>
            <w:noWrap w:val="0"/>
            <w:vAlign w:val="center"/>
          </w:tcPr>
          <w:p w14:paraId="6C7F0D4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类别</w:t>
            </w:r>
          </w:p>
        </w:tc>
        <w:tc>
          <w:tcPr>
            <w:tcW w:w="970" w:type="dxa"/>
            <w:noWrap w:val="0"/>
            <w:vAlign w:val="center"/>
          </w:tcPr>
          <w:p w14:paraId="371CD9F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职务</w:t>
            </w:r>
          </w:p>
        </w:tc>
        <w:tc>
          <w:tcPr>
            <w:tcW w:w="1228" w:type="dxa"/>
            <w:noWrap w:val="0"/>
            <w:vAlign w:val="center"/>
          </w:tcPr>
          <w:p w14:paraId="7F3BC865">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姓名</w:t>
            </w:r>
          </w:p>
        </w:tc>
        <w:tc>
          <w:tcPr>
            <w:tcW w:w="2173" w:type="dxa"/>
            <w:noWrap w:val="0"/>
            <w:vAlign w:val="center"/>
          </w:tcPr>
          <w:p w14:paraId="099A03F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身份证</w:t>
            </w:r>
          </w:p>
        </w:tc>
        <w:tc>
          <w:tcPr>
            <w:tcW w:w="1499" w:type="dxa"/>
            <w:noWrap w:val="0"/>
            <w:vAlign w:val="center"/>
          </w:tcPr>
          <w:p w14:paraId="17680C2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从业时间</w:t>
            </w:r>
          </w:p>
        </w:tc>
        <w:tc>
          <w:tcPr>
            <w:tcW w:w="2244" w:type="dxa"/>
            <w:noWrap w:val="0"/>
            <w:vAlign w:val="center"/>
          </w:tcPr>
          <w:p w14:paraId="763DEBF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联系方式</w:t>
            </w:r>
          </w:p>
        </w:tc>
      </w:tr>
      <w:tr w14:paraId="5540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70" w:type="dxa"/>
            <w:vMerge w:val="restart"/>
            <w:noWrap w:val="0"/>
            <w:vAlign w:val="center"/>
          </w:tcPr>
          <w:p w14:paraId="676D107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管理</w:t>
            </w:r>
          </w:p>
          <w:p w14:paraId="0BB6E62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24C9397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B4C6FE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558BCF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2CB9E0C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2174867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3E08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0" w:type="dxa"/>
            <w:vMerge w:val="continue"/>
            <w:noWrap w:val="0"/>
            <w:vAlign w:val="center"/>
          </w:tcPr>
          <w:p w14:paraId="32BE4365">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57DE49E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5D32D59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3971157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4025604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492B642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C06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70" w:type="dxa"/>
            <w:vMerge w:val="continue"/>
            <w:noWrap w:val="0"/>
            <w:vAlign w:val="center"/>
          </w:tcPr>
          <w:p w14:paraId="002299E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0B92BC0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77267FB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3ABBBA7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17CF19D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1160311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6F10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0" w:type="dxa"/>
            <w:vMerge w:val="restart"/>
            <w:noWrap w:val="0"/>
            <w:vAlign w:val="center"/>
          </w:tcPr>
          <w:p w14:paraId="498DB939">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w:t>
            </w:r>
          </w:p>
          <w:p w14:paraId="36ADEA4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190D288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19C399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65B60B07">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0C044DC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35660FB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B1E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70" w:type="dxa"/>
            <w:vMerge w:val="continue"/>
            <w:noWrap w:val="0"/>
            <w:vAlign w:val="center"/>
          </w:tcPr>
          <w:p w14:paraId="000D06D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32F985C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40B5A91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D4602C9">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7254FC4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5070742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72B6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70" w:type="dxa"/>
            <w:vMerge w:val="continue"/>
            <w:noWrap w:val="0"/>
            <w:vAlign w:val="center"/>
          </w:tcPr>
          <w:p w14:paraId="6674E0F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6070077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1FE23B2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2E5310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6BF4E8A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019A335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7F76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0" w:type="dxa"/>
            <w:vMerge w:val="restart"/>
            <w:noWrap w:val="0"/>
            <w:vAlign w:val="center"/>
          </w:tcPr>
          <w:p w14:paraId="6E33D99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售后</w:t>
            </w:r>
          </w:p>
          <w:p w14:paraId="617CA79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39FBF07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00DCEC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4848B1D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5014DF3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10F9051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67CE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0" w:type="dxa"/>
            <w:vMerge w:val="continue"/>
            <w:noWrap w:val="0"/>
            <w:vAlign w:val="center"/>
          </w:tcPr>
          <w:p w14:paraId="3E9335E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39F8B9F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A5B634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5400DA2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2E09676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49619F9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3A4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70" w:type="dxa"/>
            <w:vMerge w:val="continue"/>
            <w:noWrap w:val="0"/>
            <w:vAlign w:val="center"/>
          </w:tcPr>
          <w:p w14:paraId="31AF863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183C845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63CF23D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445956D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11DCA45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5785A5F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bl>
    <w:p w14:paraId="51610653">
      <w:pPr>
        <w:spacing w:line="230" w:lineRule="exact"/>
        <w:rPr>
          <w:color w:val="auto"/>
        </w:rPr>
      </w:pPr>
    </w:p>
    <w:p w14:paraId="359D68ED">
      <w:pPr>
        <w:spacing w:before="31" w:line="184" w:lineRule="auto"/>
        <w:ind w:firstLine="12"/>
        <w:rPr>
          <w:rFonts w:ascii="宋体" w:hAnsi="宋体" w:cs="宋体"/>
          <w:color w:val="auto"/>
          <w:szCs w:val="21"/>
        </w:rPr>
      </w:pPr>
      <w:r>
        <w:rPr>
          <w:rFonts w:ascii="宋体" w:hAnsi="宋体" w:cs="宋体"/>
          <w:color w:val="auto"/>
          <w:spacing w:val="-8"/>
          <w:szCs w:val="21"/>
        </w:rPr>
        <w:t>注：</w:t>
      </w:r>
      <w:r>
        <w:rPr>
          <w:rFonts w:hint="eastAsia" w:ascii="宋体" w:hAnsi="宋体" w:cs="宋体"/>
          <w:color w:val="auto"/>
          <w:spacing w:val="-8"/>
          <w:szCs w:val="21"/>
          <w:lang w:val="en-US" w:eastAsia="zh-CN"/>
        </w:rPr>
        <w:t>本表格式仅供参考，</w:t>
      </w:r>
      <w:r>
        <w:rPr>
          <w:rFonts w:hint="eastAsia" w:ascii="宋体" w:hAnsi="宋体" w:cs="宋体"/>
          <w:color w:val="auto"/>
          <w:spacing w:val="-8"/>
          <w:szCs w:val="21"/>
        </w:rPr>
        <w:t>后附</w:t>
      </w:r>
      <w:r>
        <w:rPr>
          <w:rFonts w:hint="eastAsia" w:ascii="宋体" w:hAnsi="宋体" w:cs="宋体"/>
          <w:color w:val="auto"/>
          <w:spacing w:val="-8"/>
          <w:szCs w:val="21"/>
          <w:lang w:val="en-US" w:eastAsia="zh-CN"/>
        </w:rPr>
        <w:t>相关证明材料</w:t>
      </w:r>
      <w:r>
        <w:rPr>
          <w:rFonts w:hint="eastAsia" w:ascii="宋体" w:hAnsi="宋体" w:cs="宋体"/>
          <w:color w:val="auto"/>
          <w:spacing w:val="-8"/>
          <w:szCs w:val="21"/>
        </w:rPr>
        <w:t>（如有）</w:t>
      </w:r>
      <w:r>
        <w:rPr>
          <w:rFonts w:hint="eastAsia" w:ascii="宋体" w:hAnsi="宋体" w:cs="宋体"/>
          <w:color w:val="auto"/>
          <w:spacing w:val="-8"/>
          <w:szCs w:val="21"/>
          <w:lang w:val="en-US" w:eastAsia="zh-CN"/>
        </w:rPr>
        <w:t>或身份证明</w:t>
      </w:r>
      <w:r>
        <w:rPr>
          <w:rFonts w:hint="eastAsia" w:ascii="宋体" w:hAnsi="宋体" w:cs="宋体"/>
          <w:color w:val="auto"/>
          <w:spacing w:val="-8"/>
          <w:szCs w:val="21"/>
        </w:rPr>
        <w:t>；</w:t>
      </w:r>
    </w:p>
    <w:p w14:paraId="411D4A75">
      <w:pPr>
        <w:spacing w:before="135" w:line="186" w:lineRule="auto"/>
        <w:rPr>
          <w:rFonts w:ascii="宋体" w:hAnsi="宋体" w:cs="宋体"/>
          <w:color w:val="auto"/>
          <w:spacing w:val="-15"/>
          <w:sz w:val="28"/>
          <w:szCs w:val="28"/>
        </w:rPr>
      </w:pPr>
    </w:p>
    <w:p w14:paraId="556A1520">
      <w:pPr>
        <w:pStyle w:val="36"/>
        <w:rPr>
          <w:rFonts w:ascii="宋体" w:hAnsi="宋体" w:cs="宋体"/>
          <w:color w:val="auto"/>
          <w:spacing w:val="-15"/>
          <w:sz w:val="28"/>
          <w:szCs w:val="28"/>
        </w:rPr>
      </w:pPr>
    </w:p>
    <w:p w14:paraId="2B93950B">
      <w:pPr>
        <w:rPr>
          <w:rFonts w:ascii="宋体" w:hAnsi="宋体" w:cs="宋体"/>
          <w:color w:val="auto"/>
          <w:spacing w:val="-15"/>
          <w:sz w:val="28"/>
          <w:szCs w:val="28"/>
        </w:rPr>
      </w:pPr>
    </w:p>
    <w:p w14:paraId="1A788EF8">
      <w:pPr>
        <w:rPr>
          <w:rFonts w:ascii="宋体" w:hAnsi="宋体" w:cs="宋体"/>
          <w:color w:val="auto"/>
          <w:spacing w:val="-15"/>
          <w:sz w:val="28"/>
          <w:szCs w:val="28"/>
        </w:rPr>
      </w:pPr>
    </w:p>
    <w:p w14:paraId="469403ED">
      <w:pPr>
        <w:rPr>
          <w:rFonts w:ascii="宋体" w:hAnsi="宋体" w:cs="宋体"/>
          <w:color w:val="auto"/>
          <w:spacing w:val="-15"/>
          <w:sz w:val="28"/>
          <w:szCs w:val="28"/>
        </w:rPr>
      </w:pPr>
    </w:p>
    <w:p w14:paraId="6F16275A">
      <w:pPr>
        <w:rPr>
          <w:color w:val="auto"/>
        </w:rPr>
      </w:pPr>
    </w:p>
    <w:p w14:paraId="6C476EF5">
      <w:pPr>
        <w:widowControl/>
        <w:jc w:val="left"/>
        <w:rPr>
          <w:rFonts w:ascii="宋体" w:hAnsi="宋体" w:cs="宋体"/>
          <w:color w:val="auto"/>
          <w:spacing w:val="-1"/>
          <w:kern w:val="0"/>
          <w:sz w:val="24"/>
          <w:szCs w:val="24"/>
        </w:rPr>
      </w:pPr>
      <w:r>
        <w:rPr>
          <w:color w:val="auto"/>
          <w:spacing w:val="-1"/>
        </w:rPr>
        <w:br w:type="page"/>
      </w:r>
    </w:p>
    <w:p w14:paraId="15E3DD2B">
      <w:pPr>
        <w:pStyle w:val="3"/>
        <w:numPr>
          <w:ilvl w:val="0"/>
          <w:numId w:val="0"/>
        </w:numPr>
        <w:spacing w:after="0"/>
        <w:jc w:val="center"/>
        <w:rPr>
          <w:color w:val="auto"/>
        </w:rPr>
      </w:pPr>
      <w:r>
        <w:rPr>
          <w:rFonts w:hint="eastAsia" w:ascii="Times New Roman" w:hAnsi="Times New Roman"/>
          <w:color w:val="auto"/>
          <w:lang w:val="en-US" w:eastAsia="zh-CN"/>
        </w:rPr>
        <w:t>七、</w:t>
      </w:r>
      <w:r>
        <w:rPr>
          <w:rFonts w:ascii="Times New Roman" w:hAnsi="Times New Roman"/>
          <w:color w:val="auto"/>
        </w:rPr>
        <w:t>资格审查资料</w:t>
      </w:r>
      <w:bookmarkEnd w:id="278"/>
      <w:bookmarkEnd w:id="279"/>
    </w:p>
    <w:p w14:paraId="7601BF62">
      <w:pPr>
        <w:pStyle w:val="4"/>
        <w:spacing w:before="20" w:after="0"/>
        <w:ind w:firstLine="103"/>
        <w:jc w:val="center"/>
        <w:rPr>
          <w:rFonts w:asciiTheme="minorEastAsia" w:hAnsiTheme="minorEastAsia" w:eastAsiaTheme="minorEastAsia" w:cstheme="minorEastAsia"/>
          <w:b/>
          <w:bCs/>
          <w:color w:val="auto"/>
          <w:sz w:val="21"/>
          <w:szCs w:val="21"/>
        </w:rPr>
      </w:pPr>
      <w:bookmarkStart w:id="281" w:name="_Toc534190160"/>
      <w:r>
        <w:rPr>
          <w:rFonts w:hint="eastAsia" w:asciiTheme="minorEastAsia" w:hAnsiTheme="minorEastAsia" w:eastAsiaTheme="minorEastAsia" w:cstheme="minorEastAsia"/>
          <w:b/>
          <w:bCs/>
          <w:color w:val="auto"/>
          <w:sz w:val="21"/>
          <w:szCs w:val="21"/>
        </w:rPr>
        <w:t>（一）投标人基本情况表</w:t>
      </w:r>
      <w:bookmarkEnd w:id="281"/>
    </w:p>
    <w:tbl>
      <w:tblPr>
        <w:tblStyle w:val="37"/>
        <w:tblW w:w="0" w:type="auto"/>
        <w:tblInd w:w="0" w:type="dxa"/>
        <w:tblLayout w:type="fixed"/>
        <w:tblCellMar>
          <w:top w:w="0" w:type="dxa"/>
          <w:left w:w="108" w:type="dxa"/>
          <w:bottom w:w="0" w:type="dxa"/>
          <w:right w:w="108" w:type="dxa"/>
        </w:tblCellMar>
      </w:tblPr>
      <w:tblGrid>
        <w:gridCol w:w="1587"/>
        <w:gridCol w:w="935"/>
        <w:gridCol w:w="1261"/>
        <w:gridCol w:w="1261"/>
        <w:gridCol w:w="1261"/>
        <w:gridCol w:w="1261"/>
        <w:gridCol w:w="1495"/>
      </w:tblGrid>
      <w:tr w14:paraId="72DC1629">
        <w:tblPrEx>
          <w:tblCellMar>
            <w:top w:w="0" w:type="dxa"/>
            <w:left w:w="108" w:type="dxa"/>
            <w:bottom w:w="0" w:type="dxa"/>
            <w:right w:w="108" w:type="dxa"/>
          </w:tblCellMar>
        </w:tblPrEx>
        <w:trPr>
          <w:trHeight w:val="784"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1891E81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投标人名称</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AF89D1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522A6EDC">
        <w:tblPrEx>
          <w:tblCellMar>
            <w:top w:w="0" w:type="dxa"/>
            <w:left w:w="108" w:type="dxa"/>
            <w:bottom w:w="0" w:type="dxa"/>
            <w:right w:w="108" w:type="dxa"/>
          </w:tblCellMar>
        </w:tblPrEx>
        <w:trPr>
          <w:trHeight w:val="70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27D1A4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注册地址</w:t>
            </w:r>
          </w:p>
        </w:tc>
        <w:tc>
          <w:tcPr>
            <w:tcW w:w="3457" w:type="dxa"/>
            <w:gridSpan w:val="3"/>
            <w:tcBorders>
              <w:top w:val="single" w:color="000000" w:sz="4" w:space="0"/>
              <w:left w:val="single" w:color="000000" w:sz="4" w:space="0"/>
              <w:bottom w:val="single" w:color="000000" w:sz="4" w:space="0"/>
              <w:right w:val="single" w:color="000000" w:sz="4" w:space="0"/>
            </w:tcBorders>
            <w:noWrap w:val="0"/>
            <w:vAlign w:val="center"/>
          </w:tcPr>
          <w:p w14:paraId="3FB072C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78E19A1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邮政编码</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2B26F8D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3B9672D2">
        <w:tblPrEx>
          <w:tblCellMar>
            <w:top w:w="0" w:type="dxa"/>
            <w:left w:w="108" w:type="dxa"/>
            <w:bottom w:w="0" w:type="dxa"/>
            <w:right w:w="108" w:type="dxa"/>
          </w:tblCellMar>
        </w:tblPrEx>
        <w:trPr>
          <w:trHeight w:val="751" w:hRule="atLeast"/>
        </w:trPr>
        <w:tc>
          <w:tcPr>
            <w:tcW w:w="1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81ABB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联系方式</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69EC13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联系人</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14C3B87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46B4B5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42C3A8E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019FCF5">
        <w:tblPrEx>
          <w:tblCellMar>
            <w:top w:w="0" w:type="dxa"/>
            <w:left w:w="108" w:type="dxa"/>
            <w:bottom w:w="0" w:type="dxa"/>
            <w:right w:w="108" w:type="dxa"/>
          </w:tblCellMar>
        </w:tblPrEx>
        <w:trPr>
          <w:trHeight w:val="1000" w:hRule="atLeast"/>
        </w:trPr>
        <w:tc>
          <w:tcPr>
            <w:tcW w:w="1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A9487">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489205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传真</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2A30F40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44F5068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网址</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62CE4EC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123C1E2C">
        <w:tblPrEx>
          <w:tblCellMar>
            <w:top w:w="0" w:type="dxa"/>
            <w:left w:w="108" w:type="dxa"/>
            <w:bottom w:w="0" w:type="dxa"/>
            <w:right w:w="108" w:type="dxa"/>
          </w:tblCellMar>
        </w:tblPrEx>
        <w:trPr>
          <w:trHeight w:val="667"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7DC421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组织机构</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5B4F0A1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8994756">
        <w:tblPrEx>
          <w:tblCellMar>
            <w:top w:w="0" w:type="dxa"/>
            <w:left w:w="108" w:type="dxa"/>
            <w:bottom w:w="0" w:type="dxa"/>
            <w:right w:w="108" w:type="dxa"/>
          </w:tblCellMar>
        </w:tblPrEx>
        <w:trPr>
          <w:trHeight w:val="70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418931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法定代表人</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028FC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姓名</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51188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301039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技术职称</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23E32D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2ECD7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2C0EF9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023C0D89">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578AE1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成立时间</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1735E0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5278" w:type="dxa"/>
            <w:gridSpan w:val="4"/>
            <w:tcBorders>
              <w:top w:val="single" w:color="000000" w:sz="4" w:space="0"/>
              <w:left w:val="single" w:color="000000" w:sz="4" w:space="0"/>
              <w:bottom w:val="single" w:color="000000" w:sz="4" w:space="0"/>
              <w:right w:val="single" w:color="000000" w:sz="4" w:space="0"/>
            </w:tcBorders>
            <w:noWrap w:val="0"/>
            <w:vAlign w:val="center"/>
          </w:tcPr>
          <w:p w14:paraId="422C318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员工总人数</w:t>
            </w:r>
          </w:p>
        </w:tc>
      </w:tr>
      <w:tr w14:paraId="11025C3E">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BDECDF7">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营业执照号</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9CDA3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92B2ED5">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6D9CC3CA">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注册资金</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30329F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2CDA12A7">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95FD66B">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开户银行</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35E89D0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628529B8">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61991B8">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帐号</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D4C3A4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17827D4">
        <w:tblPrEx>
          <w:tblCellMar>
            <w:top w:w="0" w:type="dxa"/>
            <w:left w:w="108" w:type="dxa"/>
            <w:bottom w:w="0" w:type="dxa"/>
            <w:right w:w="108" w:type="dxa"/>
          </w:tblCellMar>
        </w:tblPrEx>
        <w:trPr>
          <w:trHeight w:val="129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7FEF86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经营范围</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4588608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67FAE1E">
        <w:tblPrEx>
          <w:tblCellMar>
            <w:top w:w="0" w:type="dxa"/>
            <w:left w:w="108" w:type="dxa"/>
            <w:bottom w:w="0" w:type="dxa"/>
            <w:right w:w="108" w:type="dxa"/>
          </w:tblCellMar>
        </w:tblPrEx>
        <w:trPr>
          <w:trHeight w:val="876"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74BA3A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备注</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23D6CB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bl>
    <w:p w14:paraId="378AB12B">
      <w:pPr>
        <w:pStyle w:val="32"/>
        <w:adjustRightInd w:val="0"/>
        <w:snapToGrid w:val="0"/>
        <w:rPr>
          <w:rFonts w:ascii="宋体" w:hAnsi="宋体" w:eastAsia="宋体"/>
          <w:bCs/>
          <w:color w:val="auto"/>
        </w:rPr>
      </w:pPr>
    </w:p>
    <w:p w14:paraId="68273CBA">
      <w:pPr>
        <w:pStyle w:val="32"/>
        <w:adjustRightInd w:val="0"/>
        <w:snapToGrid w:val="0"/>
        <w:ind w:firstLine="210" w:firstLineChars="100"/>
        <w:rPr>
          <w:rFonts w:hint="eastAsia" w:ascii="仿宋" w:hAnsi="仿宋" w:eastAsia="仿宋" w:cs="仿宋"/>
          <w:bCs/>
          <w:color w:val="auto"/>
        </w:rPr>
      </w:pPr>
      <w:r>
        <w:rPr>
          <w:rFonts w:hint="eastAsia" w:ascii="仿宋" w:hAnsi="仿宋" w:eastAsia="仿宋" w:cs="仿宋"/>
          <w:bCs/>
          <w:color w:val="auto"/>
        </w:rPr>
        <w:t>附：投标人须知前附表中要求提供的资格审查资料及投标人认为需要提供的其他资料</w:t>
      </w:r>
    </w:p>
    <w:p w14:paraId="2B1E3ACD">
      <w:pPr>
        <w:spacing w:line="400" w:lineRule="exact"/>
        <w:ind w:firstLine="420" w:firstLineChars="200"/>
        <w:rPr>
          <w:rFonts w:ascii="Times New Roman" w:hAnsi="Times New Roman"/>
          <w:color w:val="auto"/>
          <w:szCs w:val="21"/>
        </w:rPr>
      </w:pPr>
    </w:p>
    <w:bookmarkEnd w:id="280"/>
    <w:p w14:paraId="70ED381F">
      <w:pPr>
        <w:pStyle w:val="36"/>
        <w:rPr>
          <w:color w:val="auto"/>
        </w:rPr>
      </w:pPr>
      <w:bookmarkStart w:id="282" w:name="_Toc534190169"/>
    </w:p>
    <w:p w14:paraId="29E0BFB9">
      <w:pPr>
        <w:pStyle w:val="4"/>
        <w:spacing w:before="20" w:after="0"/>
        <w:ind w:firstLine="138"/>
        <w:jc w:val="center"/>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（二）投标人近三年完成的类似项目情况表</w:t>
      </w:r>
    </w:p>
    <w:tbl>
      <w:tblPr>
        <w:tblStyle w:val="37"/>
        <w:tblW w:w="937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7"/>
        <w:gridCol w:w="6882"/>
      </w:tblGrid>
      <w:tr w14:paraId="2DA1B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497" w:type="dxa"/>
            <w:vAlign w:val="center"/>
          </w:tcPr>
          <w:p w14:paraId="76854D18">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项目名称</w:t>
            </w:r>
          </w:p>
        </w:tc>
        <w:tc>
          <w:tcPr>
            <w:tcW w:w="6882" w:type="dxa"/>
          </w:tcPr>
          <w:p w14:paraId="620B4B90">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21E6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4CEE713">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项目所在地</w:t>
            </w:r>
          </w:p>
        </w:tc>
        <w:tc>
          <w:tcPr>
            <w:tcW w:w="6882" w:type="dxa"/>
          </w:tcPr>
          <w:p w14:paraId="3C5BA98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F1D4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1FF3ED55">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发包人名称</w:t>
            </w:r>
          </w:p>
        </w:tc>
        <w:tc>
          <w:tcPr>
            <w:tcW w:w="6882" w:type="dxa"/>
          </w:tcPr>
          <w:p w14:paraId="2B17F02D">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4F4B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B011C2B">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发包人地址</w:t>
            </w:r>
          </w:p>
        </w:tc>
        <w:tc>
          <w:tcPr>
            <w:tcW w:w="6882" w:type="dxa"/>
          </w:tcPr>
          <w:p w14:paraId="577895A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4D02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410758E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发包人电话</w:t>
            </w:r>
          </w:p>
        </w:tc>
        <w:tc>
          <w:tcPr>
            <w:tcW w:w="6882" w:type="dxa"/>
          </w:tcPr>
          <w:p w14:paraId="186E09CE">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74E68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1DD624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合同价格</w:t>
            </w:r>
          </w:p>
        </w:tc>
        <w:tc>
          <w:tcPr>
            <w:tcW w:w="6882" w:type="dxa"/>
          </w:tcPr>
          <w:p w14:paraId="6D28BBC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58CCD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82775A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开工日期</w:t>
            </w:r>
          </w:p>
        </w:tc>
        <w:tc>
          <w:tcPr>
            <w:tcW w:w="6882" w:type="dxa"/>
          </w:tcPr>
          <w:p w14:paraId="4B8D6F8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9824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97" w:type="dxa"/>
            <w:vAlign w:val="center"/>
          </w:tcPr>
          <w:p w14:paraId="1264473F">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竣工日期</w:t>
            </w:r>
          </w:p>
        </w:tc>
        <w:tc>
          <w:tcPr>
            <w:tcW w:w="6882" w:type="dxa"/>
          </w:tcPr>
          <w:p w14:paraId="479481F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6695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6" w:hRule="atLeast"/>
        </w:trPr>
        <w:tc>
          <w:tcPr>
            <w:tcW w:w="2497" w:type="dxa"/>
            <w:vAlign w:val="center"/>
          </w:tcPr>
          <w:p w14:paraId="3118AB0C">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s="宋体"/>
                <w:color w:val="auto"/>
                <w:szCs w:val="21"/>
              </w:rPr>
            </w:pPr>
            <w:r>
              <w:rPr>
                <w:rFonts w:hint="eastAsia" w:cs="宋体"/>
                <w:color w:val="auto"/>
                <w:szCs w:val="21"/>
              </w:rPr>
              <w:t>项目描述</w:t>
            </w:r>
          </w:p>
        </w:tc>
        <w:tc>
          <w:tcPr>
            <w:tcW w:w="6882" w:type="dxa"/>
          </w:tcPr>
          <w:p w14:paraId="7A505D2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14072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497" w:type="dxa"/>
            <w:vAlign w:val="center"/>
          </w:tcPr>
          <w:p w14:paraId="7C45E3C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备注</w:t>
            </w:r>
          </w:p>
        </w:tc>
        <w:tc>
          <w:tcPr>
            <w:tcW w:w="6882" w:type="dxa"/>
          </w:tcPr>
          <w:p w14:paraId="07E48CCA">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bl>
    <w:p w14:paraId="05185856">
      <w:pPr>
        <w:pStyle w:val="3"/>
        <w:spacing w:line="400" w:lineRule="exact"/>
        <w:ind w:firstLine="210" w:firstLineChars="100"/>
        <w:jc w:val="both"/>
        <w:rPr>
          <w:rFonts w:hint="eastAsia" w:ascii="Calibri" w:hAnsi="Calibri" w:eastAsia="仿宋" w:cs="宋体"/>
          <w:b w:val="0"/>
          <w:color w:val="auto"/>
          <w:kern w:val="2"/>
          <w:sz w:val="21"/>
          <w:szCs w:val="21"/>
          <w:lang w:val="zh-CN" w:eastAsia="zh-CN" w:bidi="ar-SA"/>
        </w:rPr>
      </w:pPr>
      <w:bookmarkStart w:id="283" w:name="_Toc30715"/>
      <w:r>
        <w:rPr>
          <w:rFonts w:hint="eastAsia" w:ascii="Calibri" w:hAnsi="Calibri" w:eastAsia="仿宋" w:cs="宋体"/>
          <w:b w:val="0"/>
          <w:color w:val="auto"/>
          <w:kern w:val="2"/>
          <w:sz w:val="21"/>
          <w:szCs w:val="21"/>
          <w:lang w:val="zh-CN" w:eastAsia="zh-CN" w:bidi="ar-SA"/>
        </w:rPr>
        <w:t>注：如有，本表后应附合同</w:t>
      </w:r>
      <w:r>
        <w:rPr>
          <w:rFonts w:hint="eastAsia" w:ascii="Calibri" w:hAnsi="Calibri" w:eastAsia="仿宋" w:cs="宋体"/>
          <w:b w:val="0"/>
          <w:color w:val="auto"/>
          <w:kern w:val="2"/>
          <w:sz w:val="21"/>
          <w:szCs w:val="21"/>
          <w:lang w:val="en-US" w:eastAsia="zh-CN" w:bidi="ar-SA"/>
        </w:rPr>
        <w:t>原件扫描件</w:t>
      </w:r>
      <w:r>
        <w:rPr>
          <w:rFonts w:hint="eastAsia" w:ascii="Calibri" w:hAnsi="Calibri" w:eastAsia="仿宋" w:cs="宋体"/>
          <w:b w:val="0"/>
          <w:color w:val="auto"/>
          <w:kern w:val="2"/>
          <w:sz w:val="21"/>
          <w:szCs w:val="21"/>
          <w:lang w:val="zh-CN" w:eastAsia="zh-CN" w:bidi="ar-SA"/>
        </w:rPr>
        <w:t>。</w:t>
      </w:r>
    </w:p>
    <w:p w14:paraId="178F399C">
      <w:pPr>
        <w:pStyle w:val="3"/>
        <w:spacing w:line="400" w:lineRule="exact"/>
        <w:jc w:val="both"/>
        <w:rPr>
          <w:rFonts w:hint="eastAsia" w:ascii="黑体" w:hAnsi="黑体" w:cs="黑体"/>
          <w:color w:val="auto"/>
        </w:rPr>
      </w:pPr>
    </w:p>
    <w:p w14:paraId="116957E8">
      <w:pPr>
        <w:rPr>
          <w:rFonts w:hint="eastAsia"/>
          <w:color w:val="auto"/>
        </w:rPr>
      </w:pPr>
    </w:p>
    <w:p w14:paraId="52FBC76D">
      <w:pPr>
        <w:rPr>
          <w:rFonts w:hint="eastAsia"/>
          <w:color w:val="auto"/>
        </w:rPr>
      </w:pPr>
    </w:p>
    <w:p w14:paraId="1A00FE82">
      <w:pPr>
        <w:rPr>
          <w:rFonts w:hint="eastAsia"/>
          <w:color w:val="auto"/>
        </w:rPr>
      </w:pPr>
    </w:p>
    <w:p w14:paraId="623369AD">
      <w:pPr>
        <w:rPr>
          <w:rFonts w:hint="eastAsia"/>
          <w:color w:val="auto"/>
        </w:rPr>
      </w:pPr>
    </w:p>
    <w:p w14:paraId="00B7D026">
      <w:pPr>
        <w:rPr>
          <w:rFonts w:hint="eastAsia"/>
          <w:color w:val="auto"/>
        </w:rPr>
      </w:pPr>
    </w:p>
    <w:p w14:paraId="3779B719">
      <w:pPr>
        <w:rPr>
          <w:rFonts w:hint="eastAsia"/>
          <w:color w:val="auto"/>
        </w:rPr>
      </w:pPr>
    </w:p>
    <w:p w14:paraId="04BD5286">
      <w:pPr>
        <w:pStyle w:val="3"/>
        <w:spacing w:line="400" w:lineRule="exact"/>
        <w:jc w:val="center"/>
        <w:rPr>
          <w:rFonts w:ascii="黑体" w:hAnsi="黑体" w:cs="黑体"/>
          <w:color w:val="auto"/>
        </w:rPr>
      </w:pPr>
      <w:r>
        <w:rPr>
          <w:rFonts w:hint="eastAsia" w:ascii="黑体" w:hAnsi="黑体" w:cs="黑体"/>
          <w:color w:val="auto"/>
          <w:lang w:val="en-US" w:eastAsia="zh-CN"/>
        </w:rPr>
        <w:t>八</w:t>
      </w:r>
      <w:r>
        <w:rPr>
          <w:rFonts w:hint="eastAsia" w:ascii="黑体" w:hAnsi="黑体" w:cs="黑体"/>
          <w:color w:val="auto"/>
        </w:rPr>
        <w:t>、</w:t>
      </w:r>
      <w:bookmarkEnd w:id="282"/>
      <w:bookmarkEnd w:id="283"/>
      <w:r>
        <w:rPr>
          <w:rFonts w:hint="eastAsia" w:ascii="黑体" w:hAnsi="黑体" w:cs="黑体"/>
          <w:color w:val="auto"/>
          <w:szCs w:val="32"/>
        </w:rPr>
        <w:t>对招标文件的认同程度的声明</w:t>
      </w:r>
    </w:p>
    <w:p w14:paraId="56A0F160">
      <w:pPr>
        <w:rPr>
          <w:rFonts w:ascii="Times New Roman" w:hAnsi="Times New Roman"/>
          <w:color w:val="auto"/>
        </w:rPr>
      </w:pPr>
    </w:p>
    <w:p w14:paraId="4189DC3B">
      <w:pPr>
        <w:tabs>
          <w:tab w:val="left" w:pos="1936"/>
        </w:tabs>
        <w:spacing w:before="78" w:line="185" w:lineRule="auto"/>
        <w:outlineLvl w:val="1"/>
        <w:rPr>
          <w:rFonts w:ascii="宋体" w:hAnsi="宋体" w:cs="宋体"/>
          <w:color w:val="auto"/>
          <w:szCs w:val="21"/>
        </w:rPr>
      </w:pPr>
      <w:r>
        <w:rPr>
          <w:rFonts w:ascii="宋体" w:hAnsi="宋体" w:cs="宋体"/>
          <w:color w:val="auto"/>
          <w:szCs w:val="21"/>
          <w:u w:val="single"/>
        </w:rPr>
        <w:tab/>
      </w:r>
      <w:r>
        <w:rPr>
          <w:rFonts w:ascii="宋体" w:hAnsi="宋体" w:cs="宋体"/>
          <w:color w:val="auto"/>
          <w:spacing w:val="-4"/>
          <w:szCs w:val="21"/>
          <w:u w:val="single"/>
        </w:rPr>
        <w:t>（招标人</w:t>
      </w:r>
      <w:r>
        <w:rPr>
          <w:rFonts w:hint="eastAsia" w:ascii="宋体" w:hAnsi="宋体" w:cs="宋体"/>
          <w:color w:val="auto"/>
          <w:spacing w:val="-4"/>
          <w:szCs w:val="21"/>
          <w:u w:val="single"/>
        </w:rPr>
        <w:t>）</w:t>
      </w:r>
      <w:r>
        <w:rPr>
          <w:rFonts w:ascii="宋体" w:hAnsi="宋体" w:cs="宋体"/>
          <w:color w:val="auto"/>
          <w:spacing w:val="-23"/>
          <w:w w:val="98"/>
          <w:szCs w:val="21"/>
        </w:rPr>
        <w:t>：</w:t>
      </w:r>
    </w:p>
    <w:p w14:paraId="29418C04">
      <w:pPr>
        <w:spacing w:before="340" w:line="360" w:lineRule="auto"/>
        <w:ind w:firstLine="492"/>
        <w:outlineLvl w:val="1"/>
        <w:rPr>
          <w:rFonts w:ascii="宋体" w:hAnsi="宋体" w:cs="宋体"/>
          <w:color w:val="auto"/>
          <w:szCs w:val="21"/>
        </w:rPr>
      </w:pPr>
      <w:r>
        <w:rPr>
          <w:rFonts w:ascii="宋体" w:hAnsi="宋体" w:cs="宋体"/>
          <w:color w:val="auto"/>
          <w:spacing w:val="-4"/>
          <w:szCs w:val="21"/>
        </w:rPr>
        <w:t>经我方对</w:t>
      </w:r>
      <w:r>
        <w:rPr>
          <w:rFonts w:hint="eastAsia" w:ascii="宋体" w:hAnsi="宋体" w:cs="宋体"/>
          <w:color w:val="auto"/>
          <w:szCs w:val="21"/>
          <w:u w:val="single"/>
        </w:rPr>
        <w:t xml:space="preserve">                  （项目名称</w:t>
      </w:r>
      <w:r>
        <w:rPr>
          <w:rFonts w:hint="eastAsia" w:ascii="宋体" w:hAnsi="宋体" w:cs="宋体"/>
          <w:color w:val="auto"/>
          <w:szCs w:val="21"/>
          <w:u w:val="single"/>
          <w:lang w:eastAsia="zh-CN"/>
        </w:rPr>
        <w:t>、</w:t>
      </w:r>
      <w:r>
        <w:rPr>
          <w:rFonts w:hint="eastAsia" w:ascii="宋体" w:hAnsi="宋体" w:cs="宋体"/>
          <w:color w:val="auto"/>
          <w:szCs w:val="21"/>
          <w:u w:val="single"/>
          <w:lang w:val="en-US" w:eastAsia="zh-CN"/>
        </w:rPr>
        <w:t>标段</w:t>
      </w:r>
      <w:r>
        <w:rPr>
          <w:rFonts w:hint="eastAsia" w:ascii="宋体" w:hAnsi="宋体" w:cs="宋体"/>
          <w:color w:val="auto"/>
          <w:szCs w:val="21"/>
          <w:u w:val="single"/>
        </w:rPr>
        <w:t>）</w:t>
      </w:r>
      <w:r>
        <w:rPr>
          <w:rFonts w:hint="eastAsia" w:ascii="宋体" w:hAnsi="宋体" w:cs="宋体"/>
          <w:color w:val="auto"/>
          <w:szCs w:val="21"/>
        </w:rPr>
        <w:t xml:space="preserve"> </w:t>
      </w:r>
      <w:r>
        <w:rPr>
          <w:rFonts w:ascii="宋体" w:hAnsi="宋体" w:cs="宋体"/>
          <w:color w:val="auto"/>
          <w:spacing w:val="-4"/>
          <w:szCs w:val="21"/>
        </w:rPr>
        <w:t>（项目编号</w:t>
      </w:r>
      <w:r>
        <w:rPr>
          <w:rFonts w:hint="eastAsia" w:ascii="宋体" w:hAnsi="宋体" w:cs="宋体"/>
          <w:color w:val="auto"/>
          <w:spacing w:val="-4"/>
          <w:szCs w:val="21"/>
          <w:u w:val="single"/>
        </w:rPr>
        <w:t xml:space="preserve">               </w:t>
      </w:r>
      <w:r>
        <w:rPr>
          <w:rFonts w:ascii="宋体" w:hAnsi="宋体" w:cs="宋体"/>
          <w:color w:val="auto"/>
          <w:spacing w:val="-4"/>
          <w:szCs w:val="21"/>
        </w:rPr>
        <w:t>）</w:t>
      </w:r>
      <w:r>
        <w:rPr>
          <w:rFonts w:ascii="宋体" w:hAnsi="宋体" w:cs="宋体"/>
          <w:color w:val="auto"/>
          <w:spacing w:val="7"/>
          <w:szCs w:val="21"/>
        </w:rPr>
        <w:t xml:space="preserve"> </w:t>
      </w:r>
      <w:r>
        <w:rPr>
          <w:rFonts w:ascii="宋体" w:hAnsi="宋体" w:cs="宋体"/>
          <w:color w:val="auto"/>
          <w:spacing w:val="-4"/>
          <w:szCs w:val="21"/>
        </w:rPr>
        <w:t>仔细、认真的研究之后，对招标文件中所有的规定要求、条件</w:t>
      </w:r>
      <w:r>
        <w:rPr>
          <w:rFonts w:ascii="宋体" w:hAnsi="宋体" w:cs="宋体"/>
          <w:color w:val="auto"/>
          <w:spacing w:val="-1"/>
          <w:szCs w:val="21"/>
        </w:rPr>
        <w:t>全部确认，对招标文件的全部内容予以认同。</w:t>
      </w:r>
    </w:p>
    <w:p w14:paraId="00746BEE">
      <w:pPr>
        <w:spacing w:line="360" w:lineRule="auto"/>
        <w:rPr>
          <w:rFonts w:ascii="宋体"/>
          <w:color w:val="auto"/>
          <w:szCs w:val="21"/>
        </w:rPr>
      </w:pPr>
    </w:p>
    <w:p w14:paraId="5461450B">
      <w:pPr>
        <w:spacing w:line="279" w:lineRule="auto"/>
        <w:rPr>
          <w:rFonts w:ascii="宋体"/>
          <w:color w:val="auto"/>
          <w:szCs w:val="21"/>
        </w:rPr>
      </w:pPr>
    </w:p>
    <w:p w14:paraId="46EC31EB">
      <w:pPr>
        <w:spacing w:before="78" w:line="185" w:lineRule="auto"/>
        <w:ind w:firstLine="10"/>
        <w:outlineLvl w:val="1"/>
        <w:rPr>
          <w:rFonts w:ascii="宋体" w:hAnsi="宋体" w:cs="宋体"/>
          <w:color w:val="auto"/>
          <w:szCs w:val="21"/>
        </w:rPr>
      </w:pPr>
      <w:r>
        <w:rPr>
          <w:rFonts w:ascii="宋体" w:hAnsi="宋体" w:cs="宋体"/>
          <w:color w:val="auto"/>
          <w:spacing w:val="-2"/>
          <w:szCs w:val="21"/>
        </w:rPr>
        <w:t>特此声明！</w:t>
      </w:r>
    </w:p>
    <w:p w14:paraId="0AF41390">
      <w:pPr>
        <w:spacing w:line="265" w:lineRule="auto"/>
        <w:rPr>
          <w:rFonts w:ascii="宋体"/>
          <w:color w:val="auto"/>
          <w:szCs w:val="21"/>
        </w:rPr>
      </w:pPr>
    </w:p>
    <w:p w14:paraId="02CA1E54">
      <w:pPr>
        <w:spacing w:line="266" w:lineRule="auto"/>
        <w:rPr>
          <w:rFonts w:ascii="宋体"/>
          <w:color w:val="auto"/>
          <w:szCs w:val="21"/>
        </w:rPr>
      </w:pPr>
    </w:p>
    <w:p w14:paraId="77F1947E">
      <w:pPr>
        <w:spacing w:line="266" w:lineRule="auto"/>
        <w:rPr>
          <w:rFonts w:ascii="宋体"/>
          <w:color w:val="auto"/>
          <w:szCs w:val="21"/>
        </w:rPr>
      </w:pPr>
    </w:p>
    <w:p w14:paraId="38413259">
      <w:pPr>
        <w:spacing w:line="266" w:lineRule="auto"/>
        <w:rPr>
          <w:rFonts w:ascii="宋体"/>
          <w:color w:val="auto"/>
          <w:szCs w:val="21"/>
        </w:rPr>
      </w:pPr>
    </w:p>
    <w:p w14:paraId="18F1FC84">
      <w:pPr>
        <w:spacing w:line="266" w:lineRule="auto"/>
        <w:rPr>
          <w:rFonts w:ascii="宋体"/>
          <w:color w:val="auto"/>
          <w:szCs w:val="21"/>
        </w:rPr>
      </w:pPr>
    </w:p>
    <w:p w14:paraId="530E36FD">
      <w:pPr>
        <w:spacing w:line="266" w:lineRule="auto"/>
        <w:rPr>
          <w:rFonts w:ascii="宋体"/>
          <w:color w:val="auto"/>
          <w:szCs w:val="21"/>
        </w:rPr>
      </w:pPr>
    </w:p>
    <w:p w14:paraId="75E6D967">
      <w:pPr>
        <w:spacing w:line="266" w:lineRule="auto"/>
        <w:rPr>
          <w:rFonts w:ascii="宋体"/>
          <w:color w:val="auto"/>
          <w:szCs w:val="21"/>
        </w:rPr>
      </w:pPr>
    </w:p>
    <w:p w14:paraId="4F5825C5">
      <w:pPr>
        <w:spacing w:line="266" w:lineRule="auto"/>
        <w:rPr>
          <w:rFonts w:ascii="宋体"/>
          <w:color w:val="auto"/>
          <w:szCs w:val="21"/>
        </w:rPr>
      </w:pPr>
    </w:p>
    <w:p w14:paraId="58814080">
      <w:pPr>
        <w:spacing w:line="266" w:lineRule="auto"/>
        <w:rPr>
          <w:rFonts w:ascii="宋体"/>
          <w:color w:val="auto"/>
          <w:szCs w:val="21"/>
        </w:rPr>
      </w:pPr>
    </w:p>
    <w:p w14:paraId="1B2A8921">
      <w:pPr>
        <w:spacing w:before="78" w:line="185" w:lineRule="auto"/>
        <w:ind w:firstLine="13"/>
        <w:outlineLvl w:val="1"/>
        <w:rPr>
          <w:rFonts w:ascii="宋体" w:hAnsi="宋体" w:cs="宋体"/>
          <w:color w:val="auto"/>
          <w:szCs w:val="21"/>
        </w:rPr>
      </w:pPr>
      <w:r>
        <w:rPr>
          <w:rFonts w:ascii="宋体" w:hAnsi="宋体" w:cs="宋体"/>
          <w:color w:val="auto"/>
          <w:spacing w:val="-13"/>
          <w:szCs w:val="21"/>
        </w:rPr>
        <w:t>投</w:t>
      </w:r>
      <w:r>
        <w:rPr>
          <w:rFonts w:ascii="宋体" w:hAnsi="宋体" w:cs="宋体"/>
          <w:color w:val="auto"/>
          <w:spacing w:val="5"/>
          <w:szCs w:val="21"/>
        </w:rPr>
        <w:t xml:space="preserve">  </w:t>
      </w:r>
      <w:r>
        <w:rPr>
          <w:rFonts w:ascii="宋体" w:hAnsi="宋体" w:cs="宋体"/>
          <w:color w:val="auto"/>
          <w:spacing w:val="-13"/>
          <w:szCs w:val="21"/>
        </w:rPr>
        <w:t>标</w:t>
      </w:r>
      <w:r>
        <w:rPr>
          <w:rFonts w:ascii="宋体" w:hAnsi="宋体" w:cs="宋体"/>
          <w:color w:val="auto"/>
          <w:spacing w:val="5"/>
          <w:szCs w:val="21"/>
        </w:rPr>
        <w:t xml:space="preserve">  </w:t>
      </w:r>
      <w:r>
        <w:rPr>
          <w:rFonts w:ascii="宋体" w:hAnsi="宋体" w:cs="宋体"/>
          <w:color w:val="auto"/>
          <w:spacing w:val="-13"/>
          <w:szCs w:val="21"/>
        </w:rPr>
        <w:t>人</w:t>
      </w:r>
      <w:r>
        <w:rPr>
          <w:rFonts w:ascii="宋体" w:hAnsi="宋体" w:cs="宋体"/>
          <w:color w:val="auto"/>
          <w:spacing w:val="-85"/>
          <w:szCs w:val="21"/>
        </w:rPr>
        <w:t>：</w:t>
      </w:r>
      <w:r>
        <w:rPr>
          <w:rFonts w:ascii="宋体" w:hAnsi="宋体" w:cs="宋体"/>
          <w:color w:val="auto"/>
          <w:spacing w:val="2"/>
          <w:szCs w:val="21"/>
          <w:u w:val="single"/>
        </w:rPr>
        <w:t xml:space="preserve">             </w:t>
      </w:r>
      <w:r>
        <w:rPr>
          <w:rFonts w:hint="eastAsia" w:ascii="宋体" w:hAnsi="宋体" w:cs="宋体"/>
          <w:color w:val="auto"/>
          <w:spacing w:val="2"/>
          <w:szCs w:val="21"/>
          <w:u w:val="single"/>
        </w:rPr>
        <w:t>（加盖单位公章）</w:t>
      </w:r>
    </w:p>
    <w:p w14:paraId="7447A2CA">
      <w:pPr>
        <w:spacing w:line="258" w:lineRule="auto"/>
        <w:rPr>
          <w:rFonts w:ascii="宋体"/>
          <w:color w:val="auto"/>
          <w:szCs w:val="21"/>
        </w:rPr>
      </w:pPr>
    </w:p>
    <w:p w14:paraId="008ABB7D">
      <w:pPr>
        <w:spacing w:line="258" w:lineRule="auto"/>
        <w:rPr>
          <w:rFonts w:ascii="宋体"/>
          <w:color w:val="auto"/>
          <w:szCs w:val="21"/>
        </w:rPr>
      </w:pPr>
    </w:p>
    <w:p w14:paraId="55A7962C">
      <w:pPr>
        <w:spacing w:line="258" w:lineRule="auto"/>
        <w:rPr>
          <w:rFonts w:ascii="宋体"/>
          <w:color w:val="auto"/>
          <w:szCs w:val="21"/>
        </w:rPr>
      </w:pPr>
    </w:p>
    <w:p w14:paraId="402882AC">
      <w:pPr>
        <w:spacing w:before="79" w:line="185" w:lineRule="auto"/>
        <w:ind w:firstLine="11"/>
        <w:outlineLvl w:val="1"/>
        <w:rPr>
          <w:rFonts w:ascii="宋体" w:hAnsi="宋体" w:cs="宋体"/>
          <w:color w:val="auto"/>
          <w:szCs w:val="21"/>
        </w:rPr>
      </w:pPr>
      <w:r>
        <w:rPr>
          <w:rFonts w:ascii="宋体" w:hAnsi="宋体" w:cs="宋体"/>
          <w:color w:val="auto"/>
          <w:spacing w:val="-6"/>
          <w:szCs w:val="21"/>
        </w:rPr>
        <w:t>法定代表人或其委托代理人</w:t>
      </w:r>
      <w:r>
        <w:rPr>
          <w:rFonts w:ascii="宋体" w:hAnsi="宋体" w:cs="宋体"/>
          <w:color w:val="auto"/>
          <w:spacing w:val="-86"/>
          <w:szCs w:val="21"/>
        </w:rPr>
        <w:t>：</w:t>
      </w:r>
      <w:r>
        <w:rPr>
          <w:rFonts w:ascii="宋体" w:hAnsi="宋体" w:cs="宋体"/>
          <w:color w:val="auto"/>
          <w:spacing w:val="8"/>
          <w:szCs w:val="21"/>
          <w:u w:val="single"/>
        </w:rPr>
        <w:t xml:space="preserve">     </w:t>
      </w:r>
      <w:r>
        <w:rPr>
          <w:rFonts w:hint="eastAsia" w:ascii="宋体" w:hAnsi="宋体" w:cs="宋体"/>
          <w:color w:val="auto"/>
          <w:spacing w:val="8"/>
          <w:szCs w:val="21"/>
          <w:u w:val="single"/>
        </w:rPr>
        <w:t xml:space="preserve">      </w:t>
      </w:r>
      <w:r>
        <w:rPr>
          <w:rFonts w:ascii="宋体" w:hAnsi="宋体" w:cs="宋体"/>
          <w:color w:val="auto"/>
          <w:spacing w:val="8"/>
          <w:szCs w:val="21"/>
          <w:u w:val="single"/>
        </w:rPr>
        <w:t xml:space="preserve"> </w:t>
      </w:r>
      <w:r>
        <w:rPr>
          <w:rFonts w:hint="eastAsia" w:ascii="宋体" w:hAnsi="宋体" w:cs="宋体"/>
          <w:color w:val="auto"/>
          <w:spacing w:val="8"/>
          <w:szCs w:val="21"/>
          <w:u w:val="single"/>
        </w:rPr>
        <w:t>（签字或盖章）</w:t>
      </w:r>
      <w:r>
        <w:rPr>
          <w:rFonts w:ascii="宋体" w:hAnsi="宋体" w:cs="宋体"/>
          <w:color w:val="auto"/>
          <w:szCs w:val="21"/>
          <w:u w:val="single"/>
        </w:rPr>
        <w:t xml:space="preserve"> </w:t>
      </w:r>
    </w:p>
    <w:p w14:paraId="1C5D642E">
      <w:pPr>
        <w:spacing w:line="258" w:lineRule="auto"/>
        <w:rPr>
          <w:rFonts w:ascii="宋体"/>
          <w:color w:val="auto"/>
          <w:szCs w:val="21"/>
        </w:rPr>
      </w:pPr>
    </w:p>
    <w:p w14:paraId="22FD8F73">
      <w:pPr>
        <w:spacing w:line="258" w:lineRule="auto"/>
        <w:rPr>
          <w:rFonts w:ascii="宋体"/>
          <w:color w:val="auto"/>
          <w:szCs w:val="21"/>
        </w:rPr>
      </w:pPr>
    </w:p>
    <w:p w14:paraId="7CE0EDC6">
      <w:pPr>
        <w:spacing w:line="258" w:lineRule="auto"/>
        <w:rPr>
          <w:rFonts w:ascii="宋体"/>
          <w:color w:val="auto"/>
          <w:szCs w:val="21"/>
        </w:rPr>
      </w:pPr>
    </w:p>
    <w:p w14:paraId="64BD3888">
      <w:pPr>
        <w:spacing w:before="79" w:line="185" w:lineRule="auto"/>
        <w:ind w:firstLine="11"/>
        <w:outlineLvl w:val="1"/>
        <w:rPr>
          <w:rFonts w:ascii="宋体" w:hAnsi="宋体" w:cs="宋体"/>
          <w:color w:val="auto"/>
          <w:spacing w:val="-6"/>
          <w:szCs w:val="21"/>
        </w:rPr>
      </w:pPr>
      <w:r>
        <w:rPr>
          <w:rFonts w:ascii="宋体" w:hAnsi="宋体" w:cs="宋体"/>
          <w:color w:val="auto"/>
          <w:spacing w:val="-6"/>
          <w:szCs w:val="21"/>
        </w:rPr>
        <w:t>日    期：</w:t>
      </w:r>
      <w:r>
        <w:rPr>
          <w:rFonts w:ascii="宋体" w:hAnsi="宋体" w:cs="宋体"/>
          <w:color w:val="auto"/>
          <w:spacing w:val="-6"/>
          <w:szCs w:val="21"/>
          <w:u w:val="single"/>
        </w:rPr>
        <w:t xml:space="preserve">      </w:t>
      </w:r>
      <w:r>
        <w:rPr>
          <w:rFonts w:ascii="宋体" w:hAnsi="宋体" w:cs="宋体"/>
          <w:color w:val="auto"/>
          <w:spacing w:val="-6"/>
          <w:szCs w:val="21"/>
        </w:rPr>
        <w:t>年</w:t>
      </w:r>
      <w:r>
        <w:rPr>
          <w:rFonts w:ascii="宋体" w:hAnsi="宋体" w:cs="宋体"/>
          <w:color w:val="auto"/>
          <w:spacing w:val="-6"/>
          <w:szCs w:val="21"/>
          <w:u w:val="single"/>
        </w:rPr>
        <w:t xml:space="preserve">      </w:t>
      </w:r>
      <w:r>
        <w:rPr>
          <w:rFonts w:ascii="宋体" w:hAnsi="宋体" w:cs="宋体"/>
          <w:color w:val="auto"/>
          <w:spacing w:val="-6"/>
          <w:szCs w:val="21"/>
        </w:rPr>
        <w:t>月</w:t>
      </w:r>
      <w:r>
        <w:rPr>
          <w:rFonts w:ascii="宋体" w:hAnsi="宋体" w:cs="宋体"/>
          <w:color w:val="auto"/>
          <w:spacing w:val="-6"/>
          <w:szCs w:val="21"/>
          <w:u w:val="single"/>
        </w:rPr>
        <w:t xml:space="preserve">      </w:t>
      </w:r>
      <w:r>
        <w:rPr>
          <w:rFonts w:ascii="宋体" w:hAnsi="宋体" w:cs="宋体"/>
          <w:color w:val="auto"/>
          <w:spacing w:val="-6"/>
          <w:szCs w:val="21"/>
        </w:rPr>
        <w:t>日</w:t>
      </w:r>
    </w:p>
    <w:p w14:paraId="20426ED2">
      <w:pPr>
        <w:spacing w:line="251" w:lineRule="auto"/>
        <w:rPr>
          <w:rFonts w:ascii="宋体"/>
          <w:color w:val="auto"/>
          <w:szCs w:val="21"/>
        </w:rPr>
      </w:pPr>
    </w:p>
    <w:p w14:paraId="5C4DC657">
      <w:pPr>
        <w:pStyle w:val="24"/>
        <w:rPr>
          <w:rFonts w:ascii="Times New Roman" w:hAnsi="Times New Roman"/>
          <w:color w:val="auto"/>
          <w:sz w:val="21"/>
          <w:szCs w:val="21"/>
        </w:rPr>
      </w:pPr>
    </w:p>
    <w:p w14:paraId="5A77E247">
      <w:pPr>
        <w:rPr>
          <w:rFonts w:ascii="Times New Roman" w:hAnsi="Times New Roman"/>
          <w:color w:val="auto"/>
          <w:szCs w:val="21"/>
        </w:rPr>
      </w:pPr>
    </w:p>
    <w:p w14:paraId="76612006">
      <w:pPr>
        <w:pStyle w:val="24"/>
        <w:rPr>
          <w:rFonts w:ascii="Times New Roman" w:hAnsi="Times New Roman"/>
          <w:color w:val="auto"/>
          <w:sz w:val="21"/>
          <w:szCs w:val="21"/>
        </w:rPr>
      </w:pPr>
    </w:p>
    <w:p w14:paraId="25CAC45A">
      <w:pPr>
        <w:rPr>
          <w:rFonts w:ascii="Times New Roman" w:hAnsi="Times New Roman"/>
          <w:color w:val="auto"/>
          <w:szCs w:val="21"/>
        </w:rPr>
      </w:pPr>
    </w:p>
    <w:p w14:paraId="0930C7AD">
      <w:pPr>
        <w:rPr>
          <w:rFonts w:ascii="Times New Roman" w:hAnsi="Times New Roman"/>
          <w:color w:val="auto"/>
          <w:szCs w:val="21"/>
        </w:rPr>
      </w:pPr>
    </w:p>
    <w:p w14:paraId="321BFBF0">
      <w:pPr>
        <w:pStyle w:val="17"/>
        <w:rPr>
          <w:color w:val="auto"/>
          <w:szCs w:val="21"/>
        </w:rPr>
      </w:pPr>
    </w:p>
    <w:p w14:paraId="2699988E">
      <w:pPr>
        <w:rPr>
          <w:rFonts w:ascii="Times New Roman" w:hAnsi="Times New Roman"/>
          <w:color w:val="auto"/>
          <w:szCs w:val="21"/>
        </w:rPr>
      </w:pPr>
    </w:p>
    <w:p w14:paraId="51AD42A5">
      <w:pPr>
        <w:pStyle w:val="17"/>
        <w:rPr>
          <w:color w:val="auto"/>
          <w:szCs w:val="21"/>
        </w:rPr>
      </w:pPr>
    </w:p>
    <w:p w14:paraId="1214F2CE">
      <w:pPr>
        <w:pStyle w:val="17"/>
        <w:rPr>
          <w:color w:val="auto"/>
        </w:rPr>
      </w:pPr>
    </w:p>
    <w:p w14:paraId="732DB151">
      <w:pPr>
        <w:pStyle w:val="56"/>
        <w:ind w:left="0" w:leftChars="0" w:firstLine="0" w:firstLineChars="0"/>
        <w:rPr>
          <w:color w:val="auto"/>
        </w:rPr>
      </w:pPr>
    </w:p>
    <w:p w14:paraId="23AF02B3">
      <w:pPr>
        <w:pStyle w:val="3"/>
        <w:spacing w:line="400" w:lineRule="exact"/>
        <w:jc w:val="center"/>
        <w:rPr>
          <w:rFonts w:ascii="黑体" w:hAnsi="黑体" w:cs="黑体"/>
          <w:color w:val="auto"/>
        </w:rPr>
      </w:pPr>
      <w:r>
        <w:rPr>
          <w:rFonts w:hint="eastAsia" w:ascii="黑体" w:hAnsi="黑体" w:cs="黑体"/>
          <w:color w:val="auto"/>
          <w:lang w:val="en-US" w:eastAsia="zh-CN"/>
        </w:rPr>
        <w:t>九</w:t>
      </w:r>
      <w:r>
        <w:rPr>
          <w:rFonts w:hint="eastAsia" w:ascii="黑体" w:hAnsi="黑体" w:cs="黑体"/>
          <w:color w:val="auto"/>
        </w:rPr>
        <w:t>、</w:t>
      </w:r>
      <w:r>
        <w:rPr>
          <w:rFonts w:hint="eastAsia" w:ascii="黑体" w:hAnsi="黑体" w:cs="黑体"/>
          <w:color w:val="auto"/>
          <w:szCs w:val="32"/>
        </w:rPr>
        <w:t>其他材料</w:t>
      </w:r>
    </w:p>
    <w:p w14:paraId="66897349">
      <w:pPr>
        <w:jc w:val="center"/>
        <w:rPr>
          <w:color w:val="auto"/>
          <w:szCs w:val="21"/>
        </w:rPr>
      </w:pPr>
      <w:r>
        <w:rPr>
          <w:rFonts w:hint="eastAsia"/>
          <w:color w:val="auto"/>
          <w:szCs w:val="21"/>
        </w:rPr>
        <w:t>投标人认为需要提交的其他材料</w:t>
      </w:r>
    </w:p>
    <w:p w14:paraId="1AED0C92">
      <w:pPr>
        <w:pStyle w:val="17"/>
        <w:rPr>
          <w:color w:val="auto"/>
        </w:rPr>
      </w:pPr>
    </w:p>
    <w:sectPr>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FE1D">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C434A">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C434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70C3">
    <w:pPr>
      <w:pStyle w:val="24"/>
      <w:rPr>
        <w:rFonts w:hint="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BB1C5">
                          <w:pPr>
                            <w:pStyle w:val="24"/>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DBB1C5">
                    <w:pPr>
                      <w:pStyle w:val="24"/>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25B40">
    <w:pPr>
      <w:pStyle w:val="2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756D9">
                          <w:pPr>
                            <w:pStyle w:val="2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BB756D9">
                    <w:pPr>
                      <w:pStyle w:val="24"/>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FD6A">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03216"/>
    <w:multiLevelType w:val="singleLevel"/>
    <w:tmpl w:val="BA303216"/>
    <w:lvl w:ilvl="0" w:tentative="0">
      <w:start w:val="3"/>
      <w:numFmt w:val="chineseCounting"/>
      <w:suff w:val="space"/>
      <w:lvlText w:val="第%1章"/>
      <w:lvlJc w:val="left"/>
      <w:rPr>
        <w:rFonts w:hint="eastAsia"/>
      </w:rPr>
    </w:lvl>
  </w:abstractNum>
  <w:abstractNum w:abstractNumId="1">
    <w:nsid w:val="C0E27EFE"/>
    <w:multiLevelType w:val="singleLevel"/>
    <w:tmpl w:val="C0E27EFE"/>
    <w:lvl w:ilvl="0" w:tentative="0">
      <w:start w:val="1"/>
      <w:numFmt w:val="chineseCounting"/>
      <w:suff w:val="nothing"/>
      <w:lvlText w:val="%1、"/>
      <w:lvlJc w:val="left"/>
      <w:rPr>
        <w:rFonts w:hint="eastAsia"/>
      </w:rPr>
    </w:lvl>
  </w:abstractNum>
  <w:abstractNum w:abstractNumId="2">
    <w:nsid w:val="11E58BB3"/>
    <w:multiLevelType w:val="singleLevel"/>
    <w:tmpl w:val="11E58BB3"/>
    <w:lvl w:ilvl="0" w:tentative="0">
      <w:start w:val="1"/>
      <w:numFmt w:val="decimal"/>
      <w:suff w:val="nothing"/>
      <w:lvlText w:val="%1、"/>
      <w:lvlJc w:val="left"/>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三">
    <w15:presenceInfo w15:providerId="None" w15:userId="张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0M2ZmYzE5NTM5OTBiOTI3MmRmNTQ5M2I3M2I0YTIifQ=="/>
    <w:docVar w:name="KSO_WPS_MARK_KEY" w:val="74bc18b8-c65d-47fe-afcf-ea9c6b84d620"/>
  </w:docVars>
  <w:rsids>
    <w:rsidRoot w:val="00172A27"/>
    <w:rsid w:val="00000DA4"/>
    <w:rsid w:val="00002A60"/>
    <w:rsid w:val="00004603"/>
    <w:rsid w:val="00007319"/>
    <w:rsid w:val="000106AE"/>
    <w:rsid w:val="00010B53"/>
    <w:rsid w:val="000122C9"/>
    <w:rsid w:val="00012703"/>
    <w:rsid w:val="0001485E"/>
    <w:rsid w:val="0002193F"/>
    <w:rsid w:val="00021BFE"/>
    <w:rsid w:val="00023024"/>
    <w:rsid w:val="000250D6"/>
    <w:rsid w:val="00025ACC"/>
    <w:rsid w:val="00025EC4"/>
    <w:rsid w:val="00026171"/>
    <w:rsid w:val="000303E1"/>
    <w:rsid w:val="00033691"/>
    <w:rsid w:val="000351AE"/>
    <w:rsid w:val="00043778"/>
    <w:rsid w:val="000449F1"/>
    <w:rsid w:val="000514CF"/>
    <w:rsid w:val="00051E22"/>
    <w:rsid w:val="00054AF3"/>
    <w:rsid w:val="00062AC6"/>
    <w:rsid w:val="00067035"/>
    <w:rsid w:val="00071FA8"/>
    <w:rsid w:val="000737F9"/>
    <w:rsid w:val="000751DE"/>
    <w:rsid w:val="0008132B"/>
    <w:rsid w:val="00081360"/>
    <w:rsid w:val="0008253E"/>
    <w:rsid w:val="000943B0"/>
    <w:rsid w:val="00094C66"/>
    <w:rsid w:val="000A040B"/>
    <w:rsid w:val="000A287B"/>
    <w:rsid w:val="000A5C81"/>
    <w:rsid w:val="000A76B3"/>
    <w:rsid w:val="000B65E2"/>
    <w:rsid w:val="000C0018"/>
    <w:rsid w:val="000C00CE"/>
    <w:rsid w:val="000C0BD3"/>
    <w:rsid w:val="000C13B3"/>
    <w:rsid w:val="000C1A9B"/>
    <w:rsid w:val="000C2AB5"/>
    <w:rsid w:val="000C4710"/>
    <w:rsid w:val="000C5513"/>
    <w:rsid w:val="000C6209"/>
    <w:rsid w:val="000D21B9"/>
    <w:rsid w:val="000D4336"/>
    <w:rsid w:val="000D49B4"/>
    <w:rsid w:val="000D4E08"/>
    <w:rsid w:val="000E08CB"/>
    <w:rsid w:val="000E5673"/>
    <w:rsid w:val="000E7B3C"/>
    <w:rsid w:val="000F150A"/>
    <w:rsid w:val="000F2186"/>
    <w:rsid w:val="000F2A12"/>
    <w:rsid w:val="000F2ECC"/>
    <w:rsid w:val="000F3854"/>
    <w:rsid w:val="000F6666"/>
    <w:rsid w:val="001011FC"/>
    <w:rsid w:val="00102618"/>
    <w:rsid w:val="001043E0"/>
    <w:rsid w:val="00104DE9"/>
    <w:rsid w:val="00105423"/>
    <w:rsid w:val="00111455"/>
    <w:rsid w:val="001119B6"/>
    <w:rsid w:val="00113DCD"/>
    <w:rsid w:val="00115124"/>
    <w:rsid w:val="00115848"/>
    <w:rsid w:val="00117F0F"/>
    <w:rsid w:val="0013146C"/>
    <w:rsid w:val="0014098E"/>
    <w:rsid w:val="00141926"/>
    <w:rsid w:val="001530C6"/>
    <w:rsid w:val="00153B32"/>
    <w:rsid w:val="001613DD"/>
    <w:rsid w:val="001613E1"/>
    <w:rsid w:val="001658EF"/>
    <w:rsid w:val="00165A56"/>
    <w:rsid w:val="00172A27"/>
    <w:rsid w:val="001735B4"/>
    <w:rsid w:val="001748A3"/>
    <w:rsid w:val="00175F7A"/>
    <w:rsid w:val="00182B11"/>
    <w:rsid w:val="00183B4A"/>
    <w:rsid w:val="00184BCE"/>
    <w:rsid w:val="001877C5"/>
    <w:rsid w:val="0019027B"/>
    <w:rsid w:val="00192979"/>
    <w:rsid w:val="00193C1D"/>
    <w:rsid w:val="00196869"/>
    <w:rsid w:val="00197AD8"/>
    <w:rsid w:val="001A093D"/>
    <w:rsid w:val="001A0CCF"/>
    <w:rsid w:val="001A2968"/>
    <w:rsid w:val="001A2B51"/>
    <w:rsid w:val="001A2E05"/>
    <w:rsid w:val="001A4491"/>
    <w:rsid w:val="001A4684"/>
    <w:rsid w:val="001B719F"/>
    <w:rsid w:val="001B7FEF"/>
    <w:rsid w:val="001C30C7"/>
    <w:rsid w:val="001C38D5"/>
    <w:rsid w:val="001C6030"/>
    <w:rsid w:val="001E1433"/>
    <w:rsid w:val="001E6637"/>
    <w:rsid w:val="001F05DA"/>
    <w:rsid w:val="001F2208"/>
    <w:rsid w:val="001F4134"/>
    <w:rsid w:val="001F45EE"/>
    <w:rsid w:val="001F4850"/>
    <w:rsid w:val="001F5634"/>
    <w:rsid w:val="001F698A"/>
    <w:rsid w:val="00204A5C"/>
    <w:rsid w:val="00207A0B"/>
    <w:rsid w:val="00210597"/>
    <w:rsid w:val="00211CE2"/>
    <w:rsid w:val="00211D74"/>
    <w:rsid w:val="00212A53"/>
    <w:rsid w:val="0021322F"/>
    <w:rsid w:val="00213B90"/>
    <w:rsid w:val="00215AF0"/>
    <w:rsid w:val="00215CF7"/>
    <w:rsid w:val="00217EA6"/>
    <w:rsid w:val="002229E2"/>
    <w:rsid w:val="0022434B"/>
    <w:rsid w:val="00233BEB"/>
    <w:rsid w:val="0023423F"/>
    <w:rsid w:val="00236570"/>
    <w:rsid w:val="00237107"/>
    <w:rsid w:val="00237422"/>
    <w:rsid w:val="00237B0E"/>
    <w:rsid w:val="00240884"/>
    <w:rsid w:val="00241846"/>
    <w:rsid w:val="002430C2"/>
    <w:rsid w:val="00251109"/>
    <w:rsid w:val="00251A49"/>
    <w:rsid w:val="0025460A"/>
    <w:rsid w:val="00255D0D"/>
    <w:rsid w:val="00260B7B"/>
    <w:rsid w:val="00260C77"/>
    <w:rsid w:val="002610E4"/>
    <w:rsid w:val="00261352"/>
    <w:rsid w:val="00263F0B"/>
    <w:rsid w:val="00264CEC"/>
    <w:rsid w:val="00264EB1"/>
    <w:rsid w:val="00266BB9"/>
    <w:rsid w:val="00270F73"/>
    <w:rsid w:val="0027144A"/>
    <w:rsid w:val="002718DC"/>
    <w:rsid w:val="00276C71"/>
    <w:rsid w:val="00281526"/>
    <w:rsid w:val="00282FB1"/>
    <w:rsid w:val="00285406"/>
    <w:rsid w:val="00286002"/>
    <w:rsid w:val="00286C1A"/>
    <w:rsid w:val="0029426F"/>
    <w:rsid w:val="00295C30"/>
    <w:rsid w:val="002A2226"/>
    <w:rsid w:val="002A445D"/>
    <w:rsid w:val="002A552C"/>
    <w:rsid w:val="002A65ED"/>
    <w:rsid w:val="002C0C29"/>
    <w:rsid w:val="002C7B9B"/>
    <w:rsid w:val="002D27FB"/>
    <w:rsid w:val="002D2B90"/>
    <w:rsid w:val="002D6F32"/>
    <w:rsid w:val="002D713D"/>
    <w:rsid w:val="002E1DAC"/>
    <w:rsid w:val="002E3FCA"/>
    <w:rsid w:val="002E6794"/>
    <w:rsid w:val="002E6D05"/>
    <w:rsid w:val="002F4E05"/>
    <w:rsid w:val="002F5FD0"/>
    <w:rsid w:val="002F72A0"/>
    <w:rsid w:val="003030EC"/>
    <w:rsid w:val="00303961"/>
    <w:rsid w:val="003063C4"/>
    <w:rsid w:val="00307CEA"/>
    <w:rsid w:val="00311324"/>
    <w:rsid w:val="003122C4"/>
    <w:rsid w:val="00312321"/>
    <w:rsid w:val="00314103"/>
    <w:rsid w:val="00314C76"/>
    <w:rsid w:val="00317712"/>
    <w:rsid w:val="0032031D"/>
    <w:rsid w:val="0032156A"/>
    <w:rsid w:val="00321647"/>
    <w:rsid w:val="00321989"/>
    <w:rsid w:val="003243EC"/>
    <w:rsid w:val="003247CD"/>
    <w:rsid w:val="00324B07"/>
    <w:rsid w:val="003362AD"/>
    <w:rsid w:val="00337767"/>
    <w:rsid w:val="00337CAE"/>
    <w:rsid w:val="00342688"/>
    <w:rsid w:val="0034440E"/>
    <w:rsid w:val="00347899"/>
    <w:rsid w:val="003506FC"/>
    <w:rsid w:val="003518D6"/>
    <w:rsid w:val="00354B7A"/>
    <w:rsid w:val="0036162D"/>
    <w:rsid w:val="00361B52"/>
    <w:rsid w:val="00363966"/>
    <w:rsid w:val="00367424"/>
    <w:rsid w:val="0037026C"/>
    <w:rsid w:val="00371DDF"/>
    <w:rsid w:val="003741B0"/>
    <w:rsid w:val="0038240C"/>
    <w:rsid w:val="0038359A"/>
    <w:rsid w:val="00387996"/>
    <w:rsid w:val="00391F03"/>
    <w:rsid w:val="00396A68"/>
    <w:rsid w:val="003A1C37"/>
    <w:rsid w:val="003A2368"/>
    <w:rsid w:val="003A2ED5"/>
    <w:rsid w:val="003A57D9"/>
    <w:rsid w:val="003A5B10"/>
    <w:rsid w:val="003A6775"/>
    <w:rsid w:val="003B2241"/>
    <w:rsid w:val="003B3719"/>
    <w:rsid w:val="003B41C4"/>
    <w:rsid w:val="003C0D7D"/>
    <w:rsid w:val="003C3469"/>
    <w:rsid w:val="003C395C"/>
    <w:rsid w:val="003C4858"/>
    <w:rsid w:val="003C5BB3"/>
    <w:rsid w:val="003C663D"/>
    <w:rsid w:val="003C703C"/>
    <w:rsid w:val="003D1170"/>
    <w:rsid w:val="003D1B8E"/>
    <w:rsid w:val="003D2D72"/>
    <w:rsid w:val="003D36EE"/>
    <w:rsid w:val="003D515C"/>
    <w:rsid w:val="003D6E0A"/>
    <w:rsid w:val="003E66CF"/>
    <w:rsid w:val="003F1CDB"/>
    <w:rsid w:val="003F3518"/>
    <w:rsid w:val="003F504F"/>
    <w:rsid w:val="003F51E6"/>
    <w:rsid w:val="003F5A7B"/>
    <w:rsid w:val="003F5B69"/>
    <w:rsid w:val="003F6BFE"/>
    <w:rsid w:val="00403934"/>
    <w:rsid w:val="004105EF"/>
    <w:rsid w:val="004125A8"/>
    <w:rsid w:val="00413A55"/>
    <w:rsid w:val="00414109"/>
    <w:rsid w:val="00415A1A"/>
    <w:rsid w:val="0042326A"/>
    <w:rsid w:val="00423F96"/>
    <w:rsid w:val="0042619D"/>
    <w:rsid w:val="00427C86"/>
    <w:rsid w:val="00431F4F"/>
    <w:rsid w:val="0043351E"/>
    <w:rsid w:val="00433676"/>
    <w:rsid w:val="0043639F"/>
    <w:rsid w:val="00436504"/>
    <w:rsid w:val="004405C7"/>
    <w:rsid w:val="00441D39"/>
    <w:rsid w:val="0044250A"/>
    <w:rsid w:val="00442AF8"/>
    <w:rsid w:val="0044514A"/>
    <w:rsid w:val="0044571B"/>
    <w:rsid w:val="00447E59"/>
    <w:rsid w:val="0045150D"/>
    <w:rsid w:val="004579D9"/>
    <w:rsid w:val="00457DC2"/>
    <w:rsid w:val="004733D3"/>
    <w:rsid w:val="004855E6"/>
    <w:rsid w:val="00487315"/>
    <w:rsid w:val="00494624"/>
    <w:rsid w:val="00495001"/>
    <w:rsid w:val="004A112E"/>
    <w:rsid w:val="004A242E"/>
    <w:rsid w:val="004A5FF2"/>
    <w:rsid w:val="004A76F2"/>
    <w:rsid w:val="004B133C"/>
    <w:rsid w:val="004B51E3"/>
    <w:rsid w:val="004B63C5"/>
    <w:rsid w:val="004B6ED7"/>
    <w:rsid w:val="004C16FA"/>
    <w:rsid w:val="004D1209"/>
    <w:rsid w:val="004D4247"/>
    <w:rsid w:val="004D7237"/>
    <w:rsid w:val="004D794D"/>
    <w:rsid w:val="004D7FCB"/>
    <w:rsid w:val="004E0066"/>
    <w:rsid w:val="004E0C05"/>
    <w:rsid w:val="004E3473"/>
    <w:rsid w:val="004F1425"/>
    <w:rsid w:val="004F1AC3"/>
    <w:rsid w:val="004F3309"/>
    <w:rsid w:val="00500138"/>
    <w:rsid w:val="005034E3"/>
    <w:rsid w:val="0050739A"/>
    <w:rsid w:val="005100DC"/>
    <w:rsid w:val="0051061F"/>
    <w:rsid w:val="00511660"/>
    <w:rsid w:val="00512A0D"/>
    <w:rsid w:val="00517CCE"/>
    <w:rsid w:val="0052194C"/>
    <w:rsid w:val="005229A0"/>
    <w:rsid w:val="00522D50"/>
    <w:rsid w:val="005275D1"/>
    <w:rsid w:val="00527D92"/>
    <w:rsid w:val="0053064D"/>
    <w:rsid w:val="00531BAF"/>
    <w:rsid w:val="00534EDF"/>
    <w:rsid w:val="00535A65"/>
    <w:rsid w:val="005374E9"/>
    <w:rsid w:val="00537735"/>
    <w:rsid w:val="00537781"/>
    <w:rsid w:val="005409DB"/>
    <w:rsid w:val="00542C62"/>
    <w:rsid w:val="00543F5F"/>
    <w:rsid w:val="00543F71"/>
    <w:rsid w:val="00545698"/>
    <w:rsid w:val="00546149"/>
    <w:rsid w:val="0054730C"/>
    <w:rsid w:val="005475CE"/>
    <w:rsid w:val="00555089"/>
    <w:rsid w:val="005565F1"/>
    <w:rsid w:val="00562259"/>
    <w:rsid w:val="005655BD"/>
    <w:rsid w:val="005661E1"/>
    <w:rsid w:val="0056754C"/>
    <w:rsid w:val="00571501"/>
    <w:rsid w:val="00571E00"/>
    <w:rsid w:val="00573B46"/>
    <w:rsid w:val="00573C8F"/>
    <w:rsid w:val="00574712"/>
    <w:rsid w:val="00576C5E"/>
    <w:rsid w:val="00577C17"/>
    <w:rsid w:val="005804CC"/>
    <w:rsid w:val="00580957"/>
    <w:rsid w:val="005818B8"/>
    <w:rsid w:val="005824FB"/>
    <w:rsid w:val="00582666"/>
    <w:rsid w:val="00586955"/>
    <w:rsid w:val="005870EB"/>
    <w:rsid w:val="00592DCF"/>
    <w:rsid w:val="00593D82"/>
    <w:rsid w:val="005955BA"/>
    <w:rsid w:val="005A0B59"/>
    <w:rsid w:val="005A245A"/>
    <w:rsid w:val="005A2C7B"/>
    <w:rsid w:val="005B0F9A"/>
    <w:rsid w:val="005B15AD"/>
    <w:rsid w:val="005B1A42"/>
    <w:rsid w:val="005B4DB1"/>
    <w:rsid w:val="005C162E"/>
    <w:rsid w:val="005C417A"/>
    <w:rsid w:val="005C5BFF"/>
    <w:rsid w:val="005D22FC"/>
    <w:rsid w:val="005D2CB0"/>
    <w:rsid w:val="005D3D41"/>
    <w:rsid w:val="005D59CC"/>
    <w:rsid w:val="005D736F"/>
    <w:rsid w:val="005E4F70"/>
    <w:rsid w:val="005E5DB5"/>
    <w:rsid w:val="005E7072"/>
    <w:rsid w:val="005E7CE8"/>
    <w:rsid w:val="005F162E"/>
    <w:rsid w:val="005F16C3"/>
    <w:rsid w:val="005F328B"/>
    <w:rsid w:val="005F74F3"/>
    <w:rsid w:val="00601880"/>
    <w:rsid w:val="00602C7D"/>
    <w:rsid w:val="0060381D"/>
    <w:rsid w:val="006041C3"/>
    <w:rsid w:val="006052FC"/>
    <w:rsid w:val="00605A28"/>
    <w:rsid w:val="00607F31"/>
    <w:rsid w:val="00610BBF"/>
    <w:rsid w:val="006116FD"/>
    <w:rsid w:val="00613FB5"/>
    <w:rsid w:val="00614E98"/>
    <w:rsid w:val="0062295C"/>
    <w:rsid w:val="00623AD2"/>
    <w:rsid w:val="00630E94"/>
    <w:rsid w:val="00632B51"/>
    <w:rsid w:val="00633021"/>
    <w:rsid w:val="00636962"/>
    <w:rsid w:val="0063752D"/>
    <w:rsid w:val="00637781"/>
    <w:rsid w:val="00644C71"/>
    <w:rsid w:val="006462FA"/>
    <w:rsid w:val="006504F5"/>
    <w:rsid w:val="0065094C"/>
    <w:rsid w:val="00660EBB"/>
    <w:rsid w:val="00663CC5"/>
    <w:rsid w:val="00665865"/>
    <w:rsid w:val="006663EB"/>
    <w:rsid w:val="00670660"/>
    <w:rsid w:val="0067568A"/>
    <w:rsid w:val="00684D69"/>
    <w:rsid w:val="00686AF3"/>
    <w:rsid w:val="006928F3"/>
    <w:rsid w:val="006952F5"/>
    <w:rsid w:val="006A2E04"/>
    <w:rsid w:val="006A2F51"/>
    <w:rsid w:val="006A350C"/>
    <w:rsid w:val="006A5596"/>
    <w:rsid w:val="006B268E"/>
    <w:rsid w:val="006B317B"/>
    <w:rsid w:val="006B4620"/>
    <w:rsid w:val="006B58FD"/>
    <w:rsid w:val="006C1B42"/>
    <w:rsid w:val="006C56C9"/>
    <w:rsid w:val="006D05E4"/>
    <w:rsid w:val="006D144F"/>
    <w:rsid w:val="006D567B"/>
    <w:rsid w:val="006E0B76"/>
    <w:rsid w:val="006E1CF0"/>
    <w:rsid w:val="006E2EB3"/>
    <w:rsid w:val="006E3EAB"/>
    <w:rsid w:val="006E521B"/>
    <w:rsid w:val="006E5AC6"/>
    <w:rsid w:val="006E5CDB"/>
    <w:rsid w:val="006E6FDB"/>
    <w:rsid w:val="006F0134"/>
    <w:rsid w:val="006F30B4"/>
    <w:rsid w:val="006F3939"/>
    <w:rsid w:val="006F46C3"/>
    <w:rsid w:val="006F4CA2"/>
    <w:rsid w:val="006F6820"/>
    <w:rsid w:val="006F6E12"/>
    <w:rsid w:val="00701A84"/>
    <w:rsid w:val="007032B0"/>
    <w:rsid w:val="00705859"/>
    <w:rsid w:val="007058F5"/>
    <w:rsid w:val="00706041"/>
    <w:rsid w:val="007123AF"/>
    <w:rsid w:val="00712A96"/>
    <w:rsid w:val="007130BD"/>
    <w:rsid w:val="00720BE9"/>
    <w:rsid w:val="00721056"/>
    <w:rsid w:val="00723AEF"/>
    <w:rsid w:val="00725C94"/>
    <w:rsid w:val="00726A6C"/>
    <w:rsid w:val="00726B23"/>
    <w:rsid w:val="00726DB7"/>
    <w:rsid w:val="00727E29"/>
    <w:rsid w:val="00733083"/>
    <w:rsid w:val="00735916"/>
    <w:rsid w:val="00740B0E"/>
    <w:rsid w:val="00742B21"/>
    <w:rsid w:val="00744517"/>
    <w:rsid w:val="00750137"/>
    <w:rsid w:val="0075115C"/>
    <w:rsid w:val="00755157"/>
    <w:rsid w:val="00762C99"/>
    <w:rsid w:val="00766147"/>
    <w:rsid w:val="00766DD4"/>
    <w:rsid w:val="00770518"/>
    <w:rsid w:val="00770C01"/>
    <w:rsid w:val="007724D2"/>
    <w:rsid w:val="00772E30"/>
    <w:rsid w:val="00775B10"/>
    <w:rsid w:val="007769FC"/>
    <w:rsid w:val="00780470"/>
    <w:rsid w:val="0078454A"/>
    <w:rsid w:val="00790A94"/>
    <w:rsid w:val="007911B2"/>
    <w:rsid w:val="00795FE0"/>
    <w:rsid w:val="00796039"/>
    <w:rsid w:val="00797ACE"/>
    <w:rsid w:val="007A08F7"/>
    <w:rsid w:val="007A1E5B"/>
    <w:rsid w:val="007A3473"/>
    <w:rsid w:val="007A36C9"/>
    <w:rsid w:val="007A5188"/>
    <w:rsid w:val="007A6512"/>
    <w:rsid w:val="007A67FD"/>
    <w:rsid w:val="007A6F63"/>
    <w:rsid w:val="007B300E"/>
    <w:rsid w:val="007B3D71"/>
    <w:rsid w:val="007B5213"/>
    <w:rsid w:val="007B7DDF"/>
    <w:rsid w:val="007C1500"/>
    <w:rsid w:val="007C1D1A"/>
    <w:rsid w:val="007C292F"/>
    <w:rsid w:val="007C5EBA"/>
    <w:rsid w:val="007D07A2"/>
    <w:rsid w:val="007D16DC"/>
    <w:rsid w:val="007D23A8"/>
    <w:rsid w:val="007D29C2"/>
    <w:rsid w:val="007D4C26"/>
    <w:rsid w:val="007D5CBB"/>
    <w:rsid w:val="007D6572"/>
    <w:rsid w:val="007D7E24"/>
    <w:rsid w:val="007E0563"/>
    <w:rsid w:val="007E2899"/>
    <w:rsid w:val="007E6590"/>
    <w:rsid w:val="007E78FD"/>
    <w:rsid w:val="007F0A1D"/>
    <w:rsid w:val="007F33A5"/>
    <w:rsid w:val="007F3F12"/>
    <w:rsid w:val="007F6A96"/>
    <w:rsid w:val="008016DA"/>
    <w:rsid w:val="00802B3E"/>
    <w:rsid w:val="00803D1B"/>
    <w:rsid w:val="00804854"/>
    <w:rsid w:val="00805D01"/>
    <w:rsid w:val="00806691"/>
    <w:rsid w:val="00813C81"/>
    <w:rsid w:val="00813F42"/>
    <w:rsid w:val="00814399"/>
    <w:rsid w:val="00814ACE"/>
    <w:rsid w:val="008153C0"/>
    <w:rsid w:val="00822B05"/>
    <w:rsid w:val="00822BEA"/>
    <w:rsid w:val="00823971"/>
    <w:rsid w:val="008261CA"/>
    <w:rsid w:val="00826534"/>
    <w:rsid w:val="00826BF7"/>
    <w:rsid w:val="00826C28"/>
    <w:rsid w:val="00833E5B"/>
    <w:rsid w:val="00834C2B"/>
    <w:rsid w:val="00842D0A"/>
    <w:rsid w:val="0084602F"/>
    <w:rsid w:val="00847755"/>
    <w:rsid w:val="00851FB3"/>
    <w:rsid w:val="0085267C"/>
    <w:rsid w:val="008552FE"/>
    <w:rsid w:val="008567AE"/>
    <w:rsid w:val="008602E0"/>
    <w:rsid w:val="008625DD"/>
    <w:rsid w:val="008631FE"/>
    <w:rsid w:val="008634A5"/>
    <w:rsid w:val="00865A18"/>
    <w:rsid w:val="00876D50"/>
    <w:rsid w:val="00877B50"/>
    <w:rsid w:val="00880C4E"/>
    <w:rsid w:val="00884003"/>
    <w:rsid w:val="00884568"/>
    <w:rsid w:val="00886D39"/>
    <w:rsid w:val="008A0C4A"/>
    <w:rsid w:val="008A3781"/>
    <w:rsid w:val="008A4C9A"/>
    <w:rsid w:val="008A4F8A"/>
    <w:rsid w:val="008A6265"/>
    <w:rsid w:val="008B1C4F"/>
    <w:rsid w:val="008B4958"/>
    <w:rsid w:val="008B769F"/>
    <w:rsid w:val="008C0E1E"/>
    <w:rsid w:val="008C1A6B"/>
    <w:rsid w:val="008C3504"/>
    <w:rsid w:val="008C4D93"/>
    <w:rsid w:val="008D02D6"/>
    <w:rsid w:val="008D085E"/>
    <w:rsid w:val="008D0EA5"/>
    <w:rsid w:val="008D1879"/>
    <w:rsid w:val="008D2B4F"/>
    <w:rsid w:val="008D4900"/>
    <w:rsid w:val="008E66EF"/>
    <w:rsid w:val="008E688D"/>
    <w:rsid w:val="008F2DB6"/>
    <w:rsid w:val="008F6B90"/>
    <w:rsid w:val="008F78BF"/>
    <w:rsid w:val="0090152F"/>
    <w:rsid w:val="00901D7E"/>
    <w:rsid w:val="00905AE6"/>
    <w:rsid w:val="009102B1"/>
    <w:rsid w:val="00913849"/>
    <w:rsid w:val="00913DA9"/>
    <w:rsid w:val="00915BD0"/>
    <w:rsid w:val="009165B6"/>
    <w:rsid w:val="0091764F"/>
    <w:rsid w:val="00917CED"/>
    <w:rsid w:val="00922D1D"/>
    <w:rsid w:val="00922EB2"/>
    <w:rsid w:val="0092577B"/>
    <w:rsid w:val="00926831"/>
    <w:rsid w:val="00926B34"/>
    <w:rsid w:val="009332DB"/>
    <w:rsid w:val="00937163"/>
    <w:rsid w:val="00942FF5"/>
    <w:rsid w:val="00943B39"/>
    <w:rsid w:val="00943F58"/>
    <w:rsid w:val="0094443B"/>
    <w:rsid w:val="0094784E"/>
    <w:rsid w:val="0094793B"/>
    <w:rsid w:val="00950795"/>
    <w:rsid w:val="00956336"/>
    <w:rsid w:val="0096197F"/>
    <w:rsid w:val="0096341D"/>
    <w:rsid w:val="00964108"/>
    <w:rsid w:val="00964882"/>
    <w:rsid w:val="009678EF"/>
    <w:rsid w:val="00970BED"/>
    <w:rsid w:val="00971919"/>
    <w:rsid w:val="00972737"/>
    <w:rsid w:val="00972D10"/>
    <w:rsid w:val="00975526"/>
    <w:rsid w:val="00976894"/>
    <w:rsid w:val="00976F7C"/>
    <w:rsid w:val="0098095B"/>
    <w:rsid w:val="00980CE5"/>
    <w:rsid w:val="00981293"/>
    <w:rsid w:val="009816BB"/>
    <w:rsid w:val="00984168"/>
    <w:rsid w:val="0098473F"/>
    <w:rsid w:val="00986124"/>
    <w:rsid w:val="00986130"/>
    <w:rsid w:val="009875FE"/>
    <w:rsid w:val="00987946"/>
    <w:rsid w:val="00990C32"/>
    <w:rsid w:val="00990C81"/>
    <w:rsid w:val="009914DB"/>
    <w:rsid w:val="00993DD3"/>
    <w:rsid w:val="00996A73"/>
    <w:rsid w:val="0099765D"/>
    <w:rsid w:val="009A21F7"/>
    <w:rsid w:val="009A6828"/>
    <w:rsid w:val="009A761C"/>
    <w:rsid w:val="009B0025"/>
    <w:rsid w:val="009B115E"/>
    <w:rsid w:val="009B499F"/>
    <w:rsid w:val="009B54E6"/>
    <w:rsid w:val="009C221B"/>
    <w:rsid w:val="009C42F0"/>
    <w:rsid w:val="009C4C8A"/>
    <w:rsid w:val="009C5D2B"/>
    <w:rsid w:val="009D0A6C"/>
    <w:rsid w:val="009D11BE"/>
    <w:rsid w:val="009D14AC"/>
    <w:rsid w:val="009D6EF2"/>
    <w:rsid w:val="009E280D"/>
    <w:rsid w:val="009E3F33"/>
    <w:rsid w:val="009E77CE"/>
    <w:rsid w:val="009F1AC6"/>
    <w:rsid w:val="009F3D52"/>
    <w:rsid w:val="009F46DE"/>
    <w:rsid w:val="009F5BF0"/>
    <w:rsid w:val="009F5F20"/>
    <w:rsid w:val="009F7053"/>
    <w:rsid w:val="00A00218"/>
    <w:rsid w:val="00A01041"/>
    <w:rsid w:val="00A013E6"/>
    <w:rsid w:val="00A02955"/>
    <w:rsid w:val="00A059CF"/>
    <w:rsid w:val="00A06756"/>
    <w:rsid w:val="00A161A9"/>
    <w:rsid w:val="00A17B53"/>
    <w:rsid w:val="00A20C87"/>
    <w:rsid w:val="00A214E6"/>
    <w:rsid w:val="00A236AA"/>
    <w:rsid w:val="00A239C4"/>
    <w:rsid w:val="00A24AE5"/>
    <w:rsid w:val="00A27AD2"/>
    <w:rsid w:val="00A31BBD"/>
    <w:rsid w:val="00A31FBE"/>
    <w:rsid w:val="00A434EB"/>
    <w:rsid w:val="00A43FDD"/>
    <w:rsid w:val="00A44243"/>
    <w:rsid w:val="00A443E0"/>
    <w:rsid w:val="00A45F8B"/>
    <w:rsid w:val="00A50EF9"/>
    <w:rsid w:val="00A51D94"/>
    <w:rsid w:val="00A64CFB"/>
    <w:rsid w:val="00A651B6"/>
    <w:rsid w:val="00A660F9"/>
    <w:rsid w:val="00A7108D"/>
    <w:rsid w:val="00A71821"/>
    <w:rsid w:val="00A73AD4"/>
    <w:rsid w:val="00A7425C"/>
    <w:rsid w:val="00A75AAB"/>
    <w:rsid w:val="00A77C2A"/>
    <w:rsid w:val="00A8366F"/>
    <w:rsid w:val="00A83ACD"/>
    <w:rsid w:val="00A86BC1"/>
    <w:rsid w:val="00A909F4"/>
    <w:rsid w:val="00A90FFC"/>
    <w:rsid w:val="00A93CEE"/>
    <w:rsid w:val="00A95DBF"/>
    <w:rsid w:val="00A96DA7"/>
    <w:rsid w:val="00A97ECB"/>
    <w:rsid w:val="00AA77E6"/>
    <w:rsid w:val="00AB1812"/>
    <w:rsid w:val="00AB22FD"/>
    <w:rsid w:val="00AB249C"/>
    <w:rsid w:val="00AB3141"/>
    <w:rsid w:val="00AB3729"/>
    <w:rsid w:val="00AB5EF7"/>
    <w:rsid w:val="00AB609D"/>
    <w:rsid w:val="00AB66B8"/>
    <w:rsid w:val="00AC2268"/>
    <w:rsid w:val="00AC27AF"/>
    <w:rsid w:val="00AC4518"/>
    <w:rsid w:val="00AC4B60"/>
    <w:rsid w:val="00AD75D8"/>
    <w:rsid w:val="00AD7CAC"/>
    <w:rsid w:val="00AD7DE4"/>
    <w:rsid w:val="00AE3D01"/>
    <w:rsid w:val="00AE4EC3"/>
    <w:rsid w:val="00AE4FC4"/>
    <w:rsid w:val="00AE5260"/>
    <w:rsid w:val="00AE5CF7"/>
    <w:rsid w:val="00AE5F5F"/>
    <w:rsid w:val="00AE67B6"/>
    <w:rsid w:val="00AF08A4"/>
    <w:rsid w:val="00AF30EF"/>
    <w:rsid w:val="00AF3442"/>
    <w:rsid w:val="00AF49A0"/>
    <w:rsid w:val="00AF5155"/>
    <w:rsid w:val="00AF5D13"/>
    <w:rsid w:val="00AF6684"/>
    <w:rsid w:val="00AF7CFA"/>
    <w:rsid w:val="00B021E1"/>
    <w:rsid w:val="00B0357E"/>
    <w:rsid w:val="00B05EB7"/>
    <w:rsid w:val="00B0641E"/>
    <w:rsid w:val="00B1435B"/>
    <w:rsid w:val="00B17226"/>
    <w:rsid w:val="00B1739F"/>
    <w:rsid w:val="00B20435"/>
    <w:rsid w:val="00B2193F"/>
    <w:rsid w:val="00B31CAD"/>
    <w:rsid w:val="00B333E0"/>
    <w:rsid w:val="00B34169"/>
    <w:rsid w:val="00B40DB4"/>
    <w:rsid w:val="00B43529"/>
    <w:rsid w:val="00B441A3"/>
    <w:rsid w:val="00B45828"/>
    <w:rsid w:val="00B4788F"/>
    <w:rsid w:val="00B51807"/>
    <w:rsid w:val="00B51D11"/>
    <w:rsid w:val="00B52304"/>
    <w:rsid w:val="00B537AA"/>
    <w:rsid w:val="00B54BEC"/>
    <w:rsid w:val="00B557BC"/>
    <w:rsid w:val="00B568D1"/>
    <w:rsid w:val="00B56968"/>
    <w:rsid w:val="00B56F9E"/>
    <w:rsid w:val="00B6040F"/>
    <w:rsid w:val="00B60D18"/>
    <w:rsid w:val="00B61DFF"/>
    <w:rsid w:val="00B620D6"/>
    <w:rsid w:val="00B70AB4"/>
    <w:rsid w:val="00B7681D"/>
    <w:rsid w:val="00B770F9"/>
    <w:rsid w:val="00B80053"/>
    <w:rsid w:val="00B803AD"/>
    <w:rsid w:val="00B82CF7"/>
    <w:rsid w:val="00B82E6C"/>
    <w:rsid w:val="00B83E5B"/>
    <w:rsid w:val="00B840FF"/>
    <w:rsid w:val="00B850F5"/>
    <w:rsid w:val="00B85D28"/>
    <w:rsid w:val="00B923D8"/>
    <w:rsid w:val="00B924CB"/>
    <w:rsid w:val="00B951E6"/>
    <w:rsid w:val="00BA0BF9"/>
    <w:rsid w:val="00BA1742"/>
    <w:rsid w:val="00BA19B2"/>
    <w:rsid w:val="00BA6A1E"/>
    <w:rsid w:val="00BA779B"/>
    <w:rsid w:val="00BB0205"/>
    <w:rsid w:val="00BB14E3"/>
    <w:rsid w:val="00BB19A6"/>
    <w:rsid w:val="00BB2113"/>
    <w:rsid w:val="00BB4474"/>
    <w:rsid w:val="00BB4F87"/>
    <w:rsid w:val="00BB6955"/>
    <w:rsid w:val="00BB7076"/>
    <w:rsid w:val="00BC31D7"/>
    <w:rsid w:val="00BC3BCD"/>
    <w:rsid w:val="00BC578D"/>
    <w:rsid w:val="00BC7BDB"/>
    <w:rsid w:val="00BD0888"/>
    <w:rsid w:val="00BD2382"/>
    <w:rsid w:val="00BD38A7"/>
    <w:rsid w:val="00BD480D"/>
    <w:rsid w:val="00BD4CB1"/>
    <w:rsid w:val="00BD5685"/>
    <w:rsid w:val="00BD58EC"/>
    <w:rsid w:val="00BD6C5E"/>
    <w:rsid w:val="00BD7122"/>
    <w:rsid w:val="00BD7A3A"/>
    <w:rsid w:val="00BE1F7A"/>
    <w:rsid w:val="00BF1F32"/>
    <w:rsid w:val="00BF208A"/>
    <w:rsid w:val="00BF5015"/>
    <w:rsid w:val="00BF772F"/>
    <w:rsid w:val="00BF7CA8"/>
    <w:rsid w:val="00C000E6"/>
    <w:rsid w:val="00C070F9"/>
    <w:rsid w:val="00C10392"/>
    <w:rsid w:val="00C10A53"/>
    <w:rsid w:val="00C11B1A"/>
    <w:rsid w:val="00C13846"/>
    <w:rsid w:val="00C1558A"/>
    <w:rsid w:val="00C16E65"/>
    <w:rsid w:val="00C409F2"/>
    <w:rsid w:val="00C40EFF"/>
    <w:rsid w:val="00C426BD"/>
    <w:rsid w:val="00C50F27"/>
    <w:rsid w:val="00C51AC0"/>
    <w:rsid w:val="00C561A1"/>
    <w:rsid w:val="00C57185"/>
    <w:rsid w:val="00C576DE"/>
    <w:rsid w:val="00C60374"/>
    <w:rsid w:val="00C605F6"/>
    <w:rsid w:val="00C61701"/>
    <w:rsid w:val="00C64614"/>
    <w:rsid w:val="00C65590"/>
    <w:rsid w:val="00C65EDD"/>
    <w:rsid w:val="00C65F10"/>
    <w:rsid w:val="00C74CE6"/>
    <w:rsid w:val="00C750F1"/>
    <w:rsid w:val="00C75D0D"/>
    <w:rsid w:val="00C77592"/>
    <w:rsid w:val="00C775F0"/>
    <w:rsid w:val="00C77D07"/>
    <w:rsid w:val="00C8459E"/>
    <w:rsid w:val="00C919FF"/>
    <w:rsid w:val="00C9312C"/>
    <w:rsid w:val="00C94A4B"/>
    <w:rsid w:val="00C97B27"/>
    <w:rsid w:val="00CA54D2"/>
    <w:rsid w:val="00CB2000"/>
    <w:rsid w:val="00CB621C"/>
    <w:rsid w:val="00CC02F2"/>
    <w:rsid w:val="00CC13CF"/>
    <w:rsid w:val="00CC2DBD"/>
    <w:rsid w:val="00CC3A27"/>
    <w:rsid w:val="00CC5B60"/>
    <w:rsid w:val="00CC69FA"/>
    <w:rsid w:val="00CC6B34"/>
    <w:rsid w:val="00CC7127"/>
    <w:rsid w:val="00CC795F"/>
    <w:rsid w:val="00CD09B4"/>
    <w:rsid w:val="00CD4C07"/>
    <w:rsid w:val="00CD6EE8"/>
    <w:rsid w:val="00CD7773"/>
    <w:rsid w:val="00CD7A43"/>
    <w:rsid w:val="00CE3D26"/>
    <w:rsid w:val="00CE5309"/>
    <w:rsid w:val="00CE691B"/>
    <w:rsid w:val="00CE78B9"/>
    <w:rsid w:val="00CF48A1"/>
    <w:rsid w:val="00CF5529"/>
    <w:rsid w:val="00CF5CD9"/>
    <w:rsid w:val="00CF67F1"/>
    <w:rsid w:val="00CF6D26"/>
    <w:rsid w:val="00D004DE"/>
    <w:rsid w:val="00D01E73"/>
    <w:rsid w:val="00D030F7"/>
    <w:rsid w:val="00D0314D"/>
    <w:rsid w:val="00D05F0E"/>
    <w:rsid w:val="00D10EE0"/>
    <w:rsid w:val="00D13DA8"/>
    <w:rsid w:val="00D14A14"/>
    <w:rsid w:val="00D17B36"/>
    <w:rsid w:val="00D2665C"/>
    <w:rsid w:val="00D267E9"/>
    <w:rsid w:val="00D309D8"/>
    <w:rsid w:val="00D31A22"/>
    <w:rsid w:val="00D32CD6"/>
    <w:rsid w:val="00D33E6D"/>
    <w:rsid w:val="00D355AF"/>
    <w:rsid w:val="00D35CB6"/>
    <w:rsid w:val="00D3601A"/>
    <w:rsid w:val="00D4185E"/>
    <w:rsid w:val="00D41F1D"/>
    <w:rsid w:val="00D424F4"/>
    <w:rsid w:val="00D50E3E"/>
    <w:rsid w:val="00D61E00"/>
    <w:rsid w:val="00D70B9C"/>
    <w:rsid w:val="00D71AF2"/>
    <w:rsid w:val="00D72BA7"/>
    <w:rsid w:val="00D73671"/>
    <w:rsid w:val="00D74914"/>
    <w:rsid w:val="00D76110"/>
    <w:rsid w:val="00D765FC"/>
    <w:rsid w:val="00D8264B"/>
    <w:rsid w:val="00D865E9"/>
    <w:rsid w:val="00D9028D"/>
    <w:rsid w:val="00D91F21"/>
    <w:rsid w:val="00D935CD"/>
    <w:rsid w:val="00D93AA8"/>
    <w:rsid w:val="00D94273"/>
    <w:rsid w:val="00D944A0"/>
    <w:rsid w:val="00D946E9"/>
    <w:rsid w:val="00DA5106"/>
    <w:rsid w:val="00DA7EB6"/>
    <w:rsid w:val="00DB01EA"/>
    <w:rsid w:val="00DB033A"/>
    <w:rsid w:val="00DB1008"/>
    <w:rsid w:val="00DB2502"/>
    <w:rsid w:val="00DB45CC"/>
    <w:rsid w:val="00DB7E41"/>
    <w:rsid w:val="00DC06AC"/>
    <w:rsid w:val="00DC1BF6"/>
    <w:rsid w:val="00DC22E7"/>
    <w:rsid w:val="00DC2FDC"/>
    <w:rsid w:val="00DC3A4D"/>
    <w:rsid w:val="00DC4FA6"/>
    <w:rsid w:val="00DC500F"/>
    <w:rsid w:val="00DC73A0"/>
    <w:rsid w:val="00DC76AE"/>
    <w:rsid w:val="00DD230C"/>
    <w:rsid w:val="00DD2358"/>
    <w:rsid w:val="00DE0C34"/>
    <w:rsid w:val="00DE2DF3"/>
    <w:rsid w:val="00DE39D8"/>
    <w:rsid w:val="00DE3B31"/>
    <w:rsid w:val="00DE7014"/>
    <w:rsid w:val="00DE7BDD"/>
    <w:rsid w:val="00DF1BDE"/>
    <w:rsid w:val="00DF4999"/>
    <w:rsid w:val="00DF52FA"/>
    <w:rsid w:val="00DF55DC"/>
    <w:rsid w:val="00DF6C28"/>
    <w:rsid w:val="00E00B48"/>
    <w:rsid w:val="00E030EE"/>
    <w:rsid w:val="00E07CC4"/>
    <w:rsid w:val="00E108C3"/>
    <w:rsid w:val="00E11F03"/>
    <w:rsid w:val="00E120B9"/>
    <w:rsid w:val="00E1303A"/>
    <w:rsid w:val="00E13758"/>
    <w:rsid w:val="00E148F3"/>
    <w:rsid w:val="00E151DA"/>
    <w:rsid w:val="00E15382"/>
    <w:rsid w:val="00E16289"/>
    <w:rsid w:val="00E20944"/>
    <w:rsid w:val="00E238A2"/>
    <w:rsid w:val="00E246FA"/>
    <w:rsid w:val="00E3243B"/>
    <w:rsid w:val="00E335D8"/>
    <w:rsid w:val="00E33707"/>
    <w:rsid w:val="00E34005"/>
    <w:rsid w:val="00E413AB"/>
    <w:rsid w:val="00E42744"/>
    <w:rsid w:val="00E42AB8"/>
    <w:rsid w:val="00E43274"/>
    <w:rsid w:val="00E434CC"/>
    <w:rsid w:val="00E4665E"/>
    <w:rsid w:val="00E47E75"/>
    <w:rsid w:val="00E51AF3"/>
    <w:rsid w:val="00E53F38"/>
    <w:rsid w:val="00E561C6"/>
    <w:rsid w:val="00E64E71"/>
    <w:rsid w:val="00E715B1"/>
    <w:rsid w:val="00E73E35"/>
    <w:rsid w:val="00E807BA"/>
    <w:rsid w:val="00E80F7E"/>
    <w:rsid w:val="00E8164C"/>
    <w:rsid w:val="00E82B5F"/>
    <w:rsid w:val="00E83F3E"/>
    <w:rsid w:val="00E84812"/>
    <w:rsid w:val="00E84FB1"/>
    <w:rsid w:val="00E90D94"/>
    <w:rsid w:val="00E90E76"/>
    <w:rsid w:val="00E919D6"/>
    <w:rsid w:val="00E95194"/>
    <w:rsid w:val="00E96F65"/>
    <w:rsid w:val="00EA5BBB"/>
    <w:rsid w:val="00EB10A7"/>
    <w:rsid w:val="00EB2328"/>
    <w:rsid w:val="00EB48A2"/>
    <w:rsid w:val="00EB6DE7"/>
    <w:rsid w:val="00EB71F5"/>
    <w:rsid w:val="00EC5443"/>
    <w:rsid w:val="00ED4442"/>
    <w:rsid w:val="00ED694A"/>
    <w:rsid w:val="00ED76D9"/>
    <w:rsid w:val="00EE3343"/>
    <w:rsid w:val="00EE6FD6"/>
    <w:rsid w:val="00EF0773"/>
    <w:rsid w:val="00EF3E61"/>
    <w:rsid w:val="00F01740"/>
    <w:rsid w:val="00F060A4"/>
    <w:rsid w:val="00F06124"/>
    <w:rsid w:val="00F06B85"/>
    <w:rsid w:val="00F07523"/>
    <w:rsid w:val="00F132D8"/>
    <w:rsid w:val="00F16B10"/>
    <w:rsid w:val="00F231AB"/>
    <w:rsid w:val="00F24BB1"/>
    <w:rsid w:val="00F304EE"/>
    <w:rsid w:val="00F31887"/>
    <w:rsid w:val="00F31F55"/>
    <w:rsid w:val="00F35671"/>
    <w:rsid w:val="00F366DA"/>
    <w:rsid w:val="00F400C4"/>
    <w:rsid w:val="00F40A43"/>
    <w:rsid w:val="00F40F15"/>
    <w:rsid w:val="00F41E90"/>
    <w:rsid w:val="00F4710F"/>
    <w:rsid w:val="00F505B2"/>
    <w:rsid w:val="00F53A81"/>
    <w:rsid w:val="00F57D8D"/>
    <w:rsid w:val="00F60E88"/>
    <w:rsid w:val="00F617B7"/>
    <w:rsid w:val="00F62DA5"/>
    <w:rsid w:val="00F66FF9"/>
    <w:rsid w:val="00F71D04"/>
    <w:rsid w:val="00F73B29"/>
    <w:rsid w:val="00F757F6"/>
    <w:rsid w:val="00F807DC"/>
    <w:rsid w:val="00F823B7"/>
    <w:rsid w:val="00F82B69"/>
    <w:rsid w:val="00F86321"/>
    <w:rsid w:val="00F90437"/>
    <w:rsid w:val="00F91188"/>
    <w:rsid w:val="00F91F82"/>
    <w:rsid w:val="00F9546C"/>
    <w:rsid w:val="00F96CF9"/>
    <w:rsid w:val="00F97B72"/>
    <w:rsid w:val="00FA10A8"/>
    <w:rsid w:val="00FA1427"/>
    <w:rsid w:val="00FA1D37"/>
    <w:rsid w:val="00FA45BA"/>
    <w:rsid w:val="00FA4B03"/>
    <w:rsid w:val="00FA5296"/>
    <w:rsid w:val="00FB1F93"/>
    <w:rsid w:val="00FB48DF"/>
    <w:rsid w:val="00FB5972"/>
    <w:rsid w:val="00FB632F"/>
    <w:rsid w:val="00FC017E"/>
    <w:rsid w:val="00FC07D0"/>
    <w:rsid w:val="00FC3061"/>
    <w:rsid w:val="00FC3BAF"/>
    <w:rsid w:val="00FC5824"/>
    <w:rsid w:val="00FC5D22"/>
    <w:rsid w:val="00FD01BA"/>
    <w:rsid w:val="00FD0CA5"/>
    <w:rsid w:val="00FD4012"/>
    <w:rsid w:val="00FD5722"/>
    <w:rsid w:val="00FD5E93"/>
    <w:rsid w:val="00FE20F3"/>
    <w:rsid w:val="00FE26A6"/>
    <w:rsid w:val="00FE3CA8"/>
    <w:rsid w:val="00FE435F"/>
    <w:rsid w:val="00FE4D45"/>
    <w:rsid w:val="00FF4672"/>
    <w:rsid w:val="00FF4F25"/>
    <w:rsid w:val="00FF5079"/>
    <w:rsid w:val="00FF5A2A"/>
    <w:rsid w:val="00FF6B57"/>
    <w:rsid w:val="01175DBA"/>
    <w:rsid w:val="01192C1F"/>
    <w:rsid w:val="012512D3"/>
    <w:rsid w:val="013D07FD"/>
    <w:rsid w:val="01530DB1"/>
    <w:rsid w:val="016F4DFC"/>
    <w:rsid w:val="01762FEF"/>
    <w:rsid w:val="017D4F5C"/>
    <w:rsid w:val="01814321"/>
    <w:rsid w:val="01915121"/>
    <w:rsid w:val="01A63649"/>
    <w:rsid w:val="01A70784"/>
    <w:rsid w:val="01AD5116"/>
    <w:rsid w:val="01B1122C"/>
    <w:rsid w:val="01BA4BEC"/>
    <w:rsid w:val="01C1663C"/>
    <w:rsid w:val="01C20BC1"/>
    <w:rsid w:val="01DE515F"/>
    <w:rsid w:val="01F07052"/>
    <w:rsid w:val="01F20359"/>
    <w:rsid w:val="02005B8D"/>
    <w:rsid w:val="02267B24"/>
    <w:rsid w:val="022C686B"/>
    <w:rsid w:val="02330841"/>
    <w:rsid w:val="023D6E0C"/>
    <w:rsid w:val="02473C4F"/>
    <w:rsid w:val="024D69E6"/>
    <w:rsid w:val="025008C3"/>
    <w:rsid w:val="02542520"/>
    <w:rsid w:val="025852B9"/>
    <w:rsid w:val="025A1A18"/>
    <w:rsid w:val="0261487E"/>
    <w:rsid w:val="027C3676"/>
    <w:rsid w:val="028D1F0F"/>
    <w:rsid w:val="028D5673"/>
    <w:rsid w:val="0290466E"/>
    <w:rsid w:val="02A22458"/>
    <w:rsid w:val="02AD1871"/>
    <w:rsid w:val="02BD75DA"/>
    <w:rsid w:val="02D50DC8"/>
    <w:rsid w:val="02DC22B9"/>
    <w:rsid w:val="02F96864"/>
    <w:rsid w:val="02FE7B76"/>
    <w:rsid w:val="03004097"/>
    <w:rsid w:val="03052FFA"/>
    <w:rsid w:val="031A67DB"/>
    <w:rsid w:val="03217B69"/>
    <w:rsid w:val="032B14FF"/>
    <w:rsid w:val="0332225D"/>
    <w:rsid w:val="034F484F"/>
    <w:rsid w:val="036A2D8C"/>
    <w:rsid w:val="037D51AC"/>
    <w:rsid w:val="038E05E4"/>
    <w:rsid w:val="039667A9"/>
    <w:rsid w:val="03A5079A"/>
    <w:rsid w:val="03A8028B"/>
    <w:rsid w:val="03A964DC"/>
    <w:rsid w:val="03B60BF9"/>
    <w:rsid w:val="03CD5C52"/>
    <w:rsid w:val="03E11918"/>
    <w:rsid w:val="03F60FF6"/>
    <w:rsid w:val="04051527"/>
    <w:rsid w:val="040907D8"/>
    <w:rsid w:val="040A09C6"/>
    <w:rsid w:val="04133956"/>
    <w:rsid w:val="041557C5"/>
    <w:rsid w:val="041A1188"/>
    <w:rsid w:val="04345272"/>
    <w:rsid w:val="044B7594"/>
    <w:rsid w:val="04635CCB"/>
    <w:rsid w:val="0491458D"/>
    <w:rsid w:val="04B844FD"/>
    <w:rsid w:val="04C81400"/>
    <w:rsid w:val="04C945D1"/>
    <w:rsid w:val="04D851CD"/>
    <w:rsid w:val="04E42C37"/>
    <w:rsid w:val="04F244FC"/>
    <w:rsid w:val="04F63CC6"/>
    <w:rsid w:val="0500475A"/>
    <w:rsid w:val="052120A3"/>
    <w:rsid w:val="0528114F"/>
    <w:rsid w:val="0528540D"/>
    <w:rsid w:val="05391C88"/>
    <w:rsid w:val="05392953"/>
    <w:rsid w:val="054403CA"/>
    <w:rsid w:val="054819E3"/>
    <w:rsid w:val="054E467A"/>
    <w:rsid w:val="05701A8C"/>
    <w:rsid w:val="0572052F"/>
    <w:rsid w:val="05BE78F1"/>
    <w:rsid w:val="05C20583"/>
    <w:rsid w:val="05C96278"/>
    <w:rsid w:val="05CD3FD8"/>
    <w:rsid w:val="05DA2BF8"/>
    <w:rsid w:val="05EE213A"/>
    <w:rsid w:val="05F11A75"/>
    <w:rsid w:val="05F771D9"/>
    <w:rsid w:val="060221D7"/>
    <w:rsid w:val="060C2D53"/>
    <w:rsid w:val="061101E7"/>
    <w:rsid w:val="06151C5E"/>
    <w:rsid w:val="0619079F"/>
    <w:rsid w:val="06210C4C"/>
    <w:rsid w:val="0621750B"/>
    <w:rsid w:val="062A31D9"/>
    <w:rsid w:val="06351A12"/>
    <w:rsid w:val="06594913"/>
    <w:rsid w:val="06667CE7"/>
    <w:rsid w:val="06856661"/>
    <w:rsid w:val="069A035E"/>
    <w:rsid w:val="069C62F3"/>
    <w:rsid w:val="06B01930"/>
    <w:rsid w:val="06B229ED"/>
    <w:rsid w:val="06B475DD"/>
    <w:rsid w:val="06C0509D"/>
    <w:rsid w:val="06C26280"/>
    <w:rsid w:val="06D33870"/>
    <w:rsid w:val="07235BC1"/>
    <w:rsid w:val="073C7668"/>
    <w:rsid w:val="07496E5E"/>
    <w:rsid w:val="075E21DE"/>
    <w:rsid w:val="076B1CFB"/>
    <w:rsid w:val="07871411"/>
    <w:rsid w:val="078B414B"/>
    <w:rsid w:val="078F323A"/>
    <w:rsid w:val="078F745F"/>
    <w:rsid w:val="078F7797"/>
    <w:rsid w:val="07AA637F"/>
    <w:rsid w:val="07AD1B86"/>
    <w:rsid w:val="07C40663"/>
    <w:rsid w:val="07ED2710"/>
    <w:rsid w:val="0822685D"/>
    <w:rsid w:val="082C4661"/>
    <w:rsid w:val="082C53E2"/>
    <w:rsid w:val="082C5D12"/>
    <w:rsid w:val="0858402D"/>
    <w:rsid w:val="0865499C"/>
    <w:rsid w:val="08696BBC"/>
    <w:rsid w:val="086E0E08"/>
    <w:rsid w:val="08766B26"/>
    <w:rsid w:val="087F3A44"/>
    <w:rsid w:val="087F5A5E"/>
    <w:rsid w:val="089B216C"/>
    <w:rsid w:val="08A76D63"/>
    <w:rsid w:val="08B84ACC"/>
    <w:rsid w:val="08D4742C"/>
    <w:rsid w:val="08D675F3"/>
    <w:rsid w:val="08E51639"/>
    <w:rsid w:val="090C3CBC"/>
    <w:rsid w:val="090F179C"/>
    <w:rsid w:val="09133E52"/>
    <w:rsid w:val="092A0515"/>
    <w:rsid w:val="092D4411"/>
    <w:rsid w:val="092F6B4F"/>
    <w:rsid w:val="093908E1"/>
    <w:rsid w:val="094F740A"/>
    <w:rsid w:val="0954671F"/>
    <w:rsid w:val="09585107"/>
    <w:rsid w:val="095962AF"/>
    <w:rsid w:val="095F75F3"/>
    <w:rsid w:val="0963773B"/>
    <w:rsid w:val="09646A02"/>
    <w:rsid w:val="096A04BC"/>
    <w:rsid w:val="097F383C"/>
    <w:rsid w:val="097F667B"/>
    <w:rsid w:val="09A339CE"/>
    <w:rsid w:val="09BA5C05"/>
    <w:rsid w:val="09BC2E07"/>
    <w:rsid w:val="09C72AFA"/>
    <w:rsid w:val="09CB5F78"/>
    <w:rsid w:val="09D21BBD"/>
    <w:rsid w:val="09E638BB"/>
    <w:rsid w:val="09F36A03"/>
    <w:rsid w:val="09FB167F"/>
    <w:rsid w:val="09FF5B70"/>
    <w:rsid w:val="0A0425CB"/>
    <w:rsid w:val="0A104E7E"/>
    <w:rsid w:val="0A1D7EA8"/>
    <w:rsid w:val="0A1E09C8"/>
    <w:rsid w:val="0A2368BD"/>
    <w:rsid w:val="0A2D5046"/>
    <w:rsid w:val="0A2E0C9A"/>
    <w:rsid w:val="0A3208AE"/>
    <w:rsid w:val="0A366DD5"/>
    <w:rsid w:val="0A432ABB"/>
    <w:rsid w:val="0A4960FA"/>
    <w:rsid w:val="0A546A76"/>
    <w:rsid w:val="0A6122B5"/>
    <w:rsid w:val="0A6273E5"/>
    <w:rsid w:val="0A646030"/>
    <w:rsid w:val="0A7172CB"/>
    <w:rsid w:val="0A7B65BF"/>
    <w:rsid w:val="0A8074DF"/>
    <w:rsid w:val="0A8A06EA"/>
    <w:rsid w:val="0A96708F"/>
    <w:rsid w:val="0AC55BFD"/>
    <w:rsid w:val="0AE058BA"/>
    <w:rsid w:val="0B160E71"/>
    <w:rsid w:val="0B2810AF"/>
    <w:rsid w:val="0B2A54DC"/>
    <w:rsid w:val="0B3A11AD"/>
    <w:rsid w:val="0B5036E2"/>
    <w:rsid w:val="0B550CF8"/>
    <w:rsid w:val="0B793FA4"/>
    <w:rsid w:val="0B872450"/>
    <w:rsid w:val="0B882E7B"/>
    <w:rsid w:val="0B8960E6"/>
    <w:rsid w:val="0BA00F76"/>
    <w:rsid w:val="0BBE064B"/>
    <w:rsid w:val="0BC36B2C"/>
    <w:rsid w:val="0BFC1173"/>
    <w:rsid w:val="0BFF2A12"/>
    <w:rsid w:val="0C0D27A6"/>
    <w:rsid w:val="0C124BD4"/>
    <w:rsid w:val="0C147EDD"/>
    <w:rsid w:val="0C1B3EE0"/>
    <w:rsid w:val="0C1F4E62"/>
    <w:rsid w:val="0C281F69"/>
    <w:rsid w:val="0C331D01"/>
    <w:rsid w:val="0C3A6811"/>
    <w:rsid w:val="0C420130"/>
    <w:rsid w:val="0C4B5C57"/>
    <w:rsid w:val="0C5A3BCF"/>
    <w:rsid w:val="0C807E08"/>
    <w:rsid w:val="0CA4020C"/>
    <w:rsid w:val="0CAE4AE6"/>
    <w:rsid w:val="0CC1217F"/>
    <w:rsid w:val="0CC25D58"/>
    <w:rsid w:val="0CD947BD"/>
    <w:rsid w:val="0CE9794A"/>
    <w:rsid w:val="0D03755D"/>
    <w:rsid w:val="0D103128"/>
    <w:rsid w:val="0D253FA6"/>
    <w:rsid w:val="0D366A8F"/>
    <w:rsid w:val="0D3861DB"/>
    <w:rsid w:val="0D6E60A1"/>
    <w:rsid w:val="0D933D59"/>
    <w:rsid w:val="0D9F625A"/>
    <w:rsid w:val="0DA8355D"/>
    <w:rsid w:val="0DAD1945"/>
    <w:rsid w:val="0DB25F8E"/>
    <w:rsid w:val="0DBF5AD4"/>
    <w:rsid w:val="0DD50542"/>
    <w:rsid w:val="0DE63E89"/>
    <w:rsid w:val="0DED5218"/>
    <w:rsid w:val="0DF829D1"/>
    <w:rsid w:val="0DFA7935"/>
    <w:rsid w:val="0E1924B1"/>
    <w:rsid w:val="0E1D6E6E"/>
    <w:rsid w:val="0E2D7C4F"/>
    <w:rsid w:val="0E3B2427"/>
    <w:rsid w:val="0E552D44"/>
    <w:rsid w:val="0E703245"/>
    <w:rsid w:val="0E705384"/>
    <w:rsid w:val="0E7925FC"/>
    <w:rsid w:val="0E7B2823"/>
    <w:rsid w:val="0E83347D"/>
    <w:rsid w:val="0E8C75A6"/>
    <w:rsid w:val="0E9B6DFB"/>
    <w:rsid w:val="0E9F3868"/>
    <w:rsid w:val="0EB16D81"/>
    <w:rsid w:val="0ECC307F"/>
    <w:rsid w:val="0ECD1ACC"/>
    <w:rsid w:val="0EDD34DE"/>
    <w:rsid w:val="0EED1BA5"/>
    <w:rsid w:val="0EFD1F31"/>
    <w:rsid w:val="0F0B470E"/>
    <w:rsid w:val="0F180250"/>
    <w:rsid w:val="0F1F0848"/>
    <w:rsid w:val="0F2248DE"/>
    <w:rsid w:val="0F2528E3"/>
    <w:rsid w:val="0F422736"/>
    <w:rsid w:val="0F49233A"/>
    <w:rsid w:val="0F4F11FB"/>
    <w:rsid w:val="0F557518"/>
    <w:rsid w:val="0F6C5013"/>
    <w:rsid w:val="0F850443"/>
    <w:rsid w:val="0F8631A6"/>
    <w:rsid w:val="0F8C7E87"/>
    <w:rsid w:val="0F917E25"/>
    <w:rsid w:val="0FA5389F"/>
    <w:rsid w:val="0FAB538A"/>
    <w:rsid w:val="0FC41113"/>
    <w:rsid w:val="0FC91D60"/>
    <w:rsid w:val="0FDD306A"/>
    <w:rsid w:val="0FE30B60"/>
    <w:rsid w:val="0FEC1D69"/>
    <w:rsid w:val="10173A8A"/>
    <w:rsid w:val="102E38C6"/>
    <w:rsid w:val="103D28E8"/>
    <w:rsid w:val="10404DBC"/>
    <w:rsid w:val="10427ABF"/>
    <w:rsid w:val="10437371"/>
    <w:rsid w:val="104C66C7"/>
    <w:rsid w:val="104F6A24"/>
    <w:rsid w:val="1051066C"/>
    <w:rsid w:val="10815363"/>
    <w:rsid w:val="10857989"/>
    <w:rsid w:val="108C6F6A"/>
    <w:rsid w:val="109343B1"/>
    <w:rsid w:val="10A4534B"/>
    <w:rsid w:val="10A83678"/>
    <w:rsid w:val="10B63824"/>
    <w:rsid w:val="10C32E7F"/>
    <w:rsid w:val="10C65306"/>
    <w:rsid w:val="10D516B4"/>
    <w:rsid w:val="10DA215C"/>
    <w:rsid w:val="10ED60DF"/>
    <w:rsid w:val="11001706"/>
    <w:rsid w:val="11022EAC"/>
    <w:rsid w:val="110A4333"/>
    <w:rsid w:val="112A22DF"/>
    <w:rsid w:val="113E3FDC"/>
    <w:rsid w:val="11431572"/>
    <w:rsid w:val="115A0E16"/>
    <w:rsid w:val="11617F80"/>
    <w:rsid w:val="117E4386"/>
    <w:rsid w:val="11822185"/>
    <w:rsid w:val="1198193E"/>
    <w:rsid w:val="119D2C66"/>
    <w:rsid w:val="11A344F4"/>
    <w:rsid w:val="11A61F3E"/>
    <w:rsid w:val="11A958FA"/>
    <w:rsid w:val="11AB2CB4"/>
    <w:rsid w:val="11B147AE"/>
    <w:rsid w:val="11BF0A62"/>
    <w:rsid w:val="11C05B98"/>
    <w:rsid w:val="11D87F8D"/>
    <w:rsid w:val="11EB7121"/>
    <w:rsid w:val="11ED3066"/>
    <w:rsid w:val="11F12DFD"/>
    <w:rsid w:val="120A2584"/>
    <w:rsid w:val="120D07A0"/>
    <w:rsid w:val="1211742A"/>
    <w:rsid w:val="12176D07"/>
    <w:rsid w:val="121E62E8"/>
    <w:rsid w:val="121F1224"/>
    <w:rsid w:val="12303925"/>
    <w:rsid w:val="123E21E9"/>
    <w:rsid w:val="12411FD6"/>
    <w:rsid w:val="124D097B"/>
    <w:rsid w:val="127C300E"/>
    <w:rsid w:val="12850115"/>
    <w:rsid w:val="12BF4950"/>
    <w:rsid w:val="12C916D2"/>
    <w:rsid w:val="12CB3EE4"/>
    <w:rsid w:val="12E24589"/>
    <w:rsid w:val="12E76E1F"/>
    <w:rsid w:val="12F62DC0"/>
    <w:rsid w:val="12F8246D"/>
    <w:rsid w:val="131D034D"/>
    <w:rsid w:val="132C0590"/>
    <w:rsid w:val="13467A5D"/>
    <w:rsid w:val="1374267F"/>
    <w:rsid w:val="137837D5"/>
    <w:rsid w:val="138C7281"/>
    <w:rsid w:val="139145D3"/>
    <w:rsid w:val="139D3110"/>
    <w:rsid w:val="13C7650B"/>
    <w:rsid w:val="13D03611"/>
    <w:rsid w:val="13FC3EA6"/>
    <w:rsid w:val="14241C75"/>
    <w:rsid w:val="14294AD0"/>
    <w:rsid w:val="142B4CEC"/>
    <w:rsid w:val="142D71FA"/>
    <w:rsid w:val="1442132A"/>
    <w:rsid w:val="14423DE3"/>
    <w:rsid w:val="144C07BE"/>
    <w:rsid w:val="147A0B6B"/>
    <w:rsid w:val="147C5547"/>
    <w:rsid w:val="14A6625D"/>
    <w:rsid w:val="14A84152"/>
    <w:rsid w:val="14A95C11"/>
    <w:rsid w:val="14F43330"/>
    <w:rsid w:val="14FD7E9D"/>
    <w:rsid w:val="150E365C"/>
    <w:rsid w:val="15106AFE"/>
    <w:rsid w:val="1528321D"/>
    <w:rsid w:val="152F25BA"/>
    <w:rsid w:val="153C0833"/>
    <w:rsid w:val="15400323"/>
    <w:rsid w:val="154F46F6"/>
    <w:rsid w:val="15577832"/>
    <w:rsid w:val="155E69FB"/>
    <w:rsid w:val="15600842"/>
    <w:rsid w:val="15612C23"/>
    <w:rsid w:val="15695ACC"/>
    <w:rsid w:val="15820E0E"/>
    <w:rsid w:val="158741A4"/>
    <w:rsid w:val="15894CE1"/>
    <w:rsid w:val="159D39C7"/>
    <w:rsid w:val="159D7523"/>
    <w:rsid w:val="159E329B"/>
    <w:rsid w:val="15A5462A"/>
    <w:rsid w:val="15A81CEE"/>
    <w:rsid w:val="15AD3681"/>
    <w:rsid w:val="15B10424"/>
    <w:rsid w:val="15BB3E4D"/>
    <w:rsid w:val="15C54CCC"/>
    <w:rsid w:val="15C70A5D"/>
    <w:rsid w:val="15CA21A7"/>
    <w:rsid w:val="15DF3AD4"/>
    <w:rsid w:val="15EE6D85"/>
    <w:rsid w:val="15FE0301"/>
    <w:rsid w:val="16201D85"/>
    <w:rsid w:val="16273761"/>
    <w:rsid w:val="162F1435"/>
    <w:rsid w:val="163235A8"/>
    <w:rsid w:val="164F4719"/>
    <w:rsid w:val="169923E1"/>
    <w:rsid w:val="169C5A2D"/>
    <w:rsid w:val="16A03423"/>
    <w:rsid w:val="16A1213B"/>
    <w:rsid w:val="16BC1C2B"/>
    <w:rsid w:val="16D51C04"/>
    <w:rsid w:val="16F413C5"/>
    <w:rsid w:val="170610F8"/>
    <w:rsid w:val="170B2BB3"/>
    <w:rsid w:val="170D2487"/>
    <w:rsid w:val="171B2DF6"/>
    <w:rsid w:val="17282527"/>
    <w:rsid w:val="17375756"/>
    <w:rsid w:val="174574C8"/>
    <w:rsid w:val="17827D52"/>
    <w:rsid w:val="17887D5F"/>
    <w:rsid w:val="17982458"/>
    <w:rsid w:val="17A1730C"/>
    <w:rsid w:val="17AE3C6A"/>
    <w:rsid w:val="17BD20FF"/>
    <w:rsid w:val="17CC0594"/>
    <w:rsid w:val="17D80CE7"/>
    <w:rsid w:val="17DB2585"/>
    <w:rsid w:val="17E20185"/>
    <w:rsid w:val="17F75978"/>
    <w:rsid w:val="18192F23"/>
    <w:rsid w:val="181A2A65"/>
    <w:rsid w:val="182074FE"/>
    <w:rsid w:val="18230D81"/>
    <w:rsid w:val="182A2232"/>
    <w:rsid w:val="182E271A"/>
    <w:rsid w:val="183028D1"/>
    <w:rsid w:val="183443CE"/>
    <w:rsid w:val="1845062E"/>
    <w:rsid w:val="184D08FD"/>
    <w:rsid w:val="18512847"/>
    <w:rsid w:val="18697B91"/>
    <w:rsid w:val="186C142F"/>
    <w:rsid w:val="18784278"/>
    <w:rsid w:val="1885587F"/>
    <w:rsid w:val="18860743"/>
    <w:rsid w:val="188A6953"/>
    <w:rsid w:val="189317B2"/>
    <w:rsid w:val="18954E2A"/>
    <w:rsid w:val="189D0617"/>
    <w:rsid w:val="18A256A4"/>
    <w:rsid w:val="18A26C8A"/>
    <w:rsid w:val="18BD6DA2"/>
    <w:rsid w:val="18C474BD"/>
    <w:rsid w:val="18D05A08"/>
    <w:rsid w:val="18D10243"/>
    <w:rsid w:val="18D94D16"/>
    <w:rsid w:val="18DF60A5"/>
    <w:rsid w:val="19003597"/>
    <w:rsid w:val="19045B0B"/>
    <w:rsid w:val="190B0C48"/>
    <w:rsid w:val="19232435"/>
    <w:rsid w:val="192F77B6"/>
    <w:rsid w:val="19406B43"/>
    <w:rsid w:val="19413031"/>
    <w:rsid w:val="1941466A"/>
    <w:rsid w:val="194D5EDB"/>
    <w:rsid w:val="195C14A3"/>
    <w:rsid w:val="195D69B2"/>
    <w:rsid w:val="196F567B"/>
    <w:rsid w:val="197467ED"/>
    <w:rsid w:val="19810F0A"/>
    <w:rsid w:val="19921369"/>
    <w:rsid w:val="1996690E"/>
    <w:rsid w:val="199875C8"/>
    <w:rsid w:val="19A31E0E"/>
    <w:rsid w:val="19A60C8D"/>
    <w:rsid w:val="19DE262B"/>
    <w:rsid w:val="19E219A9"/>
    <w:rsid w:val="19F74FE1"/>
    <w:rsid w:val="1A0D4817"/>
    <w:rsid w:val="1A1F5CD1"/>
    <w:rsid w:val="1A231FC1"/>
    <w:rsid w:val="1A265977"/>
    <w:rsid w:val="1A352420"/>
    <w:rsid w:val="1A38306F"/>
    <w:rsid w:val="1A3C6BA4"/>
    <w:rsid w:val="1A4F2ED4"/>
    <w:rsid w:val="1A5D1977"/>
    <w:rsid w:val="1A9F1F36"/>
    <w:rsid w:val="1AA611AA"/>
    <w:rsid w:val="1AA76C6C"/>
    <w:rsid w:val="1AB95DF4"/>
    <w:rsid w:val="1ABC044C"/>
    <w:rsid w:val="1AC572D9"/>
    <w:rsid w:val="1AED4851"/>
    <w:rsid w:val="1AF56AA1"/>
    <w:rsid w:val="1B0907BB"/>
    <w:rsid w:val="1B0F349B"/>
    <w:rsid w:val="1B1738D4"/>
    <w:rsid w:val="1B1B26AB"/>
    <w:rsid w:val="1B254521"/>
    <w:rsid w:val="1B354E03"/>
    <w:rsid w:val="1B386DDF"/>
    <w:rsid w:val="1B495A57"/>
    <w:rsid w:val="1B6034CD"/>
    <w:rsid w:val="1B65425E"/>
    <w:rsid w:val="1B6E4850"/>
    <w:rsid w:val="1B6F1D9D"/>
    <w:rsid w:val="1B7156DA"/>
    <w:rsid w:val="1B7A3E63"/>
    <w:rsid w:val="1B8F5B60"/>
    <w:rsid w:val="1BA20FF4"/>
    <w:rsid w:val="1BA3785E"/>
    <w:rsid w:val="1BAE1E2C"/>
    <w:rsid w:val="1BBB6955"/>
    <w:rsid w:val="1BD667DF"/>
    <w:rsid w:val="1BD73445"/>
    <w:rsid w:val="1BE51C24"/>
    <w:rsid w:val="1BE539D2"/>
    <w:rsid w:val="1BE70AC8"/>
    <w:rsid w:val="1BE96F5D"/>
    <w:rsid w:val="1BFA6E7C"/>
    <w:rsid w:val="1C3941F5"/>
    <w:rsid w:val="1C422BD3"/>
    <w:rsid w:val="1C4E2245"/>
    <w:rsid w:val="1C4F6B41"/>
    <w:rsid w:val="1C5E491A"/>
    <w:rsid w:val="1C674097"/>
    <w:rsid w:val="1C690B79"/>
    <w:rsid w:val="1C6C7C4F"/>
    <w:rsid w:val="1C6D6078"/>
    <w:rsid w:val="1C725125"/>
    <w:rsid w:val="1C7A236C"/>
    <w:rsid w:val="1C7C1765"/>
    <w:rsid w:val="1C8036FB"/>
    <w:rsid w:val="1C84143D"/>
    <w:rsid w:val="1C8C0689"/>
    <w:rsid w:val="1CAF7EA0"/>
    <w:rsid w:val="1CC37A9E"/>
    <w:rsid w:val="1CCF6EED"/>
    <w:rsid w:val="1CD35F20"/>
    <w:rsid w:val="1CFD5B79"/>
    <w:rsid w:val="1D12312E"/>
    <w:rsid w:val="1D152095"/>
    <w:rsid w:val="1D232A04"/>
    <w:rsid w:val="1D266050"/>
    <w:rsid w:val="1D2718BF"/>
    <w:rsid w:val="1D2E0E96"/>
    <w:rsid w:val="1D4639A7"/>
    <w:rsid w:val="1D486620"/>
    <w:rsid w:val="1D506E5A"/>
    <w:rsid w:val="1D51154D"/>
    <w:rsid w:val="1D5303E2"/>
    <w:rsid w:val="1D603C55"/>
    <w:rsid w:val="1D660B43"/>
    <w:rsid w:val="1D682B0D"/>
    <w:rsid w:val="1D7E119A"/>
    <w:rsid w:val="1D85068A"/>
    <w:rsid w:val="1D954F84"/>
    <w:rsid w:val="1DA67207"/>
    <w:rsid w:val="1DBC5621"/>
    <w:rsid w:val="1DCC4BAB"/>
    <w:rsid w:val="1E0433AB"/>
    <w:rsid w:val="1E0E0B6D"/>
    <w:rsid w:val="1E1B7B7F"/>
    <w:rsid w:val="1E253DA2"/>
    <w:rsid w:val="1E256308"/>
    <w:rsid w:val="1E4F5D41"/>
    <w:rsid w:val="1E6D0ADF"/>
    <w:rsid w:val="1E7B36DC"/>
    <w:rsid w:val="1E7E1EBC"/>
    <w:rsid w:val="1E8A0861"/>
    <w:rsid w:val="1E953296"/>
    <w:rsid w:val="1EA71413"/>
    <w:rsid w:val="1EA879FC"/>
    <w:rsid w:val="1EAA1653"/>
    <w:rsid w:val="1EBA2EF4"/>
    <w:rsid w:val="1EC04283"/>
    <w:rsid w:val="1ED61661"/>
    <w:rsid w:val="1EEA0A17"/>
    <w:rsid w:val="1EEF1F39"/>
    <w:rsid w:val="1EF461A7"/>
    <w:rsid w:val="1F0028D1"/>
    <w:rsid w:val="1F0A0BCE"/>
    <w:rsid w:val="1F213A59"/>
    <w:rsid w:val="1F225822"/>
    <w:rsid w:val="1F2D1B52"/>
    <w:rsid w:val="1F3C5FFF"/>
    <w:rsid w:val="1F6410B2"/>
    <w:rsid w:val="1F707A57"/>
    <w:rsid w:val="1F8020A0"/>
    <w:rsid w:val="1F87673F"/>
    <w:rsid w:val="1F895DC3"/>
    <w:rsid w:val="1F8A4FBC"/>
    <w:rsid w:val="1F8F7C7E"/>
    <w:rsid w:val="1F9B337F"/>
    <w:rsid w:val="1FAE4B20"/>
    <w:rsid w:val="1FAF67D1"/>
    <w:rsid w:val="1FBF132E"/>
    <w:rsid w:val="1FC471C2"/>
    <w:rsid w:val="1FC60089"/>
    <w:rsid w:val="1FD95B11"/>
    <w:rsid w:val="1FF35F1E"/>
    <w:rsid w:val="1FFE32B4"/>
    <w:rsid w:val="20024B63"/>
    <w:rsid w:val="20040591"/>
    <w:rsid w:val="201C7BDE"/>
    <w:rsid w:val="201D3689"/>
    <w:rsid w:val="202A177C"/>
    <w:rsid w:val="202C6073"/>
    <w:rsid w:val="203171E6"/>
    <w:rsid w:val="20344F28"/>
    <w:rsid w:val="20404A27"/>
    <w:rsid w:val="204A1D99"/>
    <w:rsid w:val="205279A7"/>
    <w:rsid w:val="205C4592"/>
    <w:rsid w:val="20670E5A"/>
    <w:rsid w:val="20672C08"/>
    <w:rsid w:val="20735A50"/>
    <w:rsid w:val="207B498E"/>
    <w:rsid w:val="20834051"/>
    <w:rsid w:val="20861274"/>
    <w:rsid w:val="208E4638"/>
    <w:rsid w:val="20A57AC5"/>
    <w:rsid w:val="20A774A8"/>
    <w:rsid w:val="20A87711"/>
    <w:rsid w:val="20B36CEF"/>
    <w:rsid w:val="20BE2A44"/>
    <w:rsid w:val="20BF33B3"/>
    <w:rsid w:val="20C44525"/>
    <w:rsid w:val="20DC62D4"/>
    <w:rsid w:val="20E26732"/>
    <w:rsid w:val="20E80C53"/>
    <w:rsid w:val="20F721F4"/>
    <w:rsid w:val="211669E6"/>
    <w:rsid w:val="21167238"/>
    <w:rsid w:val="211E38B3"/>
    <w:rsid w:val="2125105A"/>
    <w:rsid w:val="21274A8D"/>
    <w:rsid w:val="213511A9"/>
    <w:rsid w:val="21471199"/>
    <w:rsid w:val="214A6BC6"/>
    <w:rsid w:val="215411A1"/>
    <w:rsid w:val="215C4736"/>
    <w:rsid w:val="215E7B2B"/>
    <w:rsid w:val="21667363"/>
    <w:rsid w:val="21820804"/>
    <w:rsid w:val="219711B2"/>
    <w:rsid w:val="21A25EC1"/>
    <w:rsid w:val="21AF5D06"/>
    <w:rsid w:val="21B77BBF"/>
    <w:rsid w:val="21C5655D"/>
    <w:rsid w:val="220152DE"/>
    <w:rsid w:val="221768AF"/>
    <w:rsid w:val="22220E78"/>
    <w:rsid w:val="225F37ED"/>
    <w:rsid w:val="2269349D"/>
    <w:rsid w:val="22721D38"/>
    <w:rsid w:val="227A5C88"/>
    <w:rsid w:val="22837AA1"/>
    <w:rsid w:val="22867BDE"/>
    <w:rsid w:val="2288155B"/>
    <w:rsid w:val="22A36049"/>
    <w:rsid w:val="22B405EE"/>
    <w:rsid w:val="22B701C5"/>
    <w:rsid w:val="22BF6035"/>
    <w:rsid w:val="22C51C42"/>
    <w:rsid w:val="22D1151E"/>
    <w:rsid w:val="22E3571E"/>
    <w:rsid w:val="22E664C9"/>
    <w:rsid w:val="22F208FB"/>
    <w:rsid w:val="22F713EE"/>
    <w:rsid w:val="231449BC"/>
    <w:rsid w:val="23196305"/>
    <w:rsid w:val="231D6147"/>
    <w:rsid w:val="231E461B"/>
    <w:rsid w:val="23427ABE"/>
    <w:rsid w:val="2345488C"/>
    <w:rsid w:val="235002CB"/>
    <w:rsid w:val="235F406A"/>
    <w:rsid w:val="23653290"/>
    <w:rsid w:val="23720241"/>
    <w:rsid w:val="23753F06"/>
    <w:rsid w:val="237C4C1C"/>
    <w:rsid w:val="237E3B89"/>
    <w:rsid w:val="238166D6"/>
    <w:rsid w:val="23887A3D"/>
    <w:rsid w:val="23A85105"/>
    <w:rsid w:val="23BA2289"/>
    <w:rsid w:val="23C12F77"/>
    <w:rsid w:val="23CD14AD"/>
    <w:rsid w:val="23D41D17"/>
    <w:rsid w:val="23EB60EF"/>
    <w:rsid w:val="23F0560A"/>
    <w:rsid w:val="23F92711"/>
    <w:rsid w:val="23FE1AD5"/>
    <w:rsid w:val="240C5192"/>
    <w:rsid w:val="240F3CE2"/>
    <w:rsid w:val="241B4D80"/>
    <w:rsid w:val="24253506"/>
    <w:rsid w:val="242D5F16"/>
    <w:rsid w:val="24430826"/>
    <w:rsid w:val="24507E57"/>
    <w:rsid w:val="24687C68"/>
    <w:rsid w:val="247840E5"/>
    <w:rsid w:val="24DC3E1B"/>
    <w:rsid w:val="24F246E7"/>
    <w:rsid w:val="24F45AC6"/>
    <w:rsid w:val="24FA0B22"/>
    <w:rsid w:val="250525E7"/>
    <w:rsid w:val="2537243A"/>
    <w:rsid w:val="254554E2"/>
    <w:rsid w:val="254969BC"/>
    <w:rsid w:val="255D282B"/>
    <w:rsid w:val="25607FF8"/>
    <w:rsid w:val="2569218E"/>
    <w:rsid w:val="2573447A"/>
    <w:rsid w:val="25754019"/>
    <w:rsid w:val="258778A8"/>
    <w:rsid w:val="25956469"/>
    <w:rsid w:val="25996AB6"/>
    <w:rsid w:val="25A16BBC"/>
    <w:rsid w:val="25C12D94"/>
    <w:rsid w:val="25C97EC1"/>
    <w:rsid w:val="25CB2A91"/>
    <w:rsid w:val="25D16F46"/>
    <w:rsid w:val="25DC7BF4"/>
    <w:rsid w:val="25E20F82"/>
    <w:rsid w:val="25E923D8"/>
    <w:rsid w:val="25F149DD"/>
    <w:rsid w:val="2604714B"/>
    <w:rsid w:val="260929B3"/>
    <w:rsid w:val="263253CA"/>
    <w:rsid w:val="263638FB"/>
    <w:rsid w:val="265438E7"/>
    <w:rsid w:val="26681293"/>
    <w:rsid w:val="267254F3"/>
    <w:rsid w:val="26831569"/>
    <w:rsid w:val="268818DC"/>
    <w:rsid w:val="26A34BB6"/>
    <w:rsid w:val="26A54557"/>
    <w:rsid w:val="26AE5256"/>
    <w:rsid w:val="26B9204F"/>
    <w:rsid w:val="26C30DB4"/>
    <w:rsid w:val="26D22DA5"/>
    <w:rsid w:val="26F40940"/>
    <w:rsid w:val="27173F6D"/>
    <w:rsid w:val="2719182B"/>
    <w:rsid w:val="271B4867"/>
    <w:rsid w:val="273C51E1"/>
    <w:rsid w:val="273F2DBE"/>
    <w:rsid w:val="274041B2"/>
    <w:rsid w:val="274E7C63"/>
    <w:rsid w:val="27655311"/>
    <w:rsid w:val="276C31F9"/>
    <w:rsid w:val="27724643"/>
    <w:rsid w:val="279006DD"/>
    <w:rsid w:val="27A86C6A"/>
    <w:rsid w:val="27AA428C"/>
    <w:rsid w:val="27AB1F74"/>
    <w:rsid w:val="27BF77CD"/>
    <w:rsid w:val="27CB7BD7"/>
    <w:rsid w:val="27EE3C0E"/>
    <w:rsid w:val="27FD20A3"/>
    <w:rsid w:val="282B4F1B"/>
    <w:rsid w:val="28376C91"/>
    <w:rsid w:val="28377363"/>
    <w:rsid w:val="2844761E"/>
    <w:rsid w:val="28457CD3"/>
    <w:rsid w:val="28492FE4"/>
    <w:rsid w:val="28497425"/>
    <w:rsid w:val="285D33F6"/>
    <w:rsid w:val="28620159"/>
    <w:rsid w:val="286C4045"/>
    <w:rsid w:val="286C40AA"/>
    <w:rsid w:val="286E7ADE"/>
    <w:rsid w:val="28861CFA"/>
    <w:rsid w:val="28965A1B"/>
    <w:rsid w:val="28A64AE8"/>
    <w:rsid w:val="28AF0ED2"/>
    <w:rsid w:val="28B10FB5"/>
    <w:rsid w:val="28B430AA"/>
    <w:rsid w:val="28B9246E"/>
    <w:rsid w:val="28BF4EBD"/>
    <w:rsid w:val="28BF6F68"/>
    <w:rsid w:val="28C242D3"/>
    <w:rsid w:val="28C34F59"/>
    <w:rsid w:val="28D177B8"/>
    <w:rsid w:val="28D56B7C"/>
    <w:rsid w:val="28E05C4D"/>
    <w:rsid w:val="28FE01E0"/>
    <w:rsid w:val="29047469"/>
    <w:rsid w:val="291267B4"/>
    <w:rsid w:val="293D6BFB"/>
    <w:rsid w:val="29425BDE"/>
    <w:rsid w:val="29527213"/>
    <w:rsid w:val="29595574"/>
    <w:rsid w:val="297E658B"/>
    <w:rsid w:val="298760C9"/>
    <w:rsid w:val="29A529F3"/>
    <w:rsid w:val="29A62BC5"/>
    <w:rsid w:val="29AF73CD"/>
    <w:rsid w:val="29B04CFC"/>
    <w:rsid w:val="29B444B6"/>
    <w:rsid w:val="29D52DDF"/>
    <w:rsid w:val="29EC0622"/>
    <w:rsid w:val="29FB6844"/>
    <w:rsid w:val="2A136F6C"/>
    <w:rsid w:val="2A157B78"/>
    <w:rsid w:val="2A16751A"/>
    <w:rsid w:val="2A2630D9"/>
    <w:rsid w:val="2A4A0D9B"/>
    <w:rsid w:val="2A4E308A"/>
    <w:rsid w:val="2A500BB0"/>
    <w:rsid w:val="2A510485"/>
    <w:rsid w:val="2A577C49"/>
    <w:rsid w:val="2A7025D5"/>
    <w:rsid w:val="2A71367B"/>
    <w:rsid w:val="2A862824"/>
    <w:rsid w:val="2A876DAF"/>
    <w:rsid w:val="2A8837FA"/>
    <w:rsid w:val="2AA64C74"/>
    <w:rsid w:val="2AB249DB"/>
    <w:rsid w:val="2AB266B4"/>
    <w:rsid w:val="2AB77313"/>
    <w:rsid w:val="2ADB491E"/>
    <w:rsid w:val="2B031C30"/>
    <w:rsid w:val="2B144D9E"/>
    <w:rsid w:val="2B1C3740"/>
    <w:rsid w:val="2B256D67"/>
    <w:rsid w:val="2B397896"/>
    <w:rsid w:val="2B4843B6"/>
    <w:rsid w:val="2B602DB3"/>
    <w:rsid w:val="2B7B7859"/>
    <w:rsid w:val="2B7C75CA"/>
    <w:rsid w:val="2B82123D"/>
    <w:rsid w:val="2B8E58CD"/>
    <w:rsid w:val="2B9B74AA"/>
    <w:rsid w:val="2BCE6231"/>
    <w:rsid w:val="2BE12008"/>
    <w:rsid w:val="2BE13432"/>
    <w:rsid w:val="2BF660D3"/>
    <w:rsid w:val="2C0003B4"/>
    <w:rsid w:val="2C065776"/>
    <w:rsid w:val="2C071743"/>
    <w:rsid w:val="2C104C7F"/>
    <w:rsid w:val="2C11436F"/>
    <w:rsid w:val="2C177F67"/>
    <w:rsid w:val="2C414C55"/>
    <w:rsid w:val="2C41535E"/>
    <w:rsid w:val="2C5C2242"/>
    <w:rsid w:val="2C714E0E"/>
    <w:rsid w:val="2C8009D9"/>
    <w:rsid w:val="2C820DC9"/>
    <w:rsid w:val="2C84082B"/>
    <w:rsid w:val="2C8C386A"/>
    <w:rsid w:val="2C942DD4"/>
    <w:rsid w:val="2C9948D4"/>
    <w:rsid w:val="2CB15478"/>
    <w:rsid w:val="2CC13A15"/>
    <w:rsid w:val="2CC8256D"/>
    <w:rsid w:val="2CCE3B87"/>
    <w:rsid w:val="2CD45AC9"/>
    <w:rsid w:val="2CD63695"/>
    <w:rsid w:val="2CD71115"/>
    <w:rsid w:val="2CDA5E53"/>
    <w:rsid w:val="2CDF1F5F"/>
    <w:rsid w:val="2D0E0203"/>
    <w:rsid w:val="2D1F486A"/>
    <w:rsid w:val="2D205BB7"/>
    <w:rsid w:val="2D306A77"/>
    <w:rsid w:val="2D393B7E"/>
    <w:rsid w:val="2D520C78"/>
    <w:rsid w:val="2D656721"/>
    <w:rsid w:val="2D756712"/>
    <w:rsid w:val="2D9D5B09"/>
    <w:rsid w:val="2DA34C81"/>
    <w:rsid w:val="2DAB1438"/>
    <w:rsid w:val="2DC21BF6"/>
    <w:rsid w:val="2DC270A0"/>
    <w:rsid w:val="2DC42606"/>
    <w:rsid w:val="2DD524DD"/>
    <w:rsid w:val="2DDC7BF7"/>
    <w:rsid w:val="2DDD2DD1"/>
    <w:rsid w:val="2DE352FA"/>
    <w:rsid w:val="2DF45CF7"/>
    <w:rsid w:val="2DF70B98"/>
    <w:rsid w:val="2DFB0E33"/>
    <w:rsid w:val="2E097658"/>
    <w:rsid w:val="2E153F60"/>
    <w:rsid w:val="2E2B598A"/>
    <w:rsid w:val="2E35132A"/>
    <w:rsid w:val="2E36718E"/>
    <w:rsid w:val="2E461C41"/>
    <w:rsid w:val="2E5F7614"/>
    <w:rsid w:val="2E70537D"/>
    <w:rsid w:val="2E942770"/>
    <w:rsid w:val="2EA74B17"/>
    <w:rsid w:val="2EB21E3A"/>
    <w:rsid w:val="2EB74972"/>
    <w:rsid w:val="2EC300F5"/>
    <w:rsid w:val="2EC35DF5"/>
    <w:rsid w:val="2ED33B5E"/>
    <w:rsid w:val="2EDE09F5"/>
    <w:rsid w:val="2EE07156"/>
    <w:rsid w:val="2EE26C4C"/>
    <w:rsid w:val="2EEB23FF"/>
    <w:rsid w:val="2EF02962"/>
    <w:rsid w:val="2EFC4E63"/>
    <w:rsid w:val="2EFE6E2D"/>
    <w:rsid w:val="2F0C44B6"/>
    <w:rsid w:val="2F2C02AA"/>
    <w:rsid w:val="2F3430C8"/>
    <w:rsid w:val="2F373E5F"/>
    <w:rsid w:val="2F3C7955"/>
    <w:rsid w:val="2F4B1946"/>
    <w:rsid w:val="2F601896"/>
    <w:rsid w:val="2F642A08"/>
    <w:rsid w:val="2F676568"/>
    <w:rsid w:val="2F8917BC"/>
    <w:rsid w:val="2F9B5627"/>
    <w:rsid w:val="2FA33530"/>
    <w:rsid w:val="2FAF6DDF"/>
    <w:rsid w:val="2FBF4562"/>
    <w:rsid w:val="2FCF4325"/>
    <w:rsid w:val="2FD302BA"/>
    <w:rsid w:val="2FEB0622"/>
    <w:rsid w:val="2FF62D3D"/>
    <w:rsid w:val="30172D3B"/>
    <w:rsid w:val="30186B1C"/>
    <w:rsid w:val="301B3A0F"/>
    <w:rsid w:val="30224D9D"/>
    <w:rsid w:val="303421D9"/>
    <w:rsid w:val="305A4537"/>
    <w:rsid w:val="305D23CE"/>
    <w:rsid w:val="307244F0"/>
    <w:rsid w:val="307934F8"/>
    <w:rsid w:val="307C4ECB"/>
    <w:rsid w:val="30A27C8C"/>
    <w:rsid w:val="30C37FE7"/>
    <w:rsid w:val="30CC4D09"/>
    <w:rsid w:val="30D065A7"/>
    <w:rsid w:val="30E302C0"/>
    <w:rsid w:val="30E76373"/>
    <w:rsid w:val="30F3019A"/>
    <w:rsid w:val="30FC4781"/>
    <w:rsid w:val="31083F93"/>
    <w:rsid w:val="310D3357"/>
    <w:rsid w:val="31181CFC"/>
    <w:rsid w:val="31257141"/>
    <w:rsid w:val="312910B4"/>
    <w:rsid w:val="31325288"/>
    <w:rsid w:val="31472444"/>
    <w:rsid w:val="31556AAC"/>
    <w:rsid w:val="31715963"/>
    <w:rsid w:val="31A75B75"/>
    <w:rsid w:val="31AA329C"/>
    <w:rsid w:val="31AD13C5"/>
    <w:rsid w:val="31C40391"/>
    <w:rsid w:val="31C71345"/>
    <w:rsid w:val="31CA749A"/>
    <w:rsid w:val="31D3074A"/>
    <w:rsid w:val="31F442E6"/>
    <w:rsid w:val="32170CC6"/>
    <w:rsid w:val="32193F7E"/>
    <w:rsid w:val="32211164"/>
    <w:rsid w:val="32256788"/>
    <w:rsid w:val="32260F05"/>
    <w:rsid w:val="322E7A29"/>
    <w:rsid w:val="3234700A"/>
    <w:rsid w:val="32372C0B"/>
    <w:rsid w:val="323D4C19"/>
    <w:rsid w:val="323F1C36"/>
    <w:rsid w:val="324C7EAF"/>
    <w:rsid w:val="325F4087"/>
    <w:rsid w:val="326104C0"/>
    <w:rsid w:val="3286241C"/>
    <w:rsid w:val="328C5BC7"/>
    <w:rsid w:val="32A94808"/>
    <w:rsid w:val="32B05742"/>
    <w:rsid w:val="32BD0DAD"/>
    <w:rsid w:val="32CD730F"/>
    <w:rsid w:val="32D22AAA"/>
    <w:rsid w:val="32D82802"/>
    <w:rsid w:val="32EB3B6C"/>
    <w:rsid w:val="32EB76C8"/>
    <w:rsid w:val="32FA3ECC"/>
    <w:rsid w:val="331E193C"/>
    <w:rsid w:val="333A23FE"/>
    <w:rsid w:val="334128C4"/>
    <w:rsid w:val="334508C7"/>
    <w:rsid w:val="33470B19"/>
    <w:rsid w:val="33490893"/>
    <w:rsid w:val="33631D0C"/>
    <w:rsid w:val="337E22EA"/>
    <w:rsid w:val="33981CE8"/>
    <w:rsid w:val="33A41CCA"/>
    <w:rsid w:val="33A907CC"/>
    <w:rsid w:val="33A930DF"/>
    <w:rsid w:val="33AA42AA"/>
    <w:rsid w:val="33BF2903"/>
    <w:rsid w:val="33D91EF8"/>
    <w:rsid w:val="33E660BA"/>
    <w:rsid w:val="33ED121E"/>
    <w:rsid w:val="33FC00B9"/>
    <w:rsid w:val="342459DC"/>
    <w:rsid w:val="3426199B"/>
    <w:rsid w:val="34384B8F"/>
    <w:rsid w:val="344C1C72"/>
    <w:rsid w:val="345915DC"/>
    <w:rsid w:val="34591F09"/>
    <w:rsid w:val="345937DD"/>
    <w:rsid w:val="345C0152"/>
    <w:rsid w:val="346314E0"/>
    <w:rsid w:val="348246C3"/>
    <w:rsid w:val="348664F8"/>
    <w:rsid w:val="349B5D6F"/>
    <w:rsid w:val="349E60A0"/>
    <w:rsid w:val="34C93A39"/>
    <w:rsid w:val="34E17695"/>
    <w:rsid w:val="35036009"/>
    <w:rsid w:val="35103416"/>
    <w:rsid w:val="35195AEC"/>
    <w:rsid w:val="35216984"/>
    <w:rsid w:val="35245113"/>
    <w:rsid w:val="3555351F"/>
    <w:rsid w:val="35583E96"/>
    <w:rsid w:val="355E13F9"/>
    <w:rsid w:val="35614F64"/>
    <w:rsid w:val="3562251D"/>
    <w:rsid w:val="356937D7"/>
    <w:rsid w:val="356A2E17"/>
    <w:rsid w:val="3575596F"/>
    <w:rsid w:val="35936E4D"/>
    <w:rsid w:val="35CD46D8"/>
    <w:rsid w:val="35D42696"/>
    <w:rsid w:val="35DA3A24"/>
    <w:rsid w:val="35EE6CF3"/>
    <w:rsid w:val="35EF0A4C"/>
    <w:rsid w:val="36004D3F"/>
    <w:rsid w:val="3627005D"/>
    <w:rsid w:val="363D350E"/>
    <w:rsid w:val="36514647"/>
    <w:rsid w:val="36657792"/>
    <w:rsid w:val="366711AF"/>
    <w:rsid w:val="366E215D"/>
    <w:rsid w:val="367E0BA6"/>
    <w:rsid w:val="36892A6E"/>
    <w:rsid w:val="368B0CEA"/>
    <w:rsid w:val="368F242D"/>
    <w:rsid w:val="369B3A43"/>
    <w:rsid w:val="369F51E0"/>
    <w:rsid w:val="36BF604D"/>
    <w:rsid w:val="36C049A1"/>
    <w:rsid w:val="36C42AF4"/>
    <w:rsid w:val="36D97016"/>
    <w:rsid w:val="36DB679D"/>
    <w:rsid w:val="36E508D2"/>
    <w:rsid w:val="36E70CFB"/>
    <w:rsid w:val="3720190B"/>
    <w:rsid w:val="37227431"/>
    <w:rsid w:val="373158C6"/>
    <w:rsid w:val="37355BF1"/>
    <w:rsid w:val="374E6F28"/>
    <w:rsid w:val="37515F68"/>
    <w:rsid w:val="37677539"/>
    <w:rsid w:val="37721EC0"/>
    <w:rsid w:val="37734CD2"/>
    <w:rsid w:val="37735EDE"/>
    <w:rsid w:val="378B51E4"/>
    <w:rsid w:val="379D3117"/>
    <w:rsid w:val="37B02A75"/>
    <w:rsid w:val="37BA1D5F"/>
    <w:rsid w:val="37D5660D"/>
    <w:rsid w:val="37DC5883"/>
    <w:rsid w:val="37E4576F"/>
    <w:rsid w:val="37F53D6C"/>
    <w:rsid w:val="3802503A"/>
    <w:rsid w:val="381B7481"/>
    <w:rsid w:val="383C3737"/>
    <w:rsid w:val="38433B03"/>
    <w:rsid w:val="384701C6"/>
    <w:rsid w:val="38767A34"/>
    <w:rsid w:val="387C1FAD"/>
    <w:rsid w:val="388A1700"/>
    <w:rsid w:val="388F2DAC"/>
    <w:rsid w:val="389F3FF1"/>
    <w:rsid w:val="38A81005"/>
    <w:rsid w:val="38B4055C"/>
    <w:rsid w:val="38E4489E"/>
    <w:rsid w:val="38E76B84"/>
    <w:rsid w:val="38F82A51"/>
    <w:rsid w:val="390C5A28"/>
    <w:rsid w:val="390E2362"/>
    <w:rsid w:val="3911720A"/>
    <w:rsid w:val="396809AD"/>
    <w:rsid w:val="39736669"/>
    <w:rsid w:val="39793957"/>
    <w:rsid w:val="39932868"/>
    <w:rsid w:val="39A0707B"/>
    <w:rsid w:val="39AC0218"/>
    <w:rsid w:val="39BA7DF4"/>
    <w:rsid w:val="39C80763"/>
    <w:rsid w:val="39E24430"/>
    <w:rsid w:val="39EF6342"/>
    <w:rsid w:val="3A1514CF"/>
    <w:rsid w:val="3A2C787A"/>
    <w:rsid w:val="3A370E8E"/>
    <w:rsid w:val="3A5B7B48"/>
    <w:rsid w:val="3A6458D0"/>
    <w:rsid w:val="3A6B7341"/>
    <w:rsid w:val="3A791A5E"/>
    <w:rsid w:val="3A7C46D7"/>
    <w:rsid w:val="3A875D79"/>
    <w:rsid w:val="3A8C499A"/>
    <w:rsid w:val="3A904556"/>
    <w:rsid w:val="3AA72F9A"/>
    <w:rsid w:val="3AC84793"/>
    <w:rsid w:val="3ADB5E26"/>
    <w:rsid w:val="3AE07D2F"/>
    <w:rsid w:val="3B023C5E"/>
    <w:rsid w:val="3B2D2B5D"/>
    <w:rsid w:val="3B2F3937"/>
    <w:rsid w:val="3B36794F"/>
    <w:rsid w:val="3B3D3C2D"/>
    <w:rsid w:val="3B422275"/>
    <w:rsid w:val="3B477875"/>
    <w:rsid w:val="3B4C7D4C"/>
    <w:rsid w:val="3B5D3DA9"/>
    <w:rsid w:val="3B6E0E96"/>
    <w:rsid w:val="3B76339F"/>
    <w:rsid w:val="3B7A155D"/>
    <w:rsid w:val="3B841948"/>
    <w:rsid w:val="3B871F58"/>
    <w:rsid w:val="3B9509BE"/>
    <w:rsid w:val="3B9C22C7"/>
    <w:rsid w:val="3BBF5B96"/>
    <w:rsid w:val="3BD17677"/>
    <w:rsid w:val="3BE86E9B"/>
    <w:rsid w:val="3C0C7EC4"/>
    <w:rsid w:val="3C225536"/>
    <w:rsid w:val="3C2974B3"/>
    <w:rsid w:val="3C3B5269"/>
    <w:rsid w:val="3C502B42"/>
    <w:rsid w:val="3C627A79"/>
    <w:rsid w:val="3C74072E"/>
    <w:rsid w:val="3C7C6C5D"/>
    <w:rsid w:val="3C805A5B"/>
    <w:rsid w:val="3C876AD7"/>
    <w:rsid w:val="3C8946C1"/>
    <w:rsid w:val="3C8C1F1C"/>
    <w:rsid w:val="3CAC611A"/>
    <w:rsid w:val="3CB80E26"/>
    <w:rsid w:val="3CB9368F"/>
    <w:rsid w:val="3CBA010B"/>
    <w:rsid w:val="3CC31052"/>
    <w:rsid w:val="3CCA65A0"/>
    <w:rsid w:val="3CD1792F"/>
    <w:rsid w:val="3CE3787C"/>
    <w:rsid w:val="3CE422E9"/>
    <w:rsid w:val="3CEB3533"/>
    <w:rsid w:val="3CF31B7F"/>
    <w:rsid w:val="3D0F3DAA"/>
    <w:rsid w:val="3D22018A"/>
    <w:rsid w:val="3D2517D4"/>
    <w:rsid w:val="3D647E91"/>
    <w:rsid w:val="3D74475E"/>
    <w:rsid w:val="3D7E516B"/>
    <w:rsid w:val="3D826D07"/>
    <w:rsid w:val="3D8608AF"/>
    <w:rsid w:val="3D8A63A1"/>
    <w:rsid w:val="3D9A25B9"/>
    <w:rsid w:val="3DBF59D9"/>
    <w:rsid w:val="3DC72AE0"/>
    <w:rsid w:val="3DCF6DF4"/>
    <w:rsid w:val="3E0B3E63"/>
    <w:rsid w:val="3E1026D9"/>
    <w:rsid w:val="3E115606"/>
    <w:rsid w:val="3E19509D"/>
    <w:rsid w:val="3E1D5F07"/>
    <w:rsid w:val="3E1D6BA4"/>
    <w:rsid w:val="3E261FF6"/>
    <w:rsid w:val="3E2C5EC2"/>
    <w:rsid w:val="3E385F8C"/>
    <w:rsid w:val="3E542340"/>
    <w:rsid w:val="3E5B2140"/>
    <w:rsid w:val="3E5E705F"/>
    <w:rsid w:val="3E6E0B6F"/>
    <w:rsid w:val="3E7313DF"/>
    <w:rsid w:val="3E8310FD"/>
    <w:rsid w:val="3E83435E"/>
    <w:rsid w:val="3E834C59"/>
    <w:rsid w:val="3E925647"/>
    <w:rsid w:val="3E946E66"/>
    <w:rsid w:val="3EB412B6"/>
    <w:rsid w:val="3EE871B2"/>
    <w:rsid w:val="3EED2ADA"/>
    <w:rsid w:val="3F1735F3"/>
    <w:rsid w:val="3F495969"/>
    <w:rsid w:val="3F74163A"/>
    <w:rsid w:val="3F746C97"/>
    <w:rsid w:val="3F8517A5"/>
    <w:rsid w:val="3FA27FFB"/>
    <w:rsid w:val="3FA86034"/>
    <w:rsid w:val="3FB05F21"/>
    <w:rsid w:val="3FC4377B"/>
    <w:rsid w:val="3FE67B95"/>
    <w:rsid w:val="3FF03CDE"/>
    <w:rsid w:val="3FF8458B"/>
    <w:rsid w:val="40016E33"/>
    <w:rsid w:val="40115FCA"/>
    <w:rsid w:val="40271985"/>
    <w:rsid w:val="403843C8"/>
    <w:rsid w:val="405C5941"/>
    <w:rsid w:val="40606230"/>
    <w:rsid w:val="40870703"/>
    <w:rsid w:val="40877969"/>
    <w:rsid w:val="408C00EC"/>
    <w:rsid w:val="4099133A"/>
    <w:rsid w:val="40B01BB0"/>
    <w:rsid w:val="40B416B7"/>
    <w:rsid w:val="40CF416C"/>
    <w:rsid w:val="40E51BFB"/>
    <w:rsid w:val="41067B3A"/>
    <w:rsid w:val="410F6C78"/>
    <w:rsid w:val="413C3F30"/>
    <w:rsid w:val="41434B73"/>
    <w:rsid w:val="41436921"/>
    <w:rsid w:val="41610951"/>
    <w:rsid w:val="41656898"/>
    <w:rsid w:val="41930496"/>
    <w:rsid w:val="41B556D5"/>
    <w:rsid w:val="41BC2603"/>
    <w:rsid w:val="41DD28D2"/>
    <w:rsid w:val="420A5691"/>
    <w:rsid w:val="421604C9"/>
    <w:rsid w:val="421D3616"/>
    <w:rsid w:val="422E137F"/>
    <w:rsid w:val="4236523B"/>
    <w:rsid w:val="4239126D"/>
    <w:rsid w:val="4252486B"/>
    <w:rsid w:val="426D4DB6"/>
    <w:rsid w:val="427152F0"/>
    <w:rsid w:val="427F607F"/>
    <w:rsid w:val="427F7E2D"/>
    <w:rsid w:val="42811F6D"/>
    <w:rsid w:val="429418C5"/>
    <w:rsid w:val="42AC34CB"/>
    <w:rsid w:val="42D71A17"/>
    <w:rsid w:val="42E87C65"/>
    <w:rsid w:val="42EC114F"/>
    <w:rsid w:val="42F06635"/>
    <w:rsid w:val="42F771B0"/>
    <w:rsid w:val="42FA2C71"/>
    <w:rsid w:val="42FF3FE9"/>
    <w:rsid w:val="43074399"/>
    <w:rsid w:val="430D5439"/>
    <w:rsid w:val="43101275"/>
    <w:rsid w:val="431D2AA9"/>
    <w:rsid w:val="431F3EA1"/>
    <w:rsid w:val="43294F09"/>
    <w:rsid w:val="432B1EE0"/>
    <w:rsid w:val="433B5FD0"/>
    <w:rsid w:val="433C113A"/>
    <w:rsid w:val="4342119B"/>
    <w:rsid w:val="43516846"/>
    <w:rsid w:val="436112E1"/>
    <w:rsid w:val="43617313"/>
    <w:rsid w:val="436239D7"/>
    <w:rsid w:val="436B7798"/>
    <w:rsid w:val="438276D2"/>
    <w:rsid w:val="43851473"/>
    <w:rsid w:val="439D4082"/>
    <w:rsid w:val="439F396A"/>
    <w:rsid w:val="43AD7012"/>
    <w:rsid w:val="43AE2E12"/>
    <w:rsid w:val="43BE0F78"/>
    <w:rsid w:val="43BE6D12"/>
    <w:rsid w:val="43DA4CB5"/>
    <w:rsid w:val="43E33772"/>
    <w:rsid w:val="43E75F0B"/>
    <w:rsid w:val="43EA44D5"/>
    <w:rsid w:val="43ED3A6D"/>
    <w:rsid w:val="43F72B79"/>
    <w:rsid w:val="44004F9E"/>
    <w:rsid w:val="443F1622"/>
    <w:rsid w:val="444427DA"/>
    <w:rsid w:val="44550E45"/>
    <w:rsid w:val="447B0A98"/>
    <w:rsid w:val="44817E8C"/>
    <w:rsid w:val="44997BC2"/>
    <w:rsid w:val="44C10289"/>
    <w:rsid w:val="44C42B6A"/>
    <w:rsid w:val="44CC6DFD"/>
    <w:rsid w:val="44D93800"/>
    <w:rsid w:val="44DA759D"/>
    <w:rsid w:val="44FF34A7"/>
    <w:rsid w:val="44FF6168"/>
    <w:rsid w:val="45102FBE"/>
    <w:rsid w:val="45154265"/>
    <w:rsid w:val="451A6CC2"/>
    <w:rsid w:val="452627E2"/>
    <w:rsid w:val="452C6DD4"/>
    <w:rsid w:val="4534550C"/>
    <w:rsid w:val="45415AE5"/>
    <w:rsid w:val="454370A6"/>
    <w:rsid w:val="45703499"/>
    <w:rsid w:val="458614D2"/>
    <w:rsid w:val="458D51A8"/>
    <w:rsid w:val="45943BEF"/>
    <w:rsid w:val="45A11786"/>
    <w:rsid w:val="45A33BA1"/>
    <w:rsid w:val="45B837CD"/>
    <w:rsid w:val="45B95404"/>
    <w:rsid w:val="45C9535A"/>
    <w:rsid w:val="46072613"/>
    <w:rsid w:val="4609638B"/>
    <w:rsid w:val="4618037D"/>
    <w:rsid w:val="46187F81"/>
    <w:rsid w:val="461D1DE2"/>
    <w:rsid w:val="46205BDA"/>
    <w:rsid w:val="464158F2"/>
    <w:rsid w:val="46511AE0"/>
    <w:rsid w:val="467D407B"/>
    <w:rsid w:val="46A80F5A"/>
    <w:rsid w:val="46CE4EDF"/>
    <w:rsid w:val="46D06EA9"/>
    <w:rsid w:val="46F5577D"/>
    <w:rsid w:val="472E4911"/>
    <w:rsid w:val="47354F5E"/>
    <w:rsid w:val="47527A52"/>
    <w:rsid w:val="475661A7"/>
    <w:rsid w:val="47631E5E"/>
    <w:rsid w:val="47697F93"/>
    <w:rsid w:val="477F442B"/>
    <w:rsid w:val="478163F5"/>
    <w:rsid w:val="4792436F"/>
    <w:rsid w:val="479A3013"/>
    <w:rsid w:val="47B162E2"/>
    <w:rsid w:val="47C36A0E"/>
    <w:rsid w:val="47E81FD1"/>
    <w:rsid w:val="47F02414"/>
    <w:rsid w:val="47F145F1"/>
    <w:rsid w:val="480D18E1"/>
    <w:rsid w:val="480F7446"/>
    <w:rsid w:val="481A012D"/>
    <w:rsid w:val="481E3C44"/>
    <w:rsid w:val="4822327A"/>
    <w:rsid w:val="482B256E"/>
    <w:rsid w:val="482F7DEB"/>
    <w:rsid w:val="48373A96"/>
    <w:rsid w:val="483B65A4"/>
    <w:rsid w:val="484B25C6"/>
    <w:rsid w:val="4853606B"/>
    <w:rsid w:val="48536A45"/>
    <w:rsid w:val="487D2FF7"/>
    <w:rsid w:val="48874F20"/>
    <w:rsid w:val="48913DB0"/>
    <w:rsid w:val="48A64365"/>
    <w:rsid w:val="48A83599"/>
    <w:rsid w:val="48A85AE3"/>
    <w:rsid w:val="48B35570"/>
    <w:rsid w:val="48BB76E5"/>
    <w:rsid w:val="48DA2746"/>
    <w:rsid w:val="48DA400F"/>
    <w:rsid w:val="48E409EA"/>
    <w:rsid w:val="48E761F0"/>
    <w:rsid w:val="48EC3D42"/>
    <w:rsid w:val="48F50E49"/>
    <w:rsid w:val="49006AAC"/>
    <w:rsid w:val="49070924"/>
    <w:rsid w:val="490E3640"/>
    <w:rsid w:val="491963AF"/>
    <w:rsid w:val="492139EC"/>
    <w:rsid w:val="49214EDD"/>
    <w:rsid w:val="49255ED4"/>
    <w:rsid w:val="49614699"/>
    <w:rsid w:val="49667651"/>
    <w:rsid w:val="49902920"/>
    <w:rsid w:val="499C72CB"/>
    <w:rsid w:val="49B95F08"/>
    <w:rsid w:val="49D33174"/>
    <w:rsid w:val="49FD51DF"/>
    <w:rsid w:val="4A192915"/>
    <w:rsid w:val="4A23388F"/>
    <w:rsid w:val="4A272033"/>
    <w:rsid w:val="4A4A2ACF"/>
    <w:rsid w:val="4A5B4CDC"/>
    <w:rsid w:val="4A653DAC"/>
    <w:rsid w:val="4A6C0C97"/>
    <w:rsid w:val="4A796CFC"/>
    <w:rsid w:val="4A807EB5"/>
    <w:rsid w:val="4A8939E6"/>
    <w:rsid w:val="4A9106FD"/>
    <w:rsid w:val="4A930919"/>
    <w:rsid w:val="4A987CC2"/>
    <w:rsid w:val="4AA246B9"/>
    <w:rsid w:val="4AAE7501"/>
    <w:rsid w:val="4AB902FA"/>
    <w:rsid w:val="4AC9744C"/>
    <w:rsid w:val="4AE11E04"/>
    <w:rsid w:val="4AEA0627"/>
    <w:rsid w:val="4AEF03F8"/>
    <w:rsid w:val="4B02076F"/>
    <w:rsid w:val="4B0417D2"/>
    <w:rsid w:val="4B0B04B0"/>
    <w:rsid w:val="4B1D4687"/>
    <w:rsid w:val="4B291BE0"/>
    <w:rsid w:val="4B3237AB"/>
    <w:rsid w:val="4B477BFA"/>
    <w:rsid w:val="4B6A552E"/>
    <w:rsid w:val="4B736292"/>
    <w:rsid w:val="4BB12E04"/>
    <w:rsid w:val="4BB40B47"/>
    <w:rsid w:val="4BB87F06"/>
    <w:rsid w:val="4BBE277F"/>
    <w:rsid w:val="4BE01E83"/>
    <w:rsid w:val="4BE11211"/>
    <w:rsid w:val="4BE34F89"/>
    <w:rsid w:val="4BE71A14"/>
    <w:rsid w:val="4BEB5322"/>
    <w:rsid w:val="4C1415E6"/>
    <w:rsid w:val="4C15776E"/>
    <w:rsid w:val="4C2A7DDD"/>
    <w:rsid w:val="4C4C04C7"/>
    <w:rsid w:val="4C500455"/>
    <w:rsid w:val="4C6236DA"/>
    <w:rsid w:val="4C6240E2"/>
    <w:rsid w:val="4C6265CC"/>
    <w:rsid w:val="4C6D42A9"/>
    <w:rsid w:val="4C7F2121"/>
    <w:rsid w:val="4C8B2CA9"/>
    <w:rsid w:val="4C8D1398"/>
    <w:rsid w:val="4CC052CA"/>
    <w:rsid w:val="4CC4452E"/>
    <w:rsid w:val="4CCF7822"/>
    <w:rsid w:val="4CEB65E2"/>
    <w:rsid w:val="4CFE5DF2"/>
    <w:rsid w:val="4D0E072B"/>
    <w:rsid w:val="4D113D78"/>
    <w:rsid w:val="4D11441B"/>
    <w:rsid w:val="4D1F6B46"/>
    <w:rsid w:val="4D292E6F"/>
    <w:rsid w:val="4D2C52EE"/>
    <w:rsid w:val="4D2D4C46"/>
    <w:rsid w:val="4D321EA6"/>
    <w:rsid w:val="4D5D2506"/>
    <w:rsid w:val="4D6E74E2"/>
    <w:rsid w:val="4D7C38E7"/>
    <w:rsid w:val="4D830A74"/>
    <w:rsid w:val="4DAA1F89"/>
    <w:rsid w:val="4DAD3AA0"/>
    <w:rsid w:val="4DB50BA7"/>
    <w:rsid w:val="4DB63E04"/>
    <w:rsid w:val="4DC7241C"/>
    <w:rsid w:val="4DD252B5"/>
    <w:rsid w:val="4DE61ACB"/>
    <w:rsid w:val="4DED0341"/>
    <w:rsid w:val="4DF20A61"/>
    <w:rsid w:val="4DF64286"/>
    <w:rsid w:val="4E1C52A3"/>
    <w:rsid w:val="4E1C6A36"/>
    <w:rsid w:val="4E1E15C2"/>
    <w:rsid w:val="4E451F5E"/>
    <w:rsid w:val="4E473EF5"/>
    <w:rsid w:val="4E524648"/>
    <w:rsid w:val="4E611EB3"/>
    <w:rsid w:val="4E794A31"/>
    <w:rsid w:val="4E7B6FB5"/>
    <w:rsid w:val="4E816CDB"/>
    <w:rsid w:val="4E873E8A"/>
    <w:rsid w:val="4E9B0C8A"/>
    <w:rsid w:val="4EC2357B"/>
    <w:rsid w:val="4EC72940"/>
    <w:rsid w:val="4ED93673"/>
    <w:rsid w:val="4EE3335A"/>
    <w:rsid w:val="4F0024D2"/>
    <w:rsid w:val="4F1D2EA8"/>
    <w:rsid w:val="4F1D58C5"/>
    <w:rsid w:val="4F393E88"/>
    <w:rsid w:val="4F4D0621"/>
    <w:rsid w:val="4F4D199A"/>
    <w:rsid w:val="4F5663A6"/>
    <w:rsid w:val="4F6208BA"/>
    <w:rsid w:val="4F631B88"/>
    <w:rsid w:val="4FA30401"/>
    <w:rsid w:val="4FBD3D43"/>
    <w:rsid w:val="4FCC21D8"/>
    <w:rsid w:val="4FCE7D8A"/>
    <w:rsid w:val="4FD07F1A"/>
    <w:rsid w:val="4FDB37B8"/>
    <w:rsid w:val="500936B7"/>
    <w:rsid w:val="50232A48"/>
    <w:rsid w:val="50351889"/>
    <w:rsid w:val="504F4EEC"/>
    <w:rsid w:val="50593A6B"/>
    <w:rsid w:val="506D3A8D"/>
    <w:rsid w:val="507B24F0"/>
    <w:rsid w:val="507B7E86"/>
    <w:rsid w:val="508D7BB9"/>
    <w:rsid w:val="5096216A"/>
    <w:rsid w:val="50A078EC"/>
    <w:rsid w:val="50A54F03"/>
    <w:rsid w:val="50B11AF9"/>
    <w:rsid w:val="50B77C63"/>
    <w:rsid w:val="50CA6717"/>
    <w:rsid w:val="50D362CC"/>
    <w:rsid w:val="50D44833"/>
    <w:rsid w:val="50ED30F6"/>
    <w:rsid w:val="50FF004A"/>
    <w:rsid w:val="51080A77"/>
    <w:rsid w:val="51091023"/>
    <w:rsid w:val="51154F67"/>
    <w:rsid w:val="51281690"/>
    <w:rsid w:val="512C5624"/>
    <w:rsid w:val="51452242"/>
    <w:rsid w:val="514C1822"/>
    <w:rsid w:val="51644DBE"/>
    <w:rsid w:val="516738C9"/>
    <w:rsid w:val="51687786"/>
    <w:rsid w:val="518C60C3"/>
    <w:rsid w:val="51BA678C"/>
    <w:rsid w:val="51DB4BD9"/>
    <w:rsid w:val="51E7154B"/>
    <w:rsid w:val="51F349C3"/>
    <w:rsid w:val="520528CB"/>
    <w:rsid w:val="52131F44"/>
    <w:rsid w:val="5224558E"/>
    <w:rsid w:val="522B3DCA"/>
    <w:rsid w:val="523C37A2"/>
    <w:rsid w:val="52416EAD"/>
    <w:rsid w:val="5249558F"/>
    <w:rsid w:val="52595FA5"/>
    <w:rsid w:val="526306BA"/>
    <w:rsid w:val="52725438"/>
    <w:rsid w:val="52750905"/>
    <w:rsid w:val="527903F5"/>
    <w:rsid w:val="527F65B1"/>
    <w:rsid w:val="528154FB"/>
    <w:rsid w:val="528F408F"/>
    <w:rsid w:val="52927082"/>
    <w:rsid w:val="52A15B9E"/>
    <w:rsid w:val="52A37C23"/>
    <w:rsid w:val="52B13FE9"/>
    <w:rsid w:val="52C5363A"/>
    <w:rsid w:val="52D04982"/>
    <w:rsid w:val="52D5731D"/>
    <w:rsid w:val="52DF3B64"/>
    <w:rsid w:val="52ED206B"/>
    <w:rsid w:val="52F3194C"/>
    <w:rsid w:val="52F61A46"/>
    <w:rsid w:val="53030566"/>
    <w:rsid w:val="530A54F1"/>
    <w:rsid w:val="53206AC2"/>
    <w:rsid w:val="532D2833"/>
    <w:rsid w:val="53407165"/>
    <w:rsid w:val="53430A03"/>
    <w:rsid w:val="5344250C"/>
    <w:rsid w:val="5349426B"/>
    <w:rsid w:val="53767887"/>
    <w:rsid w:val="53780C68"/>
    <w:rsid w:val="53801BF1"/>
    <w:rsid w:val="53966943"/>
    <w:rsid w:val="53AE5F12"/>
    <w:rsid w:val="53B9086C"/>
    <w:rsid w:val="53BC5304"/>
    <w:rsid w:val="53D1252F"/>
    <w:rsid w:val="53DD49E0"/>
    <w:rsid w:val="53E53A77"/>
    <w:rsid w:val="53EA6FB2"/>
    <w:rsid w:val="53FB308C"/>
    <w:rsid w:val="53FC0391"/>
    <w:rsid w:val="540928B3"/>
    <w:rsid w:val="542E16B3"/>
    <w:rsid w:val="542E3461"/>
    <w:rsid w:val="54302D35"/>
    <w:rsid w:val="54453F91"/>
    <w:rsid w:val="544B2D5D"/>
    <w:rsid w:val="546159FF"/>
    <w:rsid w:val="54641880"/>
    <w:rsid w:val="54813591"/>
    <w:rsid w:val="548D63DA"/>
    <w:rsid w:val="54AF3F4F"/>
    <w:rsid w:val="54B716A8"/>
    <w:rsid w:val="54C142D5"/>
    <w:rsid w:val="54C65448"/>
    <w:rsid w:val="54CE24A4"/>
    <w:rsid w:val="54D73AF9"/>
    <w:rsid w:val="54E47D98"/>
    <w:rsid w:val="54F63F7F"/>
    <w:rsid w:val="55055F70"/>
    <w:rsid w:val="550A6ADB"/>
    <w:rsid w:val="550B1571"/>
    <w:rsid w:val="55124B31"/>
    <w:rsid w:val="55193280"/>
    <w:rsid w:val="551D5388"/>
    <w:rsid w:val="552503C0"/>
    <w:rsid w:val="55326F81"/>
    <w:rsid w:val="553422B9"/>
    <w:rsid w:val="556F788D"/>
    <w:rsid w:val="55767DBF"/>
    <w:rsid w:val="55940675"/>
    <w:rsid w:val="55A559A5"/>
    <w:rsid w:val="55D43B94"/>
    <w:rsid w:val="55DF0EB7"/>
    <w:rsid w:val="55EB48C5"/>
    <w:rsid w:val="55FD59A2"/>
    <w:rsid w:val="56005579"/>
    <w:rsid w:val="560A6445"/>
    <w:rsid w:val="560B3A5A"/>
    <w:rsid w:val="560C1580"/>
    <w:rsid w:val="56187F25"/>
    <w:rsid w:val="563A60ED"/>
    <w:rsid w:val="563F54B2"/>
    <w:rsid w:val="5641648E"/>
    <w:rsid w:val="5643093D"/>
    <w:rsid w:val="56466CD0"/>
    <w:rsid w:val="56496BD2"/>
    <w:rsid w:val="565D46A7"/>
    <w:rsid w:val="5662700D"/>
    <w:rsid w:val="56787E9E"/>
    <w:rsid w:val="56B2373E"/>
    <w:rsid w:val="56B45A1B"/>
    <w:rsid w:val="56B52653"/>
    <w:rsid w:val="56D106EB"/>
    <w:rsid w:val="56D91888"/>
    <w:rsid w:val="56D93B58"/>
    <w:rsid w:val="56F91B04"/>
    <w:rsid w:val="571D761A"/>
    <w:rsid w:val="57237BDA"/>
    <w:rsid w:val="5735078A"/>
    <w:rsid w:val="57363121"/>
    <w:rsid w:val="573A61E0"/>
    <w:rsid w:val="574F0FBE"/>
    <w:rsid w:val="575050F6"/>
    <w:rsid w:val="57572CCF"/>
    <w:rsid w:val="57576ED8"/>
    <w:rsid w:val="575F1D66"/>
    <w:rsid w:val="575F52EA"/>
    <w:rsid w:val="57607BF0"/>
    <w:rsid w:val="577845BD"/>
    <w:rsid w:val="57897141"/>
    <w:rsid w:val="57981A09"/>
    <w:rsid w:val="57A1050A"/>
    <w:rsid w:val="57A4224B"/>
    <w:rsid w:val="57A82C62"/>
    <w:rsid w:val="57A87BDC"/>
    <w:rsid w:val="57BD429B"/>
    <w:rsid w:val="57CA0613"/>
    <w:rsid w:val="57D936E4"/>
    <w:rsid w:val="57E14202"/>
    <w:rsid w:val="57EC3B1D"/>
    <w:rsid w:val="57EE3633"/>
    <w:rsid w:val="580346CF"/>
    <w:rsid w:val="580554DC"/>
    <w:rsid w:val="580F3684"/>
    <w:rsid w:val="581D5CC6"/>
    <w:rsid w:val="58555460"/>
    <w:rsid w:val="58566074"/>
    <w:rsid w:val="585978EC"/>
    <w:rsid w:val="585D60C3"/>
    <w:rsid w:val="5866364E"/>
    <w:rsid w:val="58811EAF"/>
    <w:rsid w:val="5892417F"/>
    <w:rsid w:val="589D2963"/>
    <w:rsid w:val="589F22DD"/>
    <w:rsid w:val="58A04CF5"/>
    <w:rsid w:val="58A4208D"/>
    <w:rsid w:val="58B97AAA"/>
    <w:rsid w:val="58CA717F"/>
    <w:rsid w:val="58CF63B2"/>
    <w:rsid w:val="58E93DFA"/>
    <w:rsid w:val="58FC55A9"/>
    <w:rsid w:val="591043AD"/>
    <w:rsid w:val="59137A46"/>
    <w:rsid w:val="59140E77"/>
    <w:rsid w:val="59260BAB"/>
    <w:rsid w:val="592E594C"/>
    <w:rsid w:val="59381051"/>
    <w:rsid w:val="5939461F"/>
    <w:rsid w:val="59490C7B"/>
    <w:rsid w:val="594A2AEB"/>
    <w:rsid w:val="594A6647"/>
    <w:rsid w:val="59592D2E"/>
    <w:rsid w:val="595C637A"/>
    <w:rsid w:val="596671F9"/>
    <w:rsid w:val="599B301B"/>
    <w:rsid w:val="599D321D"/>
    <w:rsid w:val="59CD54B2"/>
    <w:rsid w:val="59DA45F8"/>
    <w:rsid w:val="59DE4C0E"/>
    <w:rsid w:val="59E308DD"/>
    <w:rsid w:val="59E829E9"/>
    <w:rsid w:val="59F06330"/>
    <w:rsid w:val="59F30809"/>
    <w:rsid w:val="59FB4A46"/>
    <w:rsid w:val="5A0051EE"/>
    <w:rsid w:val="5A025174"/>
    <w:rsid w:val="5A1D6378"/>
    <w:rsid w:val="5A254CCE"/>
    <w:rsid w:val="5A296BA4"/>
    <w:rsid w:val="5A405EA0"/>
    <w:rsid w:val="5A516355"/>
    <w:rsid w:val="5A5A08C1"/>
    <w:rsid w:val="5A5A6D5E"/>
    <w:rsid w:val="5A5E5BB6"/>
    <w:rsid w:val="5A5F6122"/>
    <w:rsid w:val="5A755946"/>
    <w:rsid w:val="5A7A11AE"/>
    <w:rsid w:val="5A800B76"/>
    <w:rsid w:val="5A821E11"/>
    <w:rsid w:val="5AB31DB4"/>
    <w:rsid w:val="5ABB420F"/>
    <w:rsid w:val="5AC42429"/>
    <w:rsid w:val="5AEB523D"/>
    <w:rsid w:val="5AF01470"/>
    <w:rsid w:val="5AF5778B"/>
    <w:rsid w:val="5B0904FB"/>
    <w:rsid w:val="5B0E7B48"/>
    <w:rsid w:val="5B1715BD"/>
    <w:rsid w:val="5B2B06FA"/>
    <w:rsid w:val="5B325976"/>
    <w:rsid w:val="5B503CBD"/>
    <w:rsid w:val="5B592798"/>
    <w:rsid w:val="5B61236E"/>
    <w:rsid w:val="5B6559BA"/>
    <w:rsid w:val="5B6634E0"/>
    <w:rsid w:val="5B755C47"/>
    <w:rsid w:val="5B841268"/>
    <w:rsid w:val="5B8F2A37"/>
    <w:rsid w:val="5B903B35"/>
    <w:rsid w:val="5B975D90"/>
    <w:rsid w:val="5BA11EA0"/>
    <w:rsid w:val="5BA95575"/>
    <w:rsid w:val="5BB67F1C"/>
    <w:rsid w:val="5BB826D2"/>
    <w:rsid w:val="5BC2293D"/>
    <w:rsid w:val="5BCB0E62"/>
    <w:rsid w:val="5BEE226D"/>
    <w:rsid w:val="5BF50A4C"/>
    <w:rsid w:val="5BF73D22"/>
    <w:rsid w:val="5BFC339B"/>
    <w:rsid w:val="5C074A7D"/>
    <w:rsid w:val="5C125416"/>
    <w:rsid w:val="5C1C245B"/>
    <w:rsid w:val="5C2309DE"/>
    <w:rsid w:val="5C237145"/>
    <w:rsid w:val="5C3A276B"/>
    <w:rsid w:val="5C4557EC"/>
    <w:rsid w:val="5C476580"/>
    <w:rsid w:val="5C49467B"/>
    <w:rsid w:val="5C693499"/>
    <w:rsid w:val="5C847CD3"/>
    <w:rsid w:val="5C98591B"/>
    <w:rsid w:val="5C9A3C2C"/>
    <w:rsid w:val="5C9B540C"/>
    <w:rsid w:val="5CA93AB8"/>
    <w:rsid w:val="5CB748A1"/>
    <w:rsid w:val="5CBD7121"/>
    <w:rsid w:val="5CCC562C"/>
    <w:rsid w:val="5CF0498C"/>
    <w:rsid w:val="5CFC7DE4"/>
    <w:rsid w:val="5D0E70DE"/>
    <w:rsid w:val="5D0F0879"/>
    <w:rsid w:val="5D19611C"/>
    <w:rsid w:val="5D1F7FC4"/>
    <w:rsid w:val="5D2F6A1E"/>
    <w:rsid w:val="5D4930BA"/>
    <w:rsid w:val="5D6121B1"/>
    <w:rsid w:val="5D6D4FFA"/>
    <w:rsid w:val="5D7D740A"/>
    <w:rsid w:val="5D7E0A04"/>
    <w:rsid w:val="5D9C05E1"/>
    <w:rsid w:val="5DC32E6C"/>
    <w:rsid w:val="5DC6470A"/>
    <w:rsid w:val="5DD21301"/>
    <w:rsid w:val="5DD47F47"/>
    <w:rsid w:val="5DD8159C"/>
    <w:rsid w:val="5DD838AB"/>
    <w:rsid w:val="5DDC5B7E"/>
    <w:rsid w:val="5DF43025"/>
    <w:rsid w:val="5DFF1BDB"/>
    <w:rsid w:val="5E037B6A"/>
    <w:rsid w:val="5E0A1E55"/>
    <w:rsid w:val="5E115985"/>
    <w:rsid w:val="5E260CD0"/>
    <w:rsid w:val="5E2A49AD"/>
    <w:rsid w:val="5E327044"/>
    <w:rsid w:val="5E5C5796"/>
    <w:rsid w:val="5E655CD1"/>
    <w:rsid w:val="5E7058AA"/>
    <w:rsid w:val="5E7303EE"/>
    <w:rsid w:val="5E770F4C"/>
    <w:rsid w:val="5E7756EE"/>
    <w:rsid w:val="5E824AD5"/>
    <w:rsid w:val="5EA159FA"/>
    <w:rsid w:val="5EA93E10"/>
    <w:rsid w:val="5EC24D79"/>
    <w:rsid w:val="5EC93EDE"/>
    <w:rsid w:val="5ECC1879"/>
    <w:rsid w:val="5EDD52DA"/>
    <w:rsid w:val="5EE017FC"/>
    <w:rsid w:val="5F1871E8"/>
    <w:rsid w:val="5F1E2956"/>
    <w:rsid w:val="5F22189D"/>
    <w:rsid w:val="5F3F6522"/>
    <w:rsid w:val="5F667F53"/>
    <w:rsid w:val="5F7833AB"/>
    <w:rsid w:val="5F9027F9"/>
    <w:rsid w:val="5F926458"/>
    <w:rsid w:val="5FA97E40"/>
    <w:rsid w:val="5FAF18FA"/>
    <w:rsid w:val="5FEB724E"/>
    <w:rsid w:val="5FF55761"/>
    <w:rsid w:val="60117FA7"/>
    <w:rsid w:val="6014175D"/>
    <w:rsid w:val="60194E8C"/>
    <w:rsid w:val="60200102"/>
    <w:rsid w:val="60274ACB"/>
    <w:rsid w:val="602A2968"/>
    <w:rsid w:val="602D281F"/>
    <w:rsid w:val="603B194C"/>
    <w:rsid w:val="603E5B47"/>
    <w:rsid w:val="603F3EAD"/>
    <w:rsid w:val="604F4E8B"/>
    <w:rsid w:val="6061537A"/>
    <w:rsid w:val="60712937"/>
    <w:rsid w:val="60770446"/>
    <w:rsid w:val="60822B6A"/>
    <w:rsid w:val="60B22133"/>
    <w:rsid w:val="60C24E3B"/>
    <w:rsid w:val="60D927B6"/>
    <w:rsid w:val="60F45DD3"/>
    <w:rsid w:val="6106192B"/>
    <w:rsid w:val="61113EEE"/>
    <w:rsid w:val="611E5AAD"/>
    <w:rsid w:val="6142054C"/>
    <w:rsid w:val="614E291A"/>
    <w:rsid w:val="616E1341"/>
    <w:rsid w:val="617D2484"/>
    <w:rsid w:val="61865E43"/>
    <w:rsid w:val="618B3CA1"/>
    <w:rsid w:val="61A905CB"/>
    <w:rsid w:val="61B82F2B"/>
    <w:rsid w:val="61B8344E"/>
    <w:rsid w:val="61BB4C51"/>
    <w:rsid w:val="61CB6793"/>
    <w:rsid w:val="61D354BD"/>
    <w:rsid w:val="61D76EE6"/>
    <w:rsid w:val="61E31385"/>
    <w:rsid w:val="61FE26C5"/>
    <w:rsid w:val="620409C6"/>
    <w:rsid w:val="622250D5"/>
    <w:rsid w:val="62300D2F"/>
    <w:rsid w:val="623A1223"/>
    <w:rsid w:val="624B3430"/>
    <w:rsid w:val="62570027"/>
    <w:rsid w:val="6267026A"/>
    <w:rsid w:val="626E6459"/>
    <w:rsid w:val="62721471"/>
    <w:rsid w:val="62785DCA"/>
    <w:rsid w:val="62816E52"/>
    <w:rsid w:val="62960B4F"/>
    <w:rsid w:val="62976675"/>
    <w:rsid w:val="62A163C6"/>
    <w:rsid w:val="62AA793B"/>
    <w:rsid w:val="62C5706B"/>
    <w:rsid w:val="62CA07F9"/>
    <w:rsid w:val="62ED6085"/>
    <w:rsid w:val="62EE4D00"/>
    <w:rsid w:val="62F67840"/>
    <w:rsid w:val="63033FC0"/>
    <w:rsid w:val="6304448D"/>
    <w:rsid w:val="630C0605"/>
    <w:rsid w:val="63185211"/>
    <w:rsid w:val="63314460"/>
    <w:rsid w:val="63466530"/>
    <w:rsid w:val="635D78BF"/>
    <w:rsid w:val="63693B86"/>
    <w:rsid w:val="63740320"/>
    <w:rsid w:val="637860CC"/>
    <w:rsid w:val="639151BA"/>
    <w:rsid w:val="639F79E7"/>
    <w:rsid w:val="63A126E4"/>
    <w:rsid w:val="63A801A4"/>
    <w:rsid w:val="63BC389B"/>
    <w:rsid w:val="63BF2444"/>
    <w:rsid w:val="63BF5E84"/>
    <w:rsid w:val="63CF7854"/>
    <w:rsid w:val="640D3093"/>
    <w:rsid w:val="642C03DA"/>
    <w:rsid w:val="64326656"/>
    <w:rsid w:val="64340620"/>
    <w:rsid w:val="64450F29"/>
    <w:rsid w:val="645667E8"/>
    <w:rsid w:val="64710ADD"/>
    <w:rsid w:val="64871615"/>
    <w:rsid w:val="64872E45"/>
    <w:rsid w:val="64912A6B"/>
    <w:rsid w:val="64915A72"/>
    <w:rsid w:val="6496404A"/>
    <w:rsid w:val="64AD4AC2"/>
    <w:rsid w:val="64B33C3A"/>
    <w:rsid w:val="64B9077D"/>
    <w:rsid w:val="64C179D9"/>
    <w:rsid w:val="64C2652D"/>
    <w:rsid w:val="64EA33D4"/>
    <w:rsid w:val="64EA7AAD"/>
    <w:rsid w:val="64F733FB"/>
    <w:rsid w:val="64FC0B98"/>
    <w:rsid w:val="65200BA4"/>
    <w:rsid w:val="65340A90"/>
    <w:rsid w:val="65410C2D"/>
    <w:rsid w:val="655F2F03"/>
    <w:rsid w:val="655F347A"/>
    <w:rsid w:val="65613696"/>
    <w:rsid w:val="65717652"/>
    <w:rsid w:val="65A43146"/>
    <w:rsid w:val="65AB66C0"/>
    <w:rsid w:val="65B75967"/>
    <w:rsid w:val="65D73E4A"/>
    <w:rsid w:val="65DB7F6A"/>
    <w:rsid w:val="65F84A06"/>
    <w:rsid w:val="65FF4C5D"/>
    <w:rsid w:val="66065FEC"/>
    <w:rsid w:val="66103BC3"/>
    <w:rsid w:val="661E50E3"/>
    <w:rsid w:val="662A7F2C"/>
    <w:rsid w:val="66450271"/>
    <w:rsid w:val="664C03D2"/>
    <w:rsid w:val="664D0C04"/>
    <w:rsid w:val="664D19D7"/>
    <w:rsid w:val="665371AC"/>
    <w:rsid w:val="668076C0"/>
    <w:rsid w:val="668533B4"/>
    <w:rsid w:val="66A650D9"/>
    <w:rsid w:val="66B02109"/>
    <w:rsid w:val="66B6400B"/>
    <w:rsid w:val="66B83C92"/>
    <w:rsid w:val="66DD184B"/>
    <w:rsid w:val="66FC72D5"/>
    <w:rsid w:val="67137EC7"/>
    <w:rsid w:val="672C55DE"/>
    <w:rsid w:val="672F6264"/>
    <w:rsid w:val="67452332"/>
    <w:rsid w:val="675563A5"/>
    <w:rsid w:val="675B125E"/>
    <w:rsid w:val="675B62DB"/>
    <w:rsid w:val="676D6433"/>
    <w:rsid w:val="676E3251"/>
    <w:rsid w:val="67852F40"/>
    <w:rsid w:val="678D42AE"/>
    <w:rsid w:val="678D77A8"/>
    <w:rsid w:val="679B6D62"/>
    <w:rsid w:val="679F491B"/>
    <w:rsid w:val="67DB4B4F"/>
    <w:rsid w:val="67F27C60"/>
    <w:rsid w:val="680975BA"/>
    <w:rsid w:val="68161C14"/>
    <w:rsid w:val="681B3267"/>
    <w:rsid w:val="682269E1"/>
    <w:rsid w:val="684B23DC"/>
    <w:rsid w:val="68563C83"/>
    <w:rsid w:val="6857734E"/>
    <w:rsid w:val="686C4A9A"/>
    <w:rsid w:val="6871316B"/>
    <w:rsid w:val="68752FB5"/>
    <w:rsid w:val="687B1F6A"/>
    <w:rsid w:val="688109F0"/>
    <w:rsid w:val="688B4586"/>
    <w:rsid w:val="688E447B"/>
    <w:rsid w:val="68916D9B"/>
    <w:rsid w:val="68A36355"/>
    <w:rsid w:val="68A5002A"/>
    <w:rsid w:val="68AB67E8"/>
    <w:rsid w:val="68C63810"/>
    <w:rsid w:val="68E36170"/>
    <w:rsid w:val="68E762F6"/>
    <w:rsid w:val="68EF00A4"/>
    <w:rsid w:val="69012A9A"/>
    <w:rsid w:val="69323147"/>
    <w:rsid w:val="693F13FA"/>
    <w:rsid w:val="694A24CE"/>
    <w:rsid w:val="69550FEA"/>
    <w:rsid w:val="6959151C"/>
    <w:rsid w:val="69596A79"/>
    <w:rsid w:val="69760313"/>
    <w:rsid w:val="69894F6A"/>
    <w:rsid w:val="698A2A90"/>
    <w:rsid w:val="698A727A"/>
    <w:rsid w:val="698D143E"/>
    <w:rsid w:val="699A7177"/>
    <w:rsid w:val="69BC2E93"/>
    <w:rsid w:val="69D10F70"/>
    <w:rsid w:val="69D1246D"/>
    <w:rsid w:val="69DA3A17"/>
    <w:rsid w:val="69DE20E4"/>
    <w:rsid w:val="69E14DA6"/>
    <w:rsid w:val="69FA1B93"/>
    <w:rsid w:val="6A034C11"/>
    <w:rsid w:val="6A180702"/>
    <w:rsid w:val="6A1809ED"/>
    <w:rsid w:val="6A1A6328"/>
    <w:rsid w:val="6A286091"/>
    <w:rsid w:val="6A2D5F1B"/>
    <w:rsid w:val="6A4012EB"/>
    <w:rsid w:val="6A416E00"/>
    <w:rsid w:val="6A4D03E9"/>
    <w:rsid w:val="6A5D5D3D"/>
    <w:rsid w:val="6A6035CD"/>
    <w:rsid w:val="6A6F41D2"/>
    <w:rsid w:val="6A944A7E"/>
    <w:rsid w:val="6AA36C20"/>
    <w:rsid w:val="6AAD4C88"/>
    <w:rsid w:val="6AC41FD2"/>
    <w:rsid w:val="6AC63F9C"/>
    <w:rsid w:val="6ACC0A68"/>
    <w:rsid w:val="6AD477FC"/>
    <w:rsid w:val="6ADF6E0B"/>
    <w:rsid w:val="6AE42AD6"/>
    <w:rsid w:val="6AFA71A1"/>
    <w:rsid w:val="6AFA7229"/>
    <w:rsid w:val="6B087F25"/>
    <w:rsid w:val="6B1D1CC2"/>
    <w:rsid w:val="6B302B67"/>
    <w:rsid w:val="6B3765EF"/>
    <w:rsid w:val="6B3C600C"/>
    <w:rsid w:val="6B4078AA"/>
    <w:rsid w:val="6B4A715F"/>
    <w:rsid w:val="6B601CFA"/>
    <w:rsid w:val="6B655B6D"/>
    <w:rsid w:val="6B676C68"/>
    <w:rsid w:val="6B6A2B79"/>
    <w:rsid w:val="6B7A60D6"/>
    <w:rsid w:val="6B866EC4"/>
    <w:rsid w:val="6B872E42"/>
    <w:rsid w:val="6B8C2B5D"/>
    <w:rsid w:val="6B94207B"/>
    <w:rsid w:val="6BA830C7"/>
    <w:rsid w:val="6BA918F3"/>
    <w:rsid w:val="6BBC5303"/>
    <w:rsid w:val="6BCD168C"/>
    <w:rsid w:val="6BCE3C8A"/>
    <w:rsid w:val="6BD46244"/>
    <w:rsid w:val="6BE252DC"/>
    <w:rsid w:val="6BEB1F0C"/>
    <w:rsid w:val="6BFE4B2E"/>
    <w:rsid w:val="6C0C3C30"/>
    <w:rsid w:val="6C0D5FF8"/>
    <w:rsid w:val="6C1B0562"/>
    <w:rsid w:val="6C2315B9"/>
    <w:rsid w:val="6C2B5E09"/>
    <w:rsid w:val="6C47110C"/>
    <w:rsid w:val="6C4E3430"/>
    <w:rsid w:val="6C540A6C"/>
    <w:rsid w:val="6C591811"/>
    <w:rsid w:val="6C5F6456"/>
    <w:rsid w:val="6C6B2319"/>
    <w:rsid w:val="6C7C234E"/>
    <w:rsid w:val="6C80200F"/>
    <w:rsid w:val="6C865790"/>
    <w:rsid w:val="6CB26586"/>
    <w:rsid w:val="6CDC7AA6"/>
    <w:rsid w:val="6CE7189C"/>
    <w:rsid w:val="6CEE3336"/>
    <w:rsid w:val="6CEF08AD"/>
    <w:rsid w:val="6D011CF4"/>
    <w:rsid w:val="6D0843F7"/>
    <w:rsid w:val="6D0B213A"/>
    <w:rsid w:val="6D1C60F5"/>
    <w:rsid w:val="6D2A0812"/>
    <w:rsid w:val="6D3440DF"/>
    <w:rsid w:val="6D3978A6"/>
    <w:rsid w:val="6D3B2A1F"/>
    <w:rsid w:val="6D43114B"/>
    <w:rsid w:val="6D440831"/>
    <w:rsid w:val="6D4E7EF0"/>
    <w:rsid w:val="6D7B2769"/>
    <w:rsid w:val="6D7F4976"/>
    <w:rsid w:val="6D9B170F"/>
    <w:rsid w:val="6DA85B44"/>
    <w:rsid w:val="6DB36A59"/>
    <w:rsid w:val="6DB71114"/>
    <w:rsid w:val="6DC212E1"/>
    <w:rsid w:val="6DC5053A"/>
    <w:rsid w:val="6DC9567B"/>
    <w:rsid w:val="6DCB3DEC"/>
    <w:rsid w:val="6DCE5622"/>
    <w:rsid w:val="6DD407B1"/>
    <w:rsid w:val="6DE17BFB"/>
    <w:rsid w:val="6DE2412F"/>
    <w:rsid w:val="6DF16B87"/>
    <w:rsid w:val="6DF27AA3"/>
    <w:rsid w:val="6DFA0C50"/>
    <w:rsid w:val="6DFE0332"/>
    <w:rsid w:val="6E0049EA"/>
    <w:rsid w:val="6E060714"/>
    <w:rsid w:val="6E232BCA"/>
    <w:rsid w:val="6E2A7165"/>
    <w:rsid w:val="6E3D6323"/>
    <w:rsid w:val="6E4637CD"/>
    <w:rsid w:val="6E581B72"/>
    <w:rsid w:val="6E5D495E"/>
    <w:rsid w:val="6E617992"/>
    <w:rsid w:val="6E9659D0"/>
    <w:rsid w:val="6E9879FD"/>
    <w:rsid w:val="6EAC32DC"/>
    <w:rsid w:val="6EAF267D"/>
    <w:rsid w:val="6EB10ABB"/>
    <w:rsid w:val="6EC10D02"/>
    <w:rsid w:val="6EC46A44"/>
    <w:rsid w:val="6ED34213"/>
    <w:rsid w:val="6EE07C01"/>
    <w:rsid w:val="6F011A46"/>
    <w:rsid w:val="6F031D3E"/>
    <w:rsid w:val="6F0D3E0A"/>
    <w:rsid w:val="6F162552"/>
    <w:rsid w:val="6F184487"/>
    <w:rsid w:val="6F2301F8"/>
    <w:rsid w:val="6F265009"/>
    <w:rsid w:val="6F2A4AF9"/>
    <w:rsid w:val="6F331FE6"/>
    <w:rsid w:val="6F526AD8"/>
    <w:rsid w:val="6F6F25D9"/>
    <w:rsid w:val="6F771834"/>
    <w:rsid w:val="6FDB2297"/>
    <w:rsid w:val="6FDF602F"/>
    <w:rsid w:val="6FF976D2"/>
    <w:rsid w:val="6FFB4389"/>
    <w:rsid w:val="6FFB46E7"/>
    <w:rsid w:val="700D4FE4"/>
    <w:rsid w:val="703459C4"/>
    <w:rsid w:val="70383246"/>
    <w:rsid w:val="70455E0A"/>
    <w:rsid w:val="70481727"/>
    <w:rsid w:val="70486572"/>
    <w:rsid w:val="70561270"/>
    <w:rsid w:val="70820965"/>
    <w:rsid w:val="7083230A"/>
    <w:rsid w:val="708650A2"/>
    <w:rsid w:val="70885AF3"/>
    <w:rsid w:val="70BB0D44"/>
    <w:rsid w:val="70C535E0"/>
    <w:rsid w:val="70C920F0"/>
    <w:rsid w:val="70D94B85"/>
    <w:rsid w:val="70E14A26"/>
    <w:rsid w:val="70E24D1A"/>
    <w:rsid w:val="70E4196A"/>
    <w:rsid w:val="70F80C27"/>
    <w:rsid w:val="7100515F"/>
    <w:rsid w:val="712C5B36"/>
    <w:rsid w:val="7130216F"/>
    <w:rsid w:val="714459EF"/>
    <w:rsid w:val="715341A6"/>
    <w:rsid w:val="715E6CDC"/>
    <w:rsid w:val="715F6690"/>
    <w:rsid w:val="71754B71"/>
    <w:rsid w:val="71790C09"/>
    <w:rsid w:val="718129CA"/>
    <w:rsid w:val="71857C3D"/>
    <w:rsid w:val="718A4824"/>
    <w:rsid w:val="719E31F9"/>
    <w:rsid w:val="71A23F4E"/>
    <w:rsid w:val="71A753A6"/>
    <w:rsid w:val="71BD3878"/>
    <w:rsid w:val="71C40419"/>
    <w:rsid w:val="71C84B3A"/>
    <w:rsid w:val="71E47133"/>
    <w:rsid w:val="71E82A49"/>
    <w:rsid w:val="71F15DA2"/>
    <w:rsid w:val="71F81FF6"/>
    <w:rsid w:val="72013AF5"/>
    <w:rsid w:val="72123134"/>
    <w:rsid w:val="72247F25"/>
    <w:rsid w:val="72281098"/>
    <w:rsid w:val="72324982"/>
    <w:rsid w:val="723D0FE7"/>
    <w:rsid w:val="723F193F"/>
    <w:rsid w:val="725D24FB"/>
    <w:rsid w:val="725E4ABA"/>
    <w:rsid w:val="727D5888"/>
    <w:rsid w:val="728223FA"/>
    <w:rsid w:val="729B32A3"/>
    <w:rsid w:val="72B55021"/>
    <w:rsid w:val="72D17CEA"/>
    <w:rsid w:val="72DC1889"/>
    <w:rsid w:val="72E0289A"/>
    <w:rsid w:val="72F571CC"/>
    <w:rsid w:val="731353EB"/>
    <w:rsid w:val="73166B1E"/>
    <w:rsid w:val="731F249B"/>
    <w:rsid w:val="73441F01"/>
    <w:rsid w:val="73686F2F"/>
    <w:rsid w:val="739B2C36"/>
    <w:rsid w:val="73A979E7"/>
    <w:rsid w:val="73AF1A71"/>
    <w:rsid w:val="73B52DFF"/>
    <w:rsid w:val="73D610AA"/>
    <w:rsid w:val="73F9347A"/>
    <w:rsid w:val="73FC77D8"/>
    <w:rsid w:val="74116E18"/>
    <w:rsid w:val="74136828"/>
    <w:rsid w:val="742A70D5"/>
    <w:rsid w:val="742D6E39"/>
    <w:rsid w:val="743E1F33"/>
    <w:rsid w:val="7440091B"/>
    <w:rsid w:val="744722A3"/>
    <w:rsid w:val="744D3038"/>
    <w:rsid w:val="744D4DE6"/>
    <w:rsid w:val="745F6DB9"/>
    <w:rsid w:val="74624D35"/>
    <w:rsid w:val="746565D3"/>
    <w:rsid w:val="74675EA7"/>
    <w:rsid w:val="747616A0"/>
    <w:rsid w:val="748C1DB2"/>
    <w:rsid w:val="74956EB9"/>
    <w:rsid w:val="74971A73"/>
    <w:rsid w:val="749825A8"/>
    <w:rsid w:val="749F7D37"/>
    <w:rsid w:val="74AD6208"/>
    <w:rsid w:val="74B661AB"/>
    <w:rsid w:val="74BA2AAD"/>
    <w:rsid w:val="74C36C69"/>
    <w:rsid w:val="74C432FA"/>
    <w:rsid w:val="74D07EF1"/>
    <w:rsid w:val="74D66128"/>
    <w:rsid w:val="74F04B62"/>
    <w:rsid w:val="74FA6D1C"/>
    <w:rsid w:val="7507768A"/>
    <w:rsid w:val="750B09D4"/>
    <w:rsid w:val="75152356"/>
    <w:rsid w:val="75285848"/>
    <w:rsid w:val="75324707"/>
    <w:rsid w:val="75371D1E"/>
    <w:rsid w:val="75640B02"/>
    <w:rsid w:val="75736ACE"/>
    <w:rsid w:val="757A47C6"/>
    <w:rsid w:val="758B3E18"/>
    <w:rsid w:val="758B717F"/>
    <w:rsid w:val="75AD787E"/>
    <w:rsid w:val="75B15BA4"/>
    <w:rsid w:val="75B50E95"/>
    <w:rsid w:val="75BA6C76"/>
    <w:rsid w:val="75F271B4"/>
    <w:rsid w:val="75FB53BC"/>
    <w:rsid w:val="760127AC"/>
    <w:rsid w:val="7621652A"/>
    <w:rsid w:val="762F5EDE"/>
    <w:rsid w:val="763B3A90"/>
    <w:rsid w:val="76524164"/>
    <w:rsid w:val="765B7C8E"/>
    <w:rsid w:val="766F2B28"/>
    <w:rsid w:val="766F54E7"/>
    <w:rsid w:val="76864D96"/>
    <w:rsid w:val="76910073"/>
    <w:rsid w:val="76A827A7"/>
    <w:rsid w:val="76BF67EF"/>
    <w:rsid w:val="76C82CF4"/>
    <w:rsid w:val="76E94B77"/>
    <w:rsid w:val="76EA2E1A"/>
    <w:rsid w:val="76EB2CF8"/>
    <w:rsid w:val="76F44B77"/>
    <w:rsid w:val="76FF7A94"/>
    <w:rsid w:val="770B3462"/>
    <w:rsid w:val="77133266"/>
    <w:rsid w:val="77204A34"/>
    <w:rsid w:val="772B5411"/>
    <w:rsid w:val="774A26F5"/>
    <w:rsid w:val="77510445"/>
    <w:rsid w:val="77672662"/>
    <w:rsid w:val="777F121C"/>
    <w:rsid w:val="77801AA1"/>
    <w:rsid w:val="778637D8"/>
    <w:rsid w:val="778769AF"/>
    <w:rsid w:val="778C10EB"/>
    <w:rsid w:val="779A6594"/>
    <w:rsid w:val="77A17922"/>
    <w:rsid w:val="77A95874"/>
    <w:rsid w:val="77BC1FF1"/>
    <w:rsid w:val="77D344BC"/>
    <w:rsid w:val="77D71596"/>
    <w:rsid w:val="77D747AE"/>
    <w:rsid w:val="77DB660A"/>
    <w:rsid w:val="77E122C6"/>
    <w:rsid w:val="77E12415"/>
    <w:rsid w:val="77EB3293"/>
    <w:rsid w:val="77FF4245"/>
    <w:rsid w:val="78250553"/>
    <w:rsid w:val="78290B0A"/>
    <w:rsid w:val="78304EBB"/>
    <w:rsid w:val="78392953"/>
    <w:rsid w:val="7856695F"/>
    <w:rsid w:val="785A571B"/>
    <w:rsid w:val="786A065C"/>
    <w:rsid w:val="78743289"/>
    <w:rsid w:val="78755D2A"/>
    <w:rsid w:val="78970BDF"/>
    <w:rsid w:val="78970D25"/>
    <w:rsid w:val="78972AD3"/>
    <w:rsid w:val="78B2373F"/>
    <w:rsid w:val="78EC70F6"/>
    <w:rsid w:val="78F9354A"/>
    <w:rsid w:val="79142376"/>
    <w:rsid w:val="79181E66"/>
    <w:rsid w:val="791B3A93"/>
    <w:rsid w:val="791E533B"/>
    <w:rsid w:val="792702FB"/>
    <w:rsid w:val="79295E21"/>
    <w:rsid w:val="79330E4A"/>
    <w:rsid w:val="793347D2"/>
    <w:rsid w:val="79336CA0"/>
    <w:rsid w:val="79350CE9"/>
    <w:rsid w:val="7936336A"/>
    <w:rsid w:val="7952599E"/>
    <w:rsid w:val="79591A22"/>
    <w:rsid w:val="795A22EC"/>
    <w:rsid w:val="795B2F45"/>
    <w:rsid w:val="795C15D2"/>
    <w:rsid w:val="7971181E"/>
    <w:rsid w:val="79823784"/>
    <w:rsid w:val="798D0A96"/>
    <w:rsid w:val="79987234"/>
    <w:rsid w:val="79AC464A"/>
    <w:rsid w:val="79AF4A60"/>
    <w:rsid w:val="79B871A5"/>
    <w:rsid w:val="79BD78D0"/>
    <w:rsid w:val="79DE5D1F"/>
    <w:rsid w:val="79E463E1"/>
    <w:rsid w:val="7A001F6A"/>
    <w:rsid w:val="7A03639E"/>
    <w:rsid w:val="7A1C1880"/>
    <w:rsid w:val="7A1F6A6E"/>
    <w:rsid w:val="7A31157A"/>
    <w:rsid w:val="7A6A04A0"/>
    <w:rsid w:val="7A7632E8"/>
    <w:rsid w:val="7A81273A"/>
    <w:rsid w:val="7A831561"/>
    <w:rsid w:val="7A8D0632"/>
    <w:rsid w:val="7A902A2C"/>
    <w:rsid w:val="7A9279F6"/>
    <w:rsid w:val="7AA8721A"/>
    <w:rsid w:val="7AAC0793"/>
    <w:rsid w:val="7AB57A3E"/>
    <w:rsid w:val="7AC21FB4"/>
    <w:rsid w:val="7AC433B9"/>
    <w:rsid w:val="7AD12BD3"/>
    <w:rsid w:val="7ADE49EA"/>
    <w:rsid w:val="7AF4245F"/>
    <w:rsid w:val="7B0E45CF"/>
    <w:rsid w:val="7B1D19B6"/>
    <w:rsid w:val="7B2119CF"/>
    <w:rsid w:val="7B25086A"/>
    <w:rsid w:val="7B451969"/>
    <w:rsid w:val="7B5F1FCE"/>
    <w:rsid w:val="7B621718"/>
    <w:rsid w:val="7B6A2721"/>
    <w:rsid w:val="7B840A4C"/>
    <w:rsid w:val="7B8732D3"/>
    <w:rsid w:val="7B9F6AE3"/>
    <w:rsid w:val="7BC718EA"/>
    <w:rsid w:val="7BDE505F"/>
    <w:rsid w:val="7BEA3AF9"/>
    <w:rsid w:val="7BEA758F"/>
    <w:rsid w:val="7BEA7EEA"/>
    <w:rsid w:val="7C0909D6"/>
    <w:rsid w:val="7C455A92"/>
    <w:rsid w:val="7C507691"/>
    <w:rsid w:val="7C6605C3"/>
    <w:rsid w:val="7C890545"/>
    <w:rsid w:val="7C961A20"/>
    <w:rsid w:val="7CCD2F68"/>
    <w:rsid w:val="7CE14513"/>
    <w:rsid w:val="7D00333D"/>
    <w:rsid w:val="7D1818C9"/>
    <w:rsid w:val="7D2F59D0"/>
    <w:rsid w:val="7D313D35"/>
    <w:rsid w:val="7D3D0C7E"/>
    <w:rsid w:val="7D4078B2"/>
    <w:rsid w:val="7D6A3EE0"/>
    <w:rsid w:val="7D6F2271"/>
    <w:rsid w:val="7D767C17"/>
    <w:rsid w:val="7D835F53"/>
    <w:rsid w:val="7D965A4F"/>
    <w:rsid w:val="7D9D1D34"/>
    <w:rsid w:val="7DC458E2"/>
    <w:rsid w:val="7DCE5B9D"/>
    <w:rsid w:val="7DE4363F"/>
    <w:rsid w:val="7DE74B6E"/>
    <w:rsid w:val="7DF30B37"/>
    <w:rsid w:val="7DFA0AB0"/>
    <w:rsid w:val="7E0155BF"/>
    <w:rsid w:val="7E046E5D"/>
    <w:rsid w:val="7E1846B6"/>
    <w:rsid w:val="7E1A3A19"/>
    <w:rsid w:val="7E21156F"/>
    <w:rsid w:val="7E327526"/>
    <w:rsid w:val="7E380BAB"/>
    <w:rsid w:val="7E403498"/>
    <w:rsid w:val="7E553215"/>
    <w:rsid w:val="7E6915F0"/>
    <w:rsid w:val="7E6920E9"/>
    <w:rsid w:val="7EA06B86"/>
    <w:rsid w:val="7EBA34E2"/>
    <w:rsid w:val="7EC62889"/>
    <w:rsid w:val="7EF820C9"/>
    <w:rsid w:val="7F013991"/>
    <w:rsid w:val="7F0E7CD2"/>
    <w:rsid w:val="7F160BF6"/>
    <w:rsid w:val="7F517B3D"/>
    <w:rsid w:val="7F71178A"/>
    <w:rsid w:val="7F801131"/>
    <w:rsid w:val="7F8A5140"/>
    <w:rsid w:val="7F9520EB"/>
    <w:rsid w:val="7F996DE4"/>
    <w:rsid w:val="7FA54397"/>
    <w:rsid w:val="7FAC3308"/>
    <w:rsid w:val="7FAE2DF3"/>
    <w:rsid w:val="7FB338A1"/>
    <w:rsid w:val="7FB52BD8"/>
    <w:rsid w:val="7FBB3C5A"/>
    <w:rsid w:val="7FC448DF"/>
    <w:rsid w:val="7FD50AB1"/>
    <w:rsid w:val="7FD74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360" w:lineRule="auto"/>
      <w:ind w:left="2998"/>
      <w:jc w:val="left"/>
      <w:outlineLvl w:val="0"/>
    </w:pPr>
    <w:rPr>
      <w:rFonts w:ascii="Times New Roman" w:hAnsi="Times New Roman"/>
      <w:b/>
      <w:kern w:val="44"/>
      <w:sz w:val="44"/>
      <w:szCs w:val="20"/>
    </w:rPr>
  </w:style>
  <w:style w:type="paragraph" w:styleId="3">
    <w:name w:val="heading 2"/>
    <w:basedOn w:val="1"/>
    <w:next w:val="1"/>
    <w:autoRedefine/>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85"/>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autoRedefine/>
    <w:qFormat/>
    <w:uiPriority w:val="39"/>
    <w:pPr>
      <w:ind w:left="1200" w:leftChars="1200"/>
    </w:pPr>
  </w:style>
  <w:style w:type="paragraph" w:styleId="7">
    <w:name w:val="Note Heading"/>
    <w:basedOn w:val="1"/>
    <w:next w:val="1"/>
    <w:autoRedefine/>
    <w:qFormat/>
    <w:uiPriority w:val="0"/>
    <w:pPr>
      <w:jc w:val="center"/>
    </w:pPr>
    <w:rPr>
      <w:kern w:val="0"/>
      <w:sz w:val="24"/>
    </w:rPr>
  </w:style>
  <w:style w:type="paragraph" w:styleId="8">
    <w:name w:val="Normal Indent"/>
    <w:basedOn w:val="1"/>
    <w:autoRedefine/>
    <w:qFormat/>
    <w:uiPriority w:val="0"/>
    <w:pPr>
      <w:ind w:firstLine="420"/>
    </w:pPr>
  </w:style>
  <w:style w:type="paragraph" w:styleId="9">
    <w:name w:val="Document Map"/>
    <w:basedOn w:val="1"/>
    <w:autoRedefine/>
    <w:qFormat/>
    <w:uiPriority w:val="0"/>
    <w:rPr>
      <w:rFonts w:ascii="宋体" w:cs="宋体"/>
      <w:sz w:val="18"/>
      <w:szCs w:val="18"/>
    </w:rPr>
  </w:style>
  <w:style w:type="paragraph" w:styleId="10">
    <w:name w:val="toa heading"/>
    <w:basedOn w:val="1"/>
    <w:next w:val="1"/>
    <w:autoRedefine/>
    <w:qFormat/>
    <w:uiPriority w:val="0"/>
    <w:pPr>
      <w:spacing w:before="120"/>
    </w:pPr>
    <w:rPr>
      <w:rFonts w:ascii="Arial" w:hAnsi="Arial"/>
      <w:sz w:val="24"/>
      <w:szCs w:val="20"/>
    </w:rPr>
  </w:style>
  <w:style w:type="paragraph" w:styleId="11">
    <w:name w:val="annotation text"/>
    <w:basedOn w:val="1"/>
    <w:link w:val="64"/>
    <w:autoRedefine/>
    <w:qFormat/>
    <w:uiPriority w:val="0"/>
    <w:pPr>
      <w:jc w:val="left"/>
    </w:pPr>
    <w:rPr>
      <w:rFonts w:ascii="Times New Roman" w:hAnsi="Times New Roman"/>
      <w:szCs w:val="20"/>
    </w:rPr>
  </w:style>
  <w:style w:type="paragraph" w:styleId="12">
    <w:name w:val="Body Text 3"/>
    <w:basedOn w:val="1"/>
    <w:link w:val="65"/>
    <w:autoRedefine/>
    <w:qFormat/>
    <w:uiPriority w:val="0"/>
    <w:pPr>
      <w:topLinePunct/>
      <w:spacing w:line="500" w:lineRule="exact"/>
    </w:pPr>
    <w:rPr>
      <w:rFonts w:asciiTheme="minorEastAsia" w:hAnsiTheme="minorEastAsia" w:eastAsiaTheme="minorEastAsia"/>
      <w:color w:val="FF0000"/>
      <w:szCs w:val="21"/>
    </w:rPr>
  </w:style>
  <w:style w:type="paragraph" w:styleId="13">
    <w:name w:val="Body Text"/>
    <w:basedOn w:val="1"/>
    <w:next w:val="14"/>
    <w:autoRedefine/>
    <w:unhideWhenUsed/>
    <w:qFormat/>
    <w:uiPriority w:val="0"/>
    <w:pPr>
      <w:spacing w:after="120"/>
    </w:pPr>
  </w:style>
  <w:style w:type="paragraph" w:styleId="14">
    <w:name w:val="Body Text 2"/>
    <w:basedOn w:val="1"/>
    <w:autoRedefine/>
    <w:qFormat/>
    <w:uiPriority w:val="0"/>
    <w:pPr>
      <w:spacing w:line="300" w:lineRule="exact"/>
    </w:pPr>
    <w:rPr>
      <w:rFonts w:ascii="宋体" w:hAnsi="宋体"/>
      <w:sz w:val="24"/>
    </w:rPr>
  </w:style>
  <w:style w:type="paragraph" w:styleId="15">
    <w:name w:val="Body Text Indent"/>
    <w:basedOn w:val="1"/>
    <w:next w:val="1"/>
    <w:link w:val="91"/>
    <w:autoRedefine/>
    <w:qFormat/>
    <w:uiPriority w:val="0"/>
    <w:pPr>
      <w:spacing w:after="120"/>
      <w:ind w:left="420" w:leftChars="200"/>
    </w:pPr>
  </w:style>
  <w:style w:type="paragraph" w:styleId="16">
    <w:name w:val="List 2"/>
    <w:basedOn w:val="1"/>
    <w:autoRedefine/>
    <w:qFormat/>
    <w:uiPriority w:val="0"/>
    <w:pPr>
      <w:ind w:left="100" w:leftChars="200" w:hanging="200" w:hangingChars="200"/>
    </w:pPr>
  </w:style>
  <w:style w:type="paragraph" w:styleId="17">
    <w:name w:val="index 4"/>
    <w:basedOn w:val="1"/>
    <w:next w:val="1"/>
    <w:autoRedefine/>
    <w:unhideWhenUsed/>
    <w:qFormat/>
    <w:uiPriority w:val="99"/>
    <w:rPr>
      <w:rFonts w:ascii="Times New Roman" w:hAnsi="Times New Roman"/>
      <w:szCs w:val="20"/>
    </w:rPr>
  </w:style>
  <w:style w:type="paragraph" w:styleId="18">
    <w:name w:val="toc 5"/>
    <w:basedOn w:val="1"/>
    <w:next w:val="1"/>
    <w:autoRedefine/>
    <w:qFormat/>
    <w:uiPriority w:val="39"/>
    <w:pPr>
      <w:ind w:left="800" w:leftChars="800"/>
    </w:pPr>
  </w:style>
  <w:style w:type="paragraph" w:styleId="19">
    <w:name w:val="toc 3"/>
    <w:basedOn w:val="1"/>
    <w:next w:val="1"/>
    <w:autoRedefine/>
    <w:qFormat/>
    <w:uiPriority w:val="39"/>
    <w:pPr>
      <w:ind w:left="400" w:leftChars="400"/>
    </w:pPr>
  </w:style>
  <w:style w:type="paragraph" w:styleId="20">
    <w:name w:val="Plain Text"/>
    <w:basedOn w:val="1"/>
    <w:next w:val="18"/>
    <w:autoRedefine/>
    <w:qFormat/>
    <w:uiPriority w:val="0"/>
    <w:rPr>
      <w:rFonts w:ascii="宋体"/>
    </w:rPr>
  </w:style>
  <w:style w:type="paragraph" w:styleId="21">
    <w:name w:val="toc 8"/>
    <w:basedOn w:val="1"/>
    <w:next w:val="1"/>
    <w:autoRedefine/>
    <w:qFormat/>
    <w:uiPriority w:val="39"/>
    <w:pPr>
      <w:ind w:left="1400" w:leftChars="1400"/>
    </w:pPr>
  </w:style>
  <w:style w:type="paragraph" w:styleId="22">
    <w:name w:val="Date"/>
    <w:basedOn w:val="1"/>
    <w:next w:val="1"/>
    <w:autoRedefine/>
    <w:qFormat/>
    <w:uiPriority w:val="0"/>
    <w:pPr>
      <w:ind w:left="2500" w:leftChars="2500"/>
    </w:pPr>
    <w:rPr>
      <w:rFonts w:ascii="Times New Roman" w:hAnsi="Times New Roman"/>
      <w:szCs w:val="20"/>
    </w:rPr>
  </w:style>
  <w:style w:type="paragraph" w:styleId="23">
    <w:name w:val="Balloon Text"/>
    <w:basedOn w:val="1"/>
    <w:autoRedefine/>
    <w:qFormat/>
    <w:uiPriority w:val="0"/>
    <w:rPr>
      <w:rFonts w:ascii="Times New Roman" w:hAnsi="Times New Roman"/>
      <w:sz w:val="18"/>
      <w:szCs w:val="20"/>
    </w:rPr>
  </w:style>
  <w:style w:type="paragraph" w:styleId="24">
    <w:name w:val="footer"/>
    <w:basedOn w:val="1"/>
    <w:autoRedefine/>
    <w:qFormat/>
    <w:uiPriority w:val="0"/>
    <w:pPr>
      <w:tabs>
        <w:tab w:val="center" w:pos="4153"/>
        <w:tab w:val="right" w:pos="8306"/>
      </w:tabs>
      <w:snapToGrid w:val="0"/>
      <w:jc w:val="left"/>
    </w:pPr>
    <w:rPr>
      <w:sz w:val="18"/>
    </w:rPr>
  </w:style>
  <w:style w:type="paragraph" w:styleId="25">
    <w:name w:val="header"/>
    <w:basedOn w:val="1"/>
    <w:autoRedefine/>
    <w:qFormat/>
    <w:uiPriority w:val="0"/>
    <w:pPr>
      <w:tabs>
        <w:tab w:val="center" w:pos="4153"/>
        <w:tab w:val="right" w:pos="8306"/>
      </w:tabs>
      <w:snapToGrid w:val="0"/>
    </w:pPr>
    <w:rPr>
      <w:rFonts w:ascii="Times New Roman" w:hAnsi="Times New Roman"/>
      <w:sz w:val="18"/>
      <w:szCs w:val="20"/>
    </w:rPr>
  </w:style>
  <w:style w:type="paragraph" w:styleId="26">
    <w:name w:val="toc 1"/>
    <w:basedOn w:val="1"/>
    <w:next w:val="1"/>
    <w:autoRedefine/>
    <w:qFormat/>
    <w:uiPriority w:val="39"/>
  </w:style>
  <w:style w:type="paragraph" w:styleId="27">
    <w:name w:val="toc 4"/>
    <w:basedOn w:val="1"/>
    <w:next w:val="1"/>
    <w:autoRedefine/>
    <w:qFormat/>
    <w:uiPriority w:val="39"/>
    <w:pPr>
      <w:ind w:left="600" w:leftChars="600"/>
    </w:pPr>
  </w:style>
  <w:style w:type="paragraph" w:styleId="28">
    <w:name w:val="toc 6"/>
    <w:basedOn w:val="1"/>
    <w:next w:val="1"/>
    <w:autoRedefine/>
    <w:qFormat/>
    <w:uiPriority w:val="39"/>
    <w:pPr>
      <w:ind w:left="1000" w:leftChars="1000"/>
    </w:pPr>
  </w:style>
  <w:style w:type="paragraph" w:styleId="29">
    <w:name w:val="Body Text Indent 3"/>
    <w:basedOn w:val="1"/>
    <w:autoRedefine/>
    <w:qFormat/>
    <w:uiPriority w:val="0"/>
    <w:pPr>
      <w:spacing w:after="120"/>
      <w:ind w:left="200" w:leftChars="200"/>
    </w:pPr>
    <w:rPr>
      <w:sz w:val="16"/>
      <w:szCs w:val="16"/>
    </w:rPr>
  </w:style>
  <w:style w:type="paragraph" w:styleId="30">
    <w:name w:val="toc 2"/>
    <w:basedOn w:val="1"/>
    <w:next w:val="1"/>
    <w:autoRedefine/>
    <w:qFormat/>
    <w:uiPriority w:val="39"/>
    <w:pPr>
      <w:ind w:left="200" w:leftChars="200"/>
    </w:pPr>
  </w:style>
  <w:style w:type="paragraph" w:styleId="31">
    <w:name w:val="toc 9"/>
    <w:basedOn w:val="1"/>
    <w:next w:val="1"/>
    <w:autoRedefine/>
    <w:qFormat/>
    <w:uiPriority w:val="39"/>
    <w:pPr>
      <w:ind w:left="1600" w:leftChars="1600"/>
    </w:pPr>
  </w:style>
  <w:style w:type="paragraph" w:styleId="32">
    <w:name w:val="Normal (Web)"/>
    <w:basedOn w:val="1"/>
    <w:autoRedefine/>
    <w:qFormat/>
    <w:uiPriority w:val="0"/>
    <w:pPr>
      <w:wordWrap w:val="0"/>
      <w:jc w:val="left"/>
    </w:pPr>
    <w:rPr>
      <w:rFonts w:ascii="微软雅黑" w:hAnsi="微软雅黑" w:eastAsia="微软雅黑"/>
      <w:color w:val="333333"/>
      <w:kern w:val="0"/>
      <w:szCs w:val="21"/>
    </w:rPr>
  </w:style>
  <w:style w:type="paragraph" w:styleId="33">
    <w:name w:val="Title"/>
    <w:basedOn w:val="1"/>
    <w:next w:val="20"/>
    <w:autoRedefine/>
    <w:qFormat/>
    <w:uiPriority w:val="0"/>
    <w:pPr>
      <w:spacing w:before="240" w:after="60"/>
      <w:outlineLvl w:val="0"/>
    </w:pPr>
    <w:rPr>
      <w:rFonts w:ascii="Arial" w:hAnsi="Arial"/>
      <w:sz w:val="28"/>
      <w:szCs w:val="24"/>
    </w:rPr>
  </w:style>
  <w:style w:type="paragraph" w:styleId="34">
    <w:name w:val="annotation subject"/>
    <w:basedOn w:val="11"/>
    <w:next w:val="11"/>
    <w:autoRedefine/>
    <w:qFormat/>
    <w:uiPriority w:val="0"/>
  </w:style>
  <w:style w:type="paragraph" w:styleId="35">
    <w:name w:val="Body Text First Indent"/>
    <w:basedOn w:val="13"/>
    <w:next w:val="7"/>
    <w:autoRedefine/>
    <w:qFormat/>
    <w:uiPriority w:val="0"/>
    <w:pPr>
      <w:ind w:firstLine="420" w:firstLineChars="100"/>
    </w:pPr>
  </w:style>
  <w:style w:type="paragraph" w:styleId="36">
    <w:name w:val="Body Text First Indent 2"/>
    <w:basedOn w:val="15"/>
    <w:next w:val="1"/>
    <w:link w:val="90"/>
    <w:autoRedefine/>
    <w:qFormat/>
    <w:uiPriority w:val="99"/>
    <w:pPr>
      <w:ind w:firstLine="420"/>
    </w:pPr>
  </w:style>
  <w:style w:type="table" w:styleId="38">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40">
    <w:name w:val="Strong"/>
    <w:autoRedefine/>
    <w:qFormat/>
    <w:uiPriority w:val="0"/>
    <w:rPr>
      <w:b/>
      <w:bCs/>
    </w:rPr>
  </w:style>
  <w:style w:type="character" w:styleId="41">
    <w:name w:val="page number"/>
    <w:basedOn w:val="39"/>
    <w:autoRedefine/>
    <w:qFormat/>
    <w:uiPriority w:val="0"/>
  </w:style>
  <w:style w:type="character" w:styleId="42">
    <w:name w:val="FollowedHyperlink"/>
    <w:basedOn w:val="39"/>
    <w:autoRedefine/>
    <w:semiHidden/>
    <w:unhideWhenUsed/>
    <w:qFormat/>
    <w:uiPriority w:val="0"/>
    <w:rPr>
      <w:color w:val="800080"/>
      <w:u w:val="none"/>
    </w:rPr>
  </w:style>
  <w:style w:type="character" w:styleId="43">
    <w:name w:val="Emphasis"/>
    <w:basedOn w:val="39"/>
    <w:autoRedefine/>
    <w:qFormat/>
    <w:uiPriority w:val="0"/>
  </w:style>
  <w:style w:type="character" w:styleId="44">
    <w:name w:val="HTML Definition"/>
    <w:basedOn w:val="39"/>
    <w:autoRedefine/>
    <w:semiHidden/>
    <w:unhideWhenUsed/>
    <w:qFormat/>
    <w:uiPriority w:val="0"/>
  </w:style>
  <w:style w:type="character" w:styleId="45">
    <w:name w:val="HTML Typewriter"/>
    <w:basedOn w:val="39"/>
    <w:autoRedefine/>
    <w:semiHidden/>
    <w:unhideWhenUsed/>
    <w:qFormat/>
    <w:uiPriority w:val="0"/>
    <w:rPr>
      <w:rFonts w:hint="default" w:ascii="monospace" w:hAnsi="monospace" w:eastAsia="monospace" w:cs="monospace"/>
      <w:sz w:val="20"/>
    </w:rPr>
  </w:style>
  <w:style w:type="character" w:styleId="46">
    <w:name w:val="HTML Acronym"/>
    <w:basedOn w:val="39"/>
    <w:autoRedefine/>
    <w:semiHidden/>
    <w:unhideWhenUsed/>
    <w:qFormat/>
    <w:uiPriority w:val="0"/>
  </w:style>
  <w:style w:type="character" w:styleId="47">
    <w:name w:val="HTML Variable"/>
    <w:basedOn w:val="39"/>
    <w:autoRedefine/>
    <w:semiHidden/>
    <w:unhideWhenUsed/>
    <w:qFormat/>
    <w:uiPriority w:val="0"/>
  </w:style>
  <w:style w:type="character" w:styleId="48">
    <w:name w:val="Hyperlink"/>
    <w:basedOn w:val="39"/>
    <w:autoRedefine/>
    <w:qFormat/>
    <w:uiPriority w:val="99"/>
    <w:rPr>
      <w:color w:val="0000FF"/>
      <w:u w:val="none"/>
    </w:rPr>
  </w:style>
  <w:style w:type="character" w:styleId="49">
    <w:name w:val="HTML Code"/>
    <w:basedOn w:val="39"/>
    <w:autoRedefine/>
    <w:semiHidden/>
    <w:unhideWhenUsed/>
    <w:qFormat/>
    <w:uiPriority w:val="0"/>
    <w:rPr>
      <w:rFonts w:ascii="monospace" w:hAnsi="monospace" w:eastAsia="monospace" w:cs="monospace"/>
      <w:sz w:val="20"/>
    </w:rPr>
  </w:style>
  <w:style w:type="character" w:styleId="50">
    <w:name w:val="annotation reference"/>
    <w:autoRedefine/>
    <w:qFormat/>
    <w:uiPriority w:val="0"/>
    <w:rPr>
      <w:sz w:val="21"/>
    </w:rPr>
  </w:style>
  <w:style w:type="character" w:styleId="51">
    <w:name w:val="HTML Cite"/>
    <w:basedOn w:val="39"/>
    <w:autoRedefine/>
    <w:semiHidden/>
    <w:unhideWhenUsed/>
    <w:qFormat/>
    <w:uiPriority w:val="0"/>
  </w:style>
  <w:style w:type="character" w:styleId="52">
    <w:name w:val="HTML Keyboard"/>
    <w:basedOn w:val="39"/>
    <w:autoRedefine/>
    <w:semiHidden/>
    <w:unhideWhenUsed/>
    <w:qFormat/>
    <w:uiPriority w:val="0"/>
    <w:rPr>
      <w:rFonts w:hint="default" w:ascii="monospace" w:hAnsi="monospace" w:eastAsia="monospace" w:cs="monospace"/>
      <w:sz w:val="20"/>
    </w:rPr>
  </w:style>
  <w:style w:type="character" w:styleId="53">
    <w:name w:val="HTML Sample"/>
    <w:basedOn w:val="39"/>
    <w:autoRedefine/>
    <w:semiHidden/>
    <w:unhideWhenUsed/>
    <w:qFormat/>
    <w:uiPriority w:val="0"/>
    <w:rPr>
      <w:rFonts w:hint="default" w:ascii="monospace" w:hAnsi="monospace" w:eastAsia="monospace" w:cs="monospace"/>
    </w:rPr>
  </w:style>
  <w:style w:type="paragraph" w:customStyle="1" w:styleId="54">
    <w:name w:val="样式 首行缩进:  2 字符"/>
    <w:basedOn w:val="1"/>
    <w:autoRedefine/>
    <w:qFormat/>
    <w:uiPriority w:val="0"/>
    <w:pPr>
      <w:ind w:firstLine="560"/>
    </w:pPr>
    <w:rPr>
      <w:rFonts w:eastAsia="仿宋_GB2312" w:cs="宋体"/>
      <w:sz w:val="24"/>
    </w:rPr>
  </w:style>
  <w:style w:type="paragraph" w:customStyle="1" w:styleId="55">
    <w:name w:val="Default"/>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6">
    <w:name w:val="首行缩进"/>
    <w:basedOn w:val="57"/>
    <w:next w:val="1"/>
    <w:autoRedefine/>
    <w:qFormat/>
    <w:uiPriority w:val="0"/>
    <w:pPr>
      <w:spacing w:line="360" w:lineRule="auto"/>
      <w:ind w:firstLine="480" w:firstLineChars="200"/>
    </w:pPr>
    <w:rPr>
      <w:rFonts w:ascii="宋体" w:hAnsi="宋体" w:cs="宋体"/>
      <w:kern w:val="0"/>
      <w:sz w:val="24"/>
      <w:szCs w:val="24"/>
    </w:rPr>
  </w:style>
  <w:style w:type="paragraph" w:customStyle="1" w:styleId="57">
    <w:name w:val="正文11"/>
    <w:next w:val="56"/>
    <w:qFormat/>
    <w:uiPriority w:val="0"/>
    <w:pPr>
      <w:widowControl w:val="0"/>
      <w:jc w:val="both"/>
    </w:pPr>
    <w:rPr>
      <w:rFonts w:ascii="Calibri" w:hAnsi="Calibri" w:eastAsia="宋体" w:cs="Times New Roman"/>
      <w:kern w:val="2"/>
      <w:sz w:val="21"/>
      <w:szCs w:val="24"/>
      <w:lang w:val="en-US" w:eastAsia="zh-CN" w:bidi="ar-SA"/>
    </w:rPr>
  </w:style>
  <w:style w:type="character" w:customStyle="1" w:styleId="58">
    <w:name w:val="style_kwd"/>
    <w:basedOn w:val="39"/>
    <w:autoRedefine/>
    <w:qFormat/>
    <w:uiPriority w:val="0"/>
  </w:style>
  <w:style w:type="character" w:customStyle="1" w:styleId="59">
    <w:name w:val="批注文字 Char1"/>
    <w:autoRedefine/>
    <w:qFormat/>
    <w:uiPriority w:val="0"/>
    <w:rPr>
      <w:rFonts w:ascii="Times New Roman" w:hAnsi="Times New Roman" w:eastAsia="宋体" w:cs="Times New Roman"/>
      <w:sz w:val="20"/>
      <w:szCs w:val="20"/>
      <w:lang w:bidi="ar-SA"/>
    </w:rPr>
  </w:style>
  <w:style w:type="character" w:customStyle="1" w:styleId="60">
    <w:name w:val="Comment Text Char"/>
    <w:autoRedefine/>
    <w:qFormat/>
    <w:uiPriority w:val="0"/>
  </w:style>
  <w:style w:type="paragraph" w:customStyle="1" w:styleId="61">
    <w:name w:val="修订1"/>
    <w:autoRedefine/>
    <w:qFormat/>
    <w:uiPriority w:val="0"/>
    <w:rPr>
      <w:rFonts w:ascii="Times New Roman" w:hAnsi="Times New Roman" w:eastAsia="宋体" w:cs="Times New Roman"/>
      <w:kern w:val="2"/>
      <w:sz w:val="21"/>
      <w:lang w:val="en-US" w:eastAsia="zh-CN" w:bidi="ar-SA"/>
    </w:rPr>
  </w:style>
  <w:style w:type="paragraph" w:customStyle="1" w:styleId="62">
    <w:name w:val="_Style 23"/>
    <w:basedOn w:val="1"/>
    <w:autoRedefine/>
    <w:qFormat/>
    <w:uiPriority w:val="0"/>
    <w:pPr>
      <w:widowControl/>
      <w:spacing w:after="160" w:line="240" w:lineRule="exact"/>
      <w:jc w:val="left"/>
    </w:pPr>
  </w:style>
  <w:style w:type="paragraph" w:customStyle="1" w:styleId="63">
    <w:name w:val="TOC 标题1"/>
    <w:basedOn w:val="2"/>
    <w:next w:val="1"/>
    <w:autoRedefine/>
    <w:qFormat/>
    <w:uiPriority w:val="39"/>
    <w:pPr>
      <w:widowControl/>
      <w:spacing w:before="480" w:after="0" w:line="276" w:lineRule="auto"/>
      <w:outlineLvl w:val="9"/>
    </w:pPr>
    <w:rPr>
      <w:rFonts w:ascii="Cambria" w:hAnsi="Cambria"/>
      <w:color w:val="365F91"/>
      <w:kern w:val="0"/>
      <w:sz w:val="28"/>
    </w:rPr>
  </w:style>
  <w:style w:type="character" w:customStyle="1" w:styleId="64">
    <w:name w:val="批注文字 字符"/>
    <w:basedOn w:val="39"/>
    <w:link w:val="11"/>
    <w:autoRedefine/>
    <w:qFormat/>
    <w:uiPriority w:val="0"/>
    <w:rPr>
      <w:rFonts w:eastAsia="宋体"/>
      <w:kern w:val="2"/>
      <w:sz w:val="21"/>
    </w:rPr>
  </w:style>
  <w:style w:type="character" w:customStyle="1" w:styleId="65">
    <w:name w:val="正文文本 3 字符"/>
    <w:basedOn w:val="39"/>
    <w:link w:val="12"/>
    <w:autoRedefine/>
    <w:qFormat/>
    <w:uiPriority w:val="0"/>
    <w:rPr>
      <w:rFonts w:asciiTheme="minorEastAsia" w:hAnsiTheme="minorEastAsia" w:eastAsiaTheme="minorEastAsia"/>
      <w:color w:val="FF0000"/>
      <w:kern w:val="2"/>
      <w:sz w:val="21"/>
      <w:szCs w:val="21"/>
    </w:rPr>
  </w:style>
  <w:style w:type="character" w:customStyle="1" w:styleId="66">
    <w:name w:val="font161"/>
    <w:autoRedefine/>
    <w:qFormat/>
    <w:uiPriority w:val="0"/>
    <w:rPr>
      <w:b/>
      <w:bCs/>
      <w:sz w:val="32"/>
      <w:szCs w:val="32"/>
    </w:rPr>
  </w:style>
  <w:style w:type="character" w:customStyle="1" w:styleId="67">
    <w:name w:val="font21"/>
    <w:basedOn w:val="39"/>
    <w:autoRedefine/>
    <w:qFormat/>
    <w:uiPriority w:val="0"/>
    <w:rPr>
      <w:rFonts w:hint="eastAsia" w:ascii="宋体" w:hAnsi="宋体" w:eastAsia="宋体" w:cs="宋体"/>
      <w:color w:val="000000"/>
      <w:sz w:val="20"/>
      <w:szCs w:val="20"/>
      <w:u w:val="single"/>
    </w:rPr>
  </w:style>
  <w:style w:type="paragraph" w:styleId="68">
    <w:name w:val="List Paragraph"/>
    <w:basedOn w:val="1"/>
    <w:autoRedefine/>
    <w:qFormat/>
    <w:uiPriority w:val="1"/>
    <w:pPr>
      <w:ind w:firstLine="420" w:firstLineChars="200"/>
    </w:pPr>
    <w:rPr>
      <w:rFonts w:asciiTheme="minorHAnsi" w:hAnsiTheme="minorHAnsi" w:eastAsiaTheme="minorEastAsia" w:cstheme="minorBidi"/>
    </w:rPr>
  </w:style>
  <w:style w:type="paragraph" w:customStyle="1" w:styleId="69">
    <w:name w:val="样式"/>
    <w:autoRedefine/>
    <w:qFormat/>
    <w:uiPriority w:val="0"/>
    <w:pPr>
      <w:widowControl w:val="0"/>
      <w:autoSpaceDE w:val="0"/>
      <w:autoSpaceDN w:val="0"/>
      <w:adjustRightInd w:val="0"/>
    </w:pPr>
    <w:rPr>
      <w:rFonts w:ascii="宋体" w:hAnsi="宋体" w:eastAsia="宋体" w:cs="Times New Roman"/>
      <w:sz w:val="24"/>
      <w:szCs w:val="22"/>
      <w:lang w:val="en-US" w:eastAsia="zh-CN" w:bidi="ar-SA"/>
    </w:rPr>
  </w:style>
  <w:style w:type="character" w:customStyle="1" w:styleId="70">
    <w:name w:val="font91"/>
    <w:basedOn w:val="39"/>
    <w:autoRedefine/>
    <w:qFormat/>
    <w:uiPriority w:val="0"/>
    <w:rPr>
      <w:rFonts w:ascii="Calibri" w:hAnsi="Calibri" w:cs="Calibri"/>
      <w:b/>
      <w:color w:val="000000"/>
      <w:sz w:val="32"/>
      <w:szCs w:val="32"/>
      <w:u w:val="none"/>
    </w:rPr>
  </w:style>
  <w:style w:type="character" w:customStyle="1" w:styleId="71">
    <w:name w:val="font81"/>
    <w:basedOn w:val="39"/>
    <w:autoRedefine/>
    <w:qFormat/>
    <w:uiPriority w:val="0"/>
    <w:rPr>
      <w:rFonts w:hint="eastAsia" w:ascii="宋体" w:hAnsi="宋体" w:eastAsia="宋体" w:cs="宋体"/>
      <w:b/>
      <w:color w:val="000000"/>
      <w:sz w:val="32"/>
      <w:szCs w:val="32"/>
      <w:u w:val="none"/>
    </w:rPr>
  </w:style>
  <w:style w:type="character" w:customStyle="1" w:styleId="72">
    <w:name w:val="font131"/>
    <w:basedOn w:val="39"/>
    <w:autoRedefine/>
    <w:qFormat/>
    <w:uiPriority w:val="0"/>
    <w:rPr>
      <w:rFonts w:hint="eastAsia" w:ascii="宋体" w:hAnsi="宋体" w:eastAsia="宋体" w:cs="宋体"/>
      <w:color w:val="000000"/>
      <w:sz w:val="24"/>
      <w:szCs w:val="24"/>
      <w:u w:val="none"/>
    </w:rPr>
  </w:style>
  <w:style w:type="character" w:customStyle="1" w:styleId="73">
    <w:name w:val="font71"/>
    <w:basedOn w:val="39"/>
    <w:autoRedefine/>
    <w:qFormat/>
    <w:uiPriority w:val="0"/>
    <w:rPr>
      <w:rFonts w:hint="eastAsia" w:ascii="宋体" w:hAnsi="宋体" w:eastAsia="宋体" w:cs="宋体"/>
      <w:color w:val="000000"/>
      <w:sz w:val="12"/>
      <w:szCs w:val="12"/>
      <w:u w:val="none"/>
      <w:vertAlign w:val="superscript"/>
    </w:rPr>
  </w:style>
  <w:style w:type="character" w:customStyle="1" w:styleId="74">
    <w:name w:val="font61"/>
    <w:basedOn w:val="39"/>
    <w:autoRedefine/>
    <w:qFormat/>
    <w:uiPriority w:val="0"/>
    <w:rPr>
      <w:rFonts w:hint="eastAsia" w:ascii="宋体" w:hAnsi="宋体" w:eastAsia="宋体" w:cs="宋体"/>
      <w:color w:val="000000"/>
      <w:sz w:val="18"/>
      <w:szCs w:val="18"/>
      <w:u w:val="none"/>
    </w:rPr>
  </w:style>
  <w:style w:type="paragraph" w:customStyle="1" w:styleId="75">
    <w:name w:val="正文文本 2 New New"/>
    <w:autoRedefine/>
    <w:qFormat/>
    <w:uiPriority w:val="0"/>
    <w:pPr>
      <w:widowControl w:val="0"/>
      <w:adjustRightInd w:val="0"/>
      <w:snapToGrid w:val="0"/>
      <w:spacing w:line="480" w:lineRule="atLeast"/>
      <w:jc w:val="both"/>
    </w:pPr>
    <w:rPr>
      <w:rFonts w:ascii="宋体" w:hAnsi="宋体" w:eastAsia="宋体" w:cs="Times New Roman"/>
      <w:kern w:val="2"/>
      <w:sz w:val="28"/>
      <w:szCs w:val="24"/>
      <w:lang w:val="en-US" w:eastAsia="zh-CN" w:bidi="ar-SA"/>
    </w:rPr>
  </w:style>
  <w:style w:type="paragraph" w:customStyle="1" w:styleId="76">
    <w:name w:val="Table Paragraph"/>
    <w:autoRedefine/>
    <w:qFormat/>
    <w:uiPriority w:val="1"/>
    <w:pPr>
      <w:widowControl w:val="0"/>
      <w:autoSpaceDE w:val="0"/>
      <w:autoSpaceDN w:val="0"/>
    </w:pPr>
    <w:rPr>
      <w:rFonts w:ascii="宋体" w:hAnsi="宋体" w:eastAsia="宋体" w:cs="宋体"/>
      <w:sz w:val="22"/>
      <w:szCs w:val="22"/>
      <w:lang w:val="zh-CN" w:eastAsia="zh-CN" w:bidi="zh-CN"/>
    </w:rPr>
  </w:style>
  <w:style w:type="character" w:customStyle="1" w:styleId="77">
    <w:name w:val="font51"/>
    <w:basedOn w:val="39"/>
    <w:autoRedefine/>
    <w:qFormat/>
    <w:uiPriority w:val="0"/>
    <w:rPr>
      <w:rFonts w:hint="eastAsia" w:ascii="微软雅黑" w:hAnsi="微软雅黑" w:eastAsia="微软雅黑" w:cs="微软雅黑"/>
      <w:color w:val="000000"/>
      <w:sz w:val="16"/>
      <w:szCs w:val="16"/>
      <w:u w:val="none"/>
    </w:rPr>
  </w:style>
  <w:style w:type="paragraph" w:customStyle="1" w:styleId="78">
    <w:name w:val="p0"/>
    <w:basedOn w:val="1"/>
    <w:autoRedefine/>
    <w:qFormat/>
    <w:uiPriority w:val="0"/>
    <w:pPr>
      <w:widowControl/>
    </w:pPr>
    <w:rPr>
      <w:rFonts w:cs="宋体"/>
      <w:kern w:val="0"/>
      <w:szCs w:val="21"/>
    </w:rPr>
  </w:style>
  <w:style w:type="paragraph" w:customStyle="1" w:styleId="79">
    <w:name w:val="WPSOffice手动目录 1"/>
    <w:autoRedefine/>
    <w:qFormat/>
    <w:uiPriority w:val="0"/>
    <w:rPr>
      <w:rFonts w:ascii="Times New Roman" w:hAnsi="Times New Roman" w:eastAsia="宋体" w:cs="Times New Roman"/>
      <w:lang w:val="en-US" w:eastAsia="zh-CN" w:bidi="ar-SA"/>
    </w:rPr>
  </w:style>
  <w:style w:type="character" w:customStyle="1" w:styleId="80">
    <w:name w:val="15"/>
    <w:basedOn w:val="39"/>
    <w:autoRedefine/>
    <w:qFormat/>
    <w:uiPriority w:val="0"/>
    <w:rPr>
      <w:rFonts w:hint="default" w:ascii="Times New Roman" w:hAnsi="Times New Roman" w:cs="Times New Roman"/>
    </w:rPr>
  </w:style>
  <w:style w:type="character" w:customStyle="1" w:styleId="81">
    <w:name w:val="10"/>
    <w:basedOn w:val="39"/>
    <w:autoRedefine/>
    <w:qFormat/>
    <w:uiPriority w:val="0"/>
    <w:rPr>
      <w:rFonts w:hint="default" w:ascii="Times New Roman" w:hAnsi="Times New Roman" w:cs="Times New Roman"/>
    </w:rPr>
  </w:style>
  <w:style w:type="table" w:customStyle="1" w:styleId="82">
    <w:name w:val="Table Normal"/>
    <w:autoRedefine/>
    <w:semiHidden/>
    <w:unhideWhenUsed/>
    <w:qFormat/>
    <w:uiPriority w:val="0"/>
    <w:tblPr>
      <w:tblCellMar>
        <w:top w:w="0" w:type="dxa"/>
        <w:left w:w="0" w:type="dxa"/>
        <w:bottom w:w="0" w:type="dxa"/>
        <w:right w:w="0" w:type="dxa"/>
      </w:tblCellMar>
    </w:tblPr>
  </w:style>
  <w:style w:type="character" w:customStyle="1" w:styleId="83">
    <w:name w:val="@-加粗下划线字体"/>
    <w:autoRedefine/>
    <w:qFormat/>
    <w:locked/>
    <w:uiPriority w:val="0"/>
    <w:rPr>
      <w:rFonts w:eastAsia="仿宋_GB2312"/>
      <w:color w:val="0000FF"/>
      <w:sz w:val="21"/>
      <w:u w:val="none"/>
    </w:rPr>
  </w:style>
  <w:style w:type="character" w:customStyle="1" w:styleId="84">
    <w:name w:val="NormalCharacter"/>
    <w:autoRedefine/>
    <w:qFormat/>
    <w:uiPriority w:val="99"/>
    <w:rPr>
      <w:kern w:val="2"/>
      <w:sz w:val="21"/>
      <w:szCs w:val="24"/>
      <w:lang w:val="en-US" w:eastAsia="zh-CN" w:bidi="ar-SA"/>
    </w:rPr>
  </w:style>
  <w:style w:type="character" w:customStyle="1" w:styleId="85">
    <w:name w:val="标题 4 字符"/>
    <w:basedOn w:val="39"/>
    <w:link w:val="5"/>
    <w:autoRedefine/>
    <w:semiHidden/>
    <w:qFormat/>
    <w:uiPriority w:val="0"/>
    <w:rPr>
      <w:rFonts w:asciiTheme="majorHAnsi" w:hAnsiTheme="majorHAnsi" w:eastAsiaTheme="majorEastAsia" w:cstheme="majorBidi"/>
      <w:b/>
      <w:bCs/>
      <w:kern w:val="2"/>
      <w:sz w:val="28"/>
      <w:szCs w:val="28"/>
    </w:rPr>
  </w:style>
  <w:style w:type="paragraph" w:styleId="86">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格式"/>
    <w:basedOn w:val="13"/>
    <w:autoRedefine/>
    <w:qFormat/>
    <w:uiPriority w:val="0"/>
    <w:pPr>
      <w:widowControl/>
      <w:adjustRightInd w:val="0"/>
      <w:snapToGrid w:val="0"/>
      <w:spacing w:after="0" w:line="400" w:lineRule="atLeast"/>
      <w:ind w:firstLine="482"/>
      <w:textAlignment w:val="baseline"/>
    </w:pPr>
    <w:rPr>
      <w:rFonts w:ascii="宋体" w:hAnsi="宋体" w:cs="宋体"/>
      <w:sz w:val="24"/>
      <w:szCs w:val="20"/>
      <w:lang w:val="zh-CN" w:bidi="zh-CN"/>
    </w:rPr>
  </w:style>
  <w:style w:type="paragraph" w:customStyle="1" w:styleId="88">
    <w:name w:val="样式 标题 2 + Times New Roman 四号 非加粗 段前: 5 磅 段后: 0 磅 行距: 固定值 20..."/>
    <w:basedOn w:val="3"/>
    <w:autoRedefine/>
    <w:qFormat/>
    <w:uiPriority w:val="99"/>
    <w:pPr>
      <w:spacing w:before="100" w:after="0" w:line="400" w:lineRule="exact"/>
      <w:ind w:firstLine="420" w:firstLineChars="200"/>
    </w:pPr>
    <w:rPr>
      <w:rFonts w:ascii="Times New Roman" w:hAnsi="Times New Roman" w:cs="宋体"/>
      <w:b w:val="0"/>
      <w:color w:val="000000"/>
      <w:sz w:val="28"/>
    </w:rPr>
  </w:style>
  <w:style w:type="paragraph" w:customStyle="1" w:styleId="89">
    <w:name w:val="列表段落1"/>
    <w:basedOn w:val="1"/>
    <w:autoRedefine/>
    <w:qFormat/>
    <w:uiPriority w:val="34"/>
    <w:pPr>
      <w:ind w:firstLine="420" w:firstLineChars="200"/>
    </w:pPr>
  </w:style>
  <w:style w:type="character" w:customStyle="1" w:styleId="90">
    <w:name w:val="正文首行缩进 2 字符"/>
    <w:basedOn w:val="91"/>
    <w:link w:val="36"/>
    <w:autoRedefine/>
    <w:qFormat/>
    <w:uiPriority w:val="0"/>
    <w:rPr>
      <w:kern w:val="2"/>
      <w:sz w:val="21"/>
      <w:szCs w:val="24"/>
    </w:rPr>
  </w:style>
  <w:style w:type="character" w:customStyle="1" w:styleId="91">
    <w:name w:val="正文文本缩进 字符"/>
    <w:basedOn w:val="39"/>
    <w:link w:val="15"/>
    <w:autoRedefine/>
    <w:qFormat/>
    <w:uiPriority w:val="0"/>
    <w:rPr>
      <w:kern w:val="2"/>
      <w:sz w:val="21"/>
      <w:szCs w:val="24"/>
    </w:rPr>
  </w:style>
  <w:style w:type="paragraph" w:customStyle="1" w:styleId="92">
    <w:name w:val="正文1"/>
    <w:next w:val="1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93">
    <w:name w:val="Body text|1"/>
    <w:basedOn w:val="1"/>
    <w:qFormat/>
    <w:uiPriority w:val="99"/>
    <w:pPr>
      <w:spacing w:line="442" w:lineRule="auto"/>
    </w:pPr>
    <w:rPr>
      <w:rFonts w:ascii="宋体" w:hAnsi="宋体"/>
      <w:color w:val="auto"/>
      <w:sz w:val="18"/>
      <w:szCs w:val="18"/>
      <w:lang w:val="zh-TW" w:eastAsia="zh-TW"/>
    </w:rPr>
  </w:style>
  <w:style w:type="character" w:customStyle="1" w:styleId="94">
    <w:name w:val="font151"/>
    <w:basedOn w:val="39"/>
    <w:unhideWhenUsed/>
    <w:qFormat/>
    <w:uiPriority w:val="0"/>
    <w:rPr>
      <w:rFonts w:hint="eastAsia" w:ascii="宋体" w:hAnsi="宋体" w:eastAsia="宋体" w:cs="宋体"/>
      <w:color w:val="000000"/>
      <w:sz w:val="22"/>
      <w:szCs w:val="22"/>
    </w:rPr>
  </w:style>
  <w:style w:type="paragraph" w:customStyle="1" w:styleId="95">
    <w:name w:val="_Style 10"/>
    <w:basedOn w:val="1"/>
    <w:unhideWhenUsed/>
    <w:qFormat/>
    <w:uiPriority w:val="0"/>
    <w:pPr>
      <w:spacing w:beforeLines="0" w:afterLines="0"/>
    </w:pPr>
    <w:rPr>
      <w:rFonts w:hint="default"/>
      <w:sz w:val="21"/>
      <w:szCs w:val="24"/>
    </w:rPr>
  </w:style>
  <w:style w:type="character" w:customStyle="1" w:styleId="96">
    <w:name w:val="font171"/>
    <w:basedOn w:val="39"/>
    <w:qFormat/>
    <w:uiPriority w:val="0"/>
    <w:rPr>
      <w:rFonts w:hint="eastAsia" w:ascii="宋体" w:hAnsi="宋体" w:eastAsia="宋体" w:cs="宋体"/>
      <w:color w:val="000000"/>
      <w:sz w:val="18"/>
      <w:szCs w:val="18"/>
      <w:u w:val="none"/>
    </w:rPr>
  </w:style>
  <w:style w:type="character" w:customStyle="1" w:styleId="97">
    <w:name w:val="font181"/>
    <w:basedOn w:val="39"/>
    <w:qFormat/>
    <w:uiPriority w:val="0"/>
    <w:rPr>
      <w:rFonts w:hint="eastAsia" w:ascii="宋体" w:hAnsi="宋体" w:eastAsia="宋体" w:cs="宋体"/>
      <w:color w:val="000000"/>
      <w:sz w:val="22"/>
      <w:szCs w:val="22"/>
      <w:u w:val="none"/>
    </w:rPr>
  </w:style>
  <w:style w:type="character" w:customStyle="1" w:styleId="98">
    <w:name w:val="font191"/>
    <w:basedOn w:val="39"/>
    <w:qFormat/>
    <w:uiPriority w:val="0"/>
    <w:rPr>
      <w:rFonts w:hint="eastAsia" w:ascii="宋体" w:hAnsi="宋体" w:eastAsia="宋体" w:cs="宋体"/>
      <w:color w:val="000000"/>
      <w:sz w:val="20"/>
      <w:szCs w:val="20"/>
      <w:u w:val="none"/>
    </w:rPr>
  </w:style>
  <w:style w:type="character" w:customStyle="1" w:styleId="99">
    <w:name w:val="font201"/>
    <w:basedOn w:val="39"/>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637CA6-7919-47DA-98B7-AE78217CB99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87</Pages>
  <Words>5653</Words>
  <Characters>6397</Characters>
  <Lines>535</Lines>
  <Paragraphs>150</Paragraphs>
  <TotalTime>8</TotalTime>
  <ScaleCrop>false</ScaleCrop>
  <LinksUpToDate>false</LinksUpToDate>
  <CharactersWithSpaces>6550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2023-10-27T03:10:00Z</dcterms:created>
  <dc:creator>菏发</dc:creator>
  <cp:lastModifiedBy>志谦～布莱恩特</cp:lastModifiedBy>
  <cp:lastPrinted>2022-12-09T10:24:00Z</cp:lastPrinted>
  <dcterms:modified xsi:type="dcterms:W3CDTF">2026-06-05T05:57:20Z</dcterms:modified>
  <dc:title>中华人民共和国</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D32CC669990442E1A6BE5DC4D268EE85_13</vt:lpwstr>
  </property>
  <property fmtid="{D5CDD505-2E9C-101B-9397-08002B2CF9AE}" pid="4" name="KSOTemplateDocerSaveRecord">
    <vt:lpwstr>eyJoZGlkIjoiMTAwZjViNjg5MGRjOWZhMjVjNDgwMTVmYTFkNGQ0MjMiLCJ1c2VySWQiOiIzNDU3MzI0MTgifQ==</vt:lpwstr>
  </property>
</Properties>
</file>