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b w:val="0"/>
          <w:bCs w:val="0"/>
          <w:sz w:val="30"/>
        </w:rPr>
      </w:pPr>
      <w:bookmarkStart w:id="0" w:name="_GoBack"/>
      <w:r>
        <w:rPr>
          <w:rFonts w:hint="eastAsia" w:ascii="宋体" w:hAnsi="宋体"/>
          <w:b w:val="0"/>
          <w:bCs w:val="0"/>
          <w:sz w:val="30"/>
        </w:rPr>
        <w:t>牡丹区公共资源交易领域标准化公开目录</w:t>
      </w:r>
    </w:p>
    <w:bookmarkEnd w:id="0"/>
    <w:p>
      <w:pPr>
        <w:widowControl/>
        <w:jc w:val="left"/>
        <w:rPr>
          <w:rFonts w:ascii="仿宋" w:hAnsi="仿宋" w:eastAsia="仿宋"/>
        </w:rPr>
      </w:pP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833"/>
        <w:gridCol w:w="720"/>
        <w:gridCol w:w="3119"/>
        <w:gridCol w:w="2169"/>
        <w:gridCol w:w="1417"/>
        <w:gridCol w:w="970"/>
        <w:gridCol w:w="1719"/>
        <w:gridCol w:w="665"/>
        <w:gridCol w:w="836"/>
        <w:gridCol w:w="73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kern w:val="0"/>
                <w:sz w:val="22"/>
                <w:szCs w:val="22"/>
              </w:rPr>
              <w:t>序号</w:t>
            </w:r>
          </w:p>
        </w:tc>
        <w:tc>
          <w:tcPr>
            <w:tcW w:w="535"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公开事项</w:t>
            </w:r>
          </w:p>
        </w:tc>
        <w:tc>
          <w:tcPr>
            <w:tcW w:w="1074"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公开内容（要素）</w:t>
            </w:r>
          </w:p>
        </w:tc>
        <w:tc>
          <w:tcPr>
            <w:tcW w:w="747"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公开依据</w:t>
            </w:r>
          </w:p>
        </w:tc>
        <w:tc>
          <w:tcPr>
            <w:tcW w:w="488"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w:t>
            </w:r>
          </w:p>
          <w:p>
            <w:pPr>
              <w:widowControl/>
              <w:jc w:val="center"/>
              <w:rPr>
                <w:rFonts w:ascii="宋体" w:hAnsi="宋体"/>
                <w:kern w:val="0"/>
                <w:sz w:val="22"/>
                <w:szCs w:val="22"/>
              </w:rPr>
            </w:pPr>
            <w:r>
              <w:rPr>
                <w:rFonts w:hint="eastAsia" w:ascii="宋体" w:hAnsi="宋体"/>
                <w:kern w:val="0"/>
                <w:sz w:val="22"/>
                <w:szCs w:val="22"/>
              </w:rPr>
              <w:t>时限</w:t>
            </w:r>
          </w:p>
        </w:tc>
        <w:tc>
          <w:tcPr>
            <w:tcW w:w="334"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w:t>
            </w:r>
          </w:p>
          <w:p>
            <w:pPr>
              <w:widowControl/>
              <w:jc w:val="center"/>
              <w:rPr>
                <w:rFonts w:ascii="宋体" w:hAnsi="宋体"/>
                <w:kern w:val="0"/>
                <w:sz w:val="22"/>
                <w:szCs w:val="22"/>
              </w:rPr>
            </w:pPr>
            <w:r>
              <w:rPr>
                <w:rFonts w:hint="eastAsia" w:ascii="宋体" w:hAnsi="宋体"/>
                <w:kern w:val="0"/>
                <w:sz w:val="22"/>
                <w:szCs w:val="22"/>
              </w:rPr>
              <w:t>主体</w:t>
            </w:r>
          </w:p>
        </w:tc>
        <w:tc>
          <w:tcPr>
            <w:tcW w:w="592"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公开渠道和载体</w:t>
            </w:r>
          </w:p>
        </w:tc>
        <w:tc>
          <w:tcPr>
            <w:tcW w:w="517" w:type="pct"/>
            <w:gridSpan w:val="2"/>
            <w:tcBorders>
              <w:top w:val="single" w:color="auto" w:sz="4" w:space="0"/>
              <w:left w:val="nil"/>
              <w:bottom w:val="nil"/>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公开对象</w:t>
            </w:r>
          </w:p>
        </w:tc>
        <w:tc>
          <w:tcPr>
            <w:tcW w:w="53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287" w:type="pc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一级事项</w:t>
            </w:r>
          </w:p>
        </w:tc>
        <w:tc>
          <w:tcPr>
            <w:tcW w:w="247" w:type="pc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二级事项</w:t>
            </w:r>
          </w:p>
        </w:tc>
        <w:tc>
          <w:tcPr>
            <w:tcW w:w="1074"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747"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488"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334"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592"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229"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全社会</w:t>
            </w:r>
          </w:p>
        </w:tc>
        <w:tc>
          <w:tcPr>
            <w:tcW w:w="287"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特定</w:t>
            </w:r>
          </w:p>
          <w:p>
            <w:pPr>
              <w:widowControl/>
              <w:jc w:val="center"/>
              <w:rPr>
                <w:rFonts w:ascii="宋体" w:hAnsi="宋体"/>
                <w:color w:val="000000"/>
                <w:kern w:val="0"/>
                <w:sz w:val="22"/>
                <w:szCs w:val="22"/>
              </w:rPr>
            </w:pPr>
            <w:r>
              <w:rPr>
                <w:rFonts w:hint="eastAsia" w:ascii="宋体" w:hAnsi="宋体"/>
                <w:color w:val="000000"/>
                <w:kern w:val="0"/>
                <w:sz w:val="22"/>
                <w:szCs w:val="22"/>
              </w:rPr>
              <w:t>群众</w:t>
            </w:r>
          </w:p>
        </w:tc>
        <w:tc>
          <w:tcPr>
            <w:tcW w:w="251"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主动</w:t>
            </w:r>
          </w:p>
        </w:tc>
        <w:tc>
          <w:tcPr>
            <w:tcW w:w="287"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tc>
        <w:tc>
          <w:tcPr>
            <w:tcW w:w="287" w:type="pct"/>
            <w:vMerge w:val="restar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政府采购信息</w:t>
            </w:r>
          </w:p>
          <w:p>
            <w:pPr>
              <w:jc w:val="center"/>
              <w:rPr>
                <w:rFonts w:ascii="宋体" w:hAnsi="宋体"/>
                <w:sz w:val="18"/>
                <w:szCs w:val="18"/>
              </w:rPr>
            </w:pPr>
            <w:r>
              <w:rPr>
                <w:rFonts w:hint="eastAsia" w:ascii="宋体" w:hAnsi="宋体"/>
                <w:sz w:val="18"/>
                <w:szCs w:val="18"/>
              </w:rPr>
              <w:t>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招标公告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《国务院办公厅关于推进公共资源配置领域政府信息公开的意见》、《政府采购货物和服务招标投标管理办法》、《财政部关于做好政府采购信息公开工作的通知》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及时公开，公告期限为5个工作日</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44"/>
                <w:szCs w:val="44"/>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资格预审公告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《国务院办公厅关于推进公共资源配置领域政府信息公开的意见》、《政府采购货物和服务招标投标管理办法》、《财政部关于做好政府采购信息公开工作的通知》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及时公开，公告期限为5个工作日</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287" w:type="pct"/>
            <w:vMerge w:val="restar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政府采购信息 </w:t>
            </w:r>
          </w:p>
          <w:p>
            <w:pPr>
              <w:jc w:val="center"/>
              <w:rPr>
                <w:rFonts w:ascii="宋体" w:hAnsi="宋体"/>
                <w:sz w:val="18"/>
                <w:szCs w:val="18"/>
              </w:rPr>
            </w:pPr>
            <w:r>
              <w:rPr>
                <w:rFonts w:hint="eastAsia" w:ascii="宋体" w:hAnsi="宋体"/>
                <w:sz w:val="18"/>
                <w:szCs w:val="18"/>
              </w:rPr>
              <w:t>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竞争性谈判公告、竞争性磋商公告和询价公告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及时公开，公告期限为3个工作日</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vMerge w:val="restart"/>
            <w:tcBorders>
              <w:top w:val="nil"/>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采购项目预算金额</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随采购公告、采购文件公开</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287" w:type="pct"/>
            <w:vMerge w:val="restar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政府采购信息 </w:t>
            </w:r>
          </w:p>
          <w:p>
            <w:pPr>
              <w:jc w:val="center"/>
              <w:rPr>
                <w:rFonts w:ascii="宋体" w:hAnsi="宋体"/>
                <w:sz w:val="18"/>
                <w:szCs w:val="18"/>
              </w:rPr>
            </w:pPr>
            <w:r>
              <w:rPr>
                <w:rFonts w:hint="eastAsia" w:ascii="宋体" w:hAnsi="宋体"/>
                <w:sz w:val="18"/>
                <w:szCs w:val="18"/>
              </w:rPr>
              <w:t>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采购文件</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招标文件、竞争性谈判文件、竞争性磋商文件和询价通知书。</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随中标、成交结果同时公告。中标、成交结果公告前采购文件已公告的，不再重复公告</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采购信息更正公告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采购人和采购代理机构名称、地址、联系方式；原公告的采购项目名称及首次公告日期；更正事项、内容及日期；采购项目联系人和电话。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投标截止时间至少15日前、提交资格预审申请文件截止时间至少3日前，或者提交首次响应文件截止之日3个工作日前</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287"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政府采购信息 </w:t>
            </w:r>
          </w:p>
          <w:p>
            <w:pPr>
              <w:jc w:val="center"/>
              <w:rPr>
                <w:rFonts w:ascii="宋体" w:hAnsi="宋体"/>
                <w:sz w:val="18"/>
                <w:szCs w:val="18"/>
              </w:rPr>
            </w:pPr>
            <w:r>
              <w:rPr>
                <w:rFonts w:hint="eastAsia" w:ascii="宋体" w:hAnsi="宋体"/>
                <w:sz w:val="18"/>
                <w:szCs w:val="18"/>
              </w:rPr>
              <w:t>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单一来源公示</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及时公开，公示期限不得少于5个工作日</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287" w:type="pct"/>
            <w:vMerge w:val="restar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政府采购信息 </w:t>
            </w:r>
          </w:p>
          <w:p>
            <w:pPr>
              <w:jc w:val="center"/>
              <w:rPr>
                <w:rFonts w:ascii="宋体" w:hAnsi="宋体"/>
                <w:sz w:val="18"/>
                <w:szCs w:val="18"/>
              </w:rPr>
            </w:pPr>
            <w:r>
              <w:rPr>
                <w:rFonts w:hint="eastAsia" w:ascii="宋体" w:hAnsi="宋体"/>
                <w:sz w:val="18"/>
                <w:szCs w:val="18"/>
              </w:rPr>
              <w:t>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中标、成交结果</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自中标、成交供应商确定之日起2个工作日内公告，公告期限为1个工作日</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采购合同</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采购人和采购代理机构名称、地址、联系方式；采购项目名称、编号，合同编号；供应商名称；合同内容。</w:t>
            </w:r>
            <w:r>
              <w:rPr>
                <w:rFonts w:hint="eastAsia" w:ascii="宋体" w:hAnsi="宋体"/>
                <w:sz w:val="18"/>
                <w:szCs w:val="18"/>
              </w:rPr>
              <w:br w:type="textWrapping"/>
            </w:r>
            <w:r>
              <w:rPr>
                <w:rFonts w:hint="eastAsia" w:ascii="宋体" w:hAnsi="宋体"/>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合同签订之日起2个工作日内</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9</w:t>
            </w:r>
          </w:p>
        </w:tc>
        <w:tc>
          <w:tcPr>
            <w:tcW w:w="287" w:type="pct"/>
            <w:vMerge w:val="restar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政府采购信息 </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终止公告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采购人和采购代理机构名称、地址、联系方式；采购项目名称、采购编号，采购方式；采购项目终止原因；公告期限；采购项目联系人和电话。</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及时公开</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公共服务项目采购需求</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采购对象需实现的功能或者目标，满足项目需要的所有技术、服务、安全等要求，采购对象的数量、交付或实施的时间和地点，采购对象的验收标准等。</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《财政部关于做好政府采购信息公开工作的通知》、《关于进一步加强政府采购需求和履约验收管理的指导意见》</w:t>
            </w:r>
          </w:p>
        </w:tc>
        <w:tc>
          <w:tcPr>
            <w:tcW w:w="488"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及时公开</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11</w:t>
            </w:r>
          </w:p>
        </w:tc>
        <w:tc>
          <w:tcPr>
            <w:tcW w:w="287" w:type="pct"/>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公共服务项目验收结果</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采购人和采购代理机构名称、地址、联系方式；采购项目名称、编号，合同编号；履约供应商名称；验收单位；验收结果；验收人员。</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验收结束之日起2个工作日内</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1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12</w:t>
            </w:r>
          </w:p>
        </w:tc>
        <w:tc>
          <w:tcPr>
            <w:tcW w:w="287"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政府采购信息</w:t>
            </w:r>
          </w:p>
        </w:tc>
        <w:tc>
          <w:tcPr>
            <w:tcW w:w="2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投诉、监督检查等处理决定公告</w:t>
            </w:r>
          </w:p>
        </w:tc>
        <w:tc>
          <w:tcPr>
            <w:tcW w:w="107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相关当事人名称及地址、投诉涉及采购项目名称及采购日期、投诉事项或监督检查主要事项、处理依据、处理结果、执法机关名称、公告日期等。</w:t>
            </w:r>
          </w:p>
        </w:tc>
        <w:tc>
          <w:tcPr>
            <w:tcW w:w="747"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《国务院办公厅关于推进公共资源配置领域政府信息公开的意见》、《财政部关于做好政府采购信息公开工作的通知》</w:t>
            </w:r>
          </w:p>
        </w:tc>
        <w:tc>
          <w:tcPr>
            <w:tcW w:w="488"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完成并履行有关报审程序后5个工作日内</w:t>
            </w:r>
          </w:p>
        </w:tc>
        <w:tc>
          <w:tcPr>
            <w:tcW w:w="334" w:type="pct"/>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cs="宋体"/>
                <w:color w:val="2B2B2B"/>
                <w:sz w:val="18"/>
                <w:szCs w:val="18"/>
                <w:shd w:val="clear" w:color="auto" w:fill="FFFFFF"/>
              </w:rPr>
              <w:t>牡丹区财政局政府采购监督管理股</w:t>
            </w:r>
          </w:p>
        </w:tc>
        <w:tc>
          <w:tcPr>
            <w:tcW w:w="592" w:type="pct"/>
            <w:tcBorders>
              <w:top w:val="nil"/>
              <w:left w:val="nil"/>
              <w:bottom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■中国山东政府采购网</w:t>
            </w:r>
            <w:r>
              <w:rPr>
                <w:rFonts w:hint="eastAsia" w:ascii="宋体" w:hAnsi="宋体"/>
                <w:sz w:val="18"/>
                <w:szCs w:val="18"/>
              </w:rPr>
              <w:br w:type="textWrapping"/>
            </w:r>
            <w:r>
              <w:rPr>
                <w:rFonts w:hint="eastAsia" w:ascii="宋体" w:hAnsi="宋体"/>
                <w:sz w:val="18"/>
                <w:szCs w:val="18"/>
              </w:rPr>
              <w:t>■菏泽市政府采购公共服务平台</w:t>
            </w:r>
          </w:p>
          <w:p>
            <w:pPr>
              <w:spacing w:line="240" w:lineRule="exact"/>
              <w:rPr>
                <w:rFonts w:ascii="宋体" w:hAnsi="宋体"/>
                <w:sz w:val="18"/>
                <w:szCs w:val="18"/>
              </w:rPr>
            </w:pPr>
            <w:r>
              <w:rPr>
                <w:rFonts w:hint="eastAsia" w:ascii="宋体" w:hAnsi="宋体"/>
                <w:sz w:val="18"/>
                <w:szCs w:val="18"/>
              </w:rPr>
              <w:t>■菏泽市公共资源交易中心网</w:t>
            </w:r>
            <w:r>
              <w:rPr>
                <w:rFonts w:hint="eastAsia" w:ascii="宋体" w:hAnsi="宋体"/>
                <w:sz w:val="18"/>
                <w:szCs w:val="18"/>
              </w:rPr>
              <w:br w:type="textWrapping"/>
            </w:r>
            <w:r>
              <w:rPr>
                <w:rFonts w:hint="eastAsia" w:ascii="宋体" w:hAnsi="宋体"/>
                <w:sz w:val="18"/>
                <w:szCs w:val="18"/>
              </w:rPr>
              <w:t>■牡丹区人民政府网</w:t>
            </w:r>
          </w:p>
        </w:tc>
        <w:tc>
          <w:tcPr>
            <w:tcW w:w="229"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c>
          <w:tcPr>
            <w:tcW w:w="251"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287" w:type="pct"/>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w:t>
            </w:r>
          </w:p>
        </w:tc>
      </w:tr>
    </w:tbl>
    <w:p>
      <w:pPr>
        <w:widowControl/>
        <w:jc w:val="left"/>
        <w:rPr>
          <w:rFonts w:ascii="仿宋" w:hAnsi="仿宋" w:eastAsia="仿宋"/>
        </w:rPr>
      </w:pPr>
      <w:r>
        <w:rPr>
          <w:rFonts w:hint="eastAsia" w:ascii="仿宋" w:hAnsi="仿宋" w:eastAsia="仿宋"/>
        </w:rPr>
        <w:t xml:space="preserve">  </w:t>
      </w:r>
    </w:p>
    <w:p>
      <w:pPr>
        <w:widowControl/>
        <w:jc w:val="left"/>
        <w:rPr>
          <w:rFonts w:ascii="仿宋" w:hAnsi="仿宋" w:eastAsia="仿宋"/>
        </w:rPr>
      </w:pPr>
    </w:p>
    <w:sectPr>
      <w:pgSz w:w="16838" w:h="11906" w:orient="landscape"/>
      <w:pgMar w:top="1689" w:right="1270" w:bottom="1689" w:left="1270"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6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536F"/>
    <w:rsid w:val="00172A27"/>
    <w:rsid w:val="002A438F"/>
    <w:rsid w:val="00BE4C90"/>
    <w:rsid w:val="00CF42FC"/>
    <w:rsid w:val="00FC2E39"/>
    <w:rsid w:val="0AA57F35"/>
    <w:rsid w:val="196D1644"/>
    <w:rsid w:val="27ED1FE4"/>
    <w:rsid w:val="29A60298"/>
    <w:rsid w:val="33D4129D"/>
    <w:rsid w:val="3CF908AD"/>
    <w:rsid w:val="3ECD1638"/>
    <w:rsid w:val="42AE4921"/>
    <w:rsid w:val="49516EA9"/>
    <w:rsid w:val="4C593D52"/>
    <w:rsid w:val="685A3C3A"/>
    <w:rsid w:val="6DC76940"/>
    <w:rsid w:val="722B54E6"/>
    <w:rsid w:val="7A29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kern w:val="2"/>
      <w:sz w:val="18"/>
      <w:szCs w:val="18"/>
    </w:rPr>
  </w:style>
  <w:style w:type="character" w:customStyle="1" w:styleId="8">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7</Pages>
  <Words>3410</Words>
  <Characters>3414</Characters>
  <Lines>26</Lines>
  <Paragraphs>7</Paragraphs>
  <TotalTime>6</TotalTime>
  <ScaleCrop>false</ScaleCrop>
  <LinksUpToDate>false</LinksUpToDate>
  <CharactersWithSpaces>3452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2020-12-11T09:38:00Z</dcterms:created>
  <dc:creator>Administrator</dc:creator>
  <cp:lastModifiedBy>Administrator</cp:lastModifiedBy>
  <cp:lastPrinted>2020-11-15T08:22:00Z</cp:lastPrinted>
  <dcterms:modified xsi:type="dcterms:W3CDTF">2023-06-05T08:33:33Z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6C0E5834B37A440DA95D6E26008C1628_13</vt:lpwstr>
  </property>
</Properties>
</file>