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DD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4F6F8"/>
        <w:spacing w:before="75" w:beforeAutospacing="0" w:after="75" w:afterAutospacing="0" w:line="26" w:lineRule="atLeast"/>
        <w:ind w:left="0" w:right="0" w:firstLine="42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4F6F8"/>
        </w:rPr>
        <w:t>药品零售连锁企业现场踏勘标准</w:t>
      </w:r>
    </w:p>
    <w:tbl>
      <w:tblPr>
        <w:tblW w:w="0" w:type="auto"/>
        <w:tblCellSpacing w:w="0" w:type="dxa"/>
        <w:tblInd w:w="-18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Layout w:type="autofit"/>
        <w:tblCellMar>
          <w:top w:w="15" w:type="dxa"/>
          <w:left w:w="15" w:type="dxa"/>
          <w:bottom w:w="15" w:type="dxa"/>
          <w:right w:w="15" w:type="dxa"/>
        </w:tblCellMar>
      </w:tblPr>
      <w:tblGrid>
        <w:gridCol w:w="958"/>
        <w:gridCol w:w="993"/>
        <w:gridCol w:w="5254"/>
        <w:gridCol w:w="1544"/>
      </w:tblGrid>
      <w:tr w14:paraId="380E3C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756" w:hRule="atLeast"/>
          <w:tblCellSpacing w:w="0" w:type="dxa"/>
        </w:trPr>
        <w:tc>
          <w:tcPr>
            <w:tcW w:w="453" w:type="pct"/>
            <w:tcBorders>
              <w:top w:val="single" w:color="auto" w:sz="8" w:space="0"/>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BE8110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序号</w:t>
            </w:r>
          </w:p>
        </w:tc>
        <w:tc>
          <w:tcPr>
            <w:tcW w:w="599" w:type="pct"/>
            <w:tcBorders>
              <w:top w:val="single" w:color="auto" w:sz="8" w:space="0"/>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8A5BBB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踏勘</w:t>
            </w:r>
          </w:p>
          <w:p w14:paraId="0BF536C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项目</w:t>
            </w:r>
          </w:p>
        </w:tc>
        <w:tc>
          <w:tcPr>
            <w:tcW w:w="3034" w:type="pct"/>
            <w:tcBorders>
              <w:top w:val="single" w:color="auto" w:sz="8" w:space="0"/>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C019B3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踏勘内容及标准</w:t>
            </w:r>
            <w:bookmarkStart w:id="0" w:name="_GoBack"/>
            <w:bookmarkEnd w:id="0"/>
          </w:p>
        </w:tc>
        <w:tc>
          <w:tcPr>
            <w:tcW w:w="914" w:type="pct"/>
            <w:tcBorders>
              <w:top w:val="single" w:color="auto" w:sz="8" w:space="0"/>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0CC8B3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现场记录</w:t>
            </w:r>
          </w:p>
        </w:tc>
      </w:tr>
      <w:tr w14:paraId="66BC0B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727"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0286F4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w:t>
            </w:r>
          </w:p>
        </w:tc>
        <w:tc>
          <w:tcPr>
            <w:tcW w:w="599" w:type="pct"/>
            <w:vMerge w:val="restar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7A2A72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设</w:t>
            </w:r>
          </w:p>
          <w:p w14:paraId="2A63041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施</w:t>
            </w:r>
          </w:p>
          <w:p w14:paraId="325BB2F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与</w:t>
            </w:r>
          </w:p>
          <w:p w14:paraId="32645A8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设</w:t>
            </w:r>
          </w:p>
          <w:p w14:paraId="6D57F91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备</w:t>
            </w: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818EAD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企业从事质量管理、验收工作的人员应当在职在岗，不得兼职其他业务工作。</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352D77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0A4229E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tc>
      </w:tr>
      <w:tr w14:paraId="586180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695"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83A997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76C0F8F">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3B609C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企业各岗位人员须经相应法律法规和药品专业知识与技能的岗前培训和继续培训,能正确理解并履行职责。</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BA44BE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6677324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tc>
      </w:tr>
      <w:tr w14:paraId="214C52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1744"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627913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3</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408D594">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6C1AF36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企业在质量管理、药品验收、养护、保管等直接接触药品岗位工作的人员，应每年在二级以上医疗机构进行健康检查并建立档案。患有精神病、传染病等可能污染药品或导致药品发生差错疾病的患者，不得从事直接接触药品的工作。</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9DE4DE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29FFB0A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tc>
      </w:tr>
      <w:tr w14:paraId="6A1B79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873"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77921E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4</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D320064">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563A42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企业应当具有与其药品经营范围、经营规模相适应的经营场所和仓库（委托储存配送的除外）。其中连锁企业总部经营场所建筑面积应不少于100平方米，仓库建筑面积应不少于500平方米，最低处层高不低于5米（二层以上最低处不低于4米）。</w:t>
            </w:r>
          </w:p>
          <w:p w14:paraId="1767C52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2、同一法定代表人的药品批发企业和药品零售连锁企业总部的营业场所设在同一楼层的，应设置有效物理隔离设施。</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78CD86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4147B32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p w14:paraId="7D550AD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49361C5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tc>
      </w:tr>
      <w:tr w14:paraId="5CE0ED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818"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D0A8BC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5</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CACA83E">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AD7E7C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配送中心（仓库）库房药品储存作业区、辅助作业区应当与办公区和生活区分开一定距离或者有隔离措施。</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1E196F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3E12D39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tc>
      </w:tr>
      <w:tr w14:paraId="6ADE8F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90"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973BB5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6</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E989784">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C3A600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配送中心（仓库）的规模及条件应当满足药品的合理、安全储存，并达到以下要求，便于开展储存作业：</w:t>
            </w:r>
          </w:p>
          <w:p w14:paraId="2480FE4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（1）库房内外环境整洁，无污染源，库区地面硬化或者绿化；符合（）不符合（）</w:t>
            </w:r>
          </w:p>
          <w:p w14:paraId="2889DCD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（2）库房内墙、顶光洁，地面平整，门窗结构严密；符合（）不符合（）</w:t>
            </w:r>
          </w:p>
          <w:p w14:paraId="10D4EC7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（3）库房有可靠的安全防护措施，能够对无关人员进入实行可控管理，防止药品被盗、替换或者混入假药；符合（）不符合（）</w:t>
            </w:r>
          </w:p>
          <w:p w14:paraId="32AAFFA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（4）有防止室外装卸、搬运、接收、发运等作业受异常天气影响的措施。符合（）不符合（）</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4069133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说明：</w:t>
            </w:r>
          </w:p>
        </w:tc>
      </w:tr>
      <w:tr w14:paraId="7489AB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7464"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E9BEF3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7</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9CF1F48">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C3CE76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配送中心（仓库）应当配备以下设施设备：</w:t>
            </w:r>
          </w:p>
          <w:p w14:paraId="5EAD999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（1）药品与地面之间有效隔离的设备；</w:t>
            </w:r>
          </w:p>
          <w:p w14:paraId="545DB7E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符合（）不符合（）</w:t>
            </w:r>
          </w:p>
          <w:p w14:paraId="1CFCCEF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（2）避光、通风、防潮、防虫、防鼠等设备；符合（）不符合（）</w:t>
            </w:r>
          </w:p>
          <w:p w14:paraId="4BB4C1F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（3）有效调控温湿度及室内外空气交换的设备；符合（）不符合（）</w:t>
            </w:r>
          </w:p>
          <w:p w14:paraId="3447B05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（4）自动监测、记录库房温湿度的设备；符合（）不符合（）</w:t>
            </w:r>
          </w:p>
          <w:p w14:paraId="0FDBDD9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（5）符合储存作业要求的照明设备；</w:t>
            </w:r>
          </w:p>
          <w:p w14:paraId="34C4931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符合（）不符合（）</w:t>
            </w:r>
          </w:p>
          <w:p w14:paraId="77AEEF6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（6）用于零货拣选、拼箱发货操作及复核的作业区域和设备；符合（）不符合（）</w:t>
            </w:r>
          </w:p>
          <w:p w14:paraId="6862BCA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（7）包装物料的存放场所；符合（）不符合（）</w:t>
            </w:r>
          </w:p>
          <w:p w14:paraId="2E41CEE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（8）验收、发货、退货的专用场所；</w:t>
            </w:r>
          </w:p>
          <w:p w14:paraId="6EDA61A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符合（）不符合（）</w:t>
            </w:r>
          </w:p>
          <w:p w14:paraId="5215D08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（9）不合格药品专用存放场所；符合（）不符合（）</w:t>
            </w:r>
          </w:p>
          <w:p w14:paraId="496BEFF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（10）经营特殊管理的药品有符合国家规定的储存设施。符合（）不符合（）</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7FFFF02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说明：</w:t>
            </w:r>
          </w:p>
        </w:tc>
      </w:tr>
      <w:tr w14:paraId="71BE74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1056"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C3D32B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8</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F66E465">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4282BE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经营中药饮片的，应当有专用的库房和养护工作场所。</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984B48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1AE90FB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tc>
      </w:tr>
      <w:tr w14:paraId="5EACA1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768"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9215BA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9</w:t>
            </w:r>
          </w:p>
        </w:tc>
        <w:tc>
          <w:tcPr>
            <w:tcW w:w="599" w:type="pct"/>
            <w:vMerge w:val="restar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51DFB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制</w:t>
            </w:r>
          </w:p>
          <w:p w14:paraId="12FC8F7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度</w:t>
            </w:r>
          </w:p>
          <w:p w14:paraId="0F50A72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与</w:t>
            </w:r>
          </w:p>
          <w:p w14:paraId="740D4AD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管</w:t>
            </w:r>
          </w:p>
          <w:p w14:paraId="2E55B89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理</w:t>
            </w: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264BD5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储存、运输冷藏、冷冻药品的，应当配备以下设施设备：</w:t>
            </w:r>
          </w:p>
          <w:p w14:paraId="7AF0F84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（1）与其经营规模和品种相适应的冷库，冷库体积不小于20立方米；符合（）不符合（）</w:t>
            </w:r>
          </w:p>
          <w:p w14:paraId="4152E36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（2）用于冷库温度自动监测、显示、记录、调控、报警的设备；符合（）不符合（）</w:t>
            </w:r>
          </w:p>
          <w:p w14:paraId="5A783C7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（3）冷库制冷设备的备用发电机组或者双回路供电系统；符合（）不符合（）</w:t>
            </w:r>
          </w:p>
          <w:p w14:paraId="6358FD9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（4）对有特殊低温要求的药品，应当配备符合其储存要求的设施设备；符合（）不符合（）</w:t>
            </w:r>
          </w:p>
          <w:p w14:paraId="4836C40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（5）冷藏车及车载冷藏箱或者保温箱等设备。符合（）不符合（）</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6475F3D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说明：</w:t>
            </w:r>
          </w:p>
        </w:tc>
      </w:tr>
      <w:tr w14:paraId="3CC0F5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892"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2C271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10</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3178630">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002148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运输药品应当使用封闭式货物运输工具。</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6297F3E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0B99DAF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tc>
      </w:tr>
      <w:tr w14:paraId="11B880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163"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46F00CA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11</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0CD9791">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55D862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运输冷藏、冷冻药品的冷藏车及车载冷藏箱（或保温箱）应当符合药品运输过程中对温度控制的要求。冷藏车具有自动调控温度、显示温度、存储和读取温度监测数据的功能；冷藏箱（或保温箱）具有外部显示和采集箱体内温度数据的功能。</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B66C5B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0992548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tc>
      </w:tr>
      <w:tr w14:paraId="4FBA71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A9F98D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12</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48E9276">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F19476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药品零售连锁企业应按照《药品经营质量管理规范》及附录2：药品经营企业计算机系统的要求，建立符合经营和质量要求的计算机管理系统，实时控制并记录药品经营各环节和质量管理全过程，实现药品可追溯，并可实现按要求上传至药品监督管理部门的功能。</w:t>
            </w:r>
          </w:p>
          <w:p w14:paraId="2872DAD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2、连锁企业总部、配送中心（仓库）、连锁门店之间应实现计算机网络实时的信息传输和数据共享。</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2AA457D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797222F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p w14:paraId="4096FE1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w:t>
            </w:r>
          </w:p>
          <w:p w14:paraId="4597EAF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不符合（）</w:t>
            </w:r>
          </w:p>
        </w:tc>
      </w:tr>
      <w:tr w14:paraId="3AD2A5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1145"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619AC0B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13</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F02E5E7">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9E53C5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企业应制定保证质量管理职能正常行使和所经营药品质量的规章制度及操作规程。内容包括：</w:t>
            </w:r>
          </w:p>
          <w:p w14:paraId="239CF7C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（1）质量管理体系内审的规定；符合（）不符合（）</w:t>
            </w:r>
          </w:p>
          <w:p w14:paraId="6ED593F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（2）质量否决权的规定；符合（）不符合（）</w:t>
            </w:r>
          </w:p>
          <w:p w14:paraId="4797F1B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（3）质量管理文件的管理；符合（）不符合（）</w:t>
            </w:r>
          </w:p>
          <w:p w14:paraId="1F8A84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（4）质量信息的管理；符合（）不符合（）</w:t>
            </w:r>
          </w:p>
          <w:p w14:paraId="78843B4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（5）供货单位、购货单位、供货单位销售人员及购货单位采购人员等资格审核的规定；符合（）不符合（）</w:t>
            </w:r>
          </w:p>
          <w:p w14:paraId="730FAB4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（6）药品采购、收货、验收、储存、养护、销售、出库、运输的管理；符合（）不符合（）</w:t>
            </w:r>
          </w:p>
          <w:p w14:paraId="3C68C3A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（7）特殊管理的药品的规定；符合（）不符合（）</w:t>
            </w:r>
          </w:p>
          <w:p w14:paraId="3E6DD40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（8）药品有效期的管理；符合（）不符合（）</w:t>
            </w:r>
          </w:p>
          <w:p w14:paraId="1FEC3FF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（9）不合格药品、药品销毁的管理；</w:t>
            </w:r>
          </w:p>
          <w:p w14:paraId="3B1EDF0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符合（）不符合（）</w:t>
            </w:r>
          </w:p>
          <w:p w14:paraId="72B7DA2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（10）药品退货的管理；符合（）不符合（）</w:t>
            </w:r>
          </w:p>
          <w:p w14:paraId="3803BC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（11）药品召回的管理；符合（）不符合（）</w:t>
            </w:r>
          </w:p>
          <w:p w14:paraId="5E29264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（12）质量查询的管理；符合（）不符合（）</w:t>
            </w:r>
          </w:p>
          <w:p w14:paraId="0979B13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（13）质量事故、质量投诉的管理:符合（）不符合（）</w:t>
            </w:r>
          </w:p>
          <w:p w14:paraId="4BEDD04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（14）药品不良反应报告的规定:符合（）不符合（）</w:t>
            </w:r>
          </w:p>
          <w:p w14:paraId="7EA3393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（15）门店访问的管理；符合（）不符合（）</w:t>
            </w:r>
          </w:p>
          <w:p w14:paraId="1EAB5F6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（16）环境卫生、人员健康的规定；</w:t>
            </w:r>
          </w:p>
          <w:p w14:paraId="1AD060B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符合（）不符合（）</w:t>
            </w:r>
          </w:p>
          <w:p w14:paraId="45F1E7F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（17）质量方面的教育、培训及考核的规定；符合（）不符合（）</w:t>
            </w:r>
          </w:p>
          <w:p w14:paraId="44B2E96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（18）设施设备保管和维护的管理；</w:t>
            </w:r>
          </w:p>
          <w:p w14:paraId="120572E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符合（）不符合（）</w:t>
            </w:r>
          </w:p>
          <w:p w14:paraId="3A523BE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（19）设施设备验证和校准的管理；</w:t>
            </w:r>
          </w:p>
          <w:p w14:paraId="1BDAFC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符合（）不符合（）</w:t>
            </w:r>
          </w:p>
          <w:p w14:paraId="5097C3B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（20）记录和凭证的管理；符合（）不符合（）</w:t>
            </w:r>
          </w:p>
          <w:p w14:paraId="52B07B6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（21）计算机系统的管理；符合（）不符合（）</w:t>
            </w:r>
          </w:p>
          <w:p w14:paraId="7E722F2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（22）药品追溯的规定；符合（）不符合（）</w:t>
            </w:r>
          </w:p>
          <w:p w14:paraId="6A3C5F4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（23）远程审方服务平台运行的有关规定。符合（）不符合（）</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2C0F1D6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说明：</w:t>
            </w:r>
          </w:p>
        </w:tc>
      </w:tr>
      <w:tr w14:paraId="468C29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695"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03556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14</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C90840F">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91F906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企业应统一制定连锁门店的质量管理制度，由连锁门店负责具体实施。主要包括：</w:t>
            </w:r>
          </w:p>
          <w:p w14:paraId="4BA867D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（1）有关业务和管理岗位的质量责任；</w:t>
            </w:r>
          </w:p>
          <w:p w14:paraId="18C1824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符合（）不符合（）</w:t>
            </w:r>
          </w:p>
          <w:p w14:paraId="452665D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（2）药品采购、验收管理；符合（）不符合（）</w:t>
            </w:r>
          </w:p>
          <w:p w14:paraId="72F07B4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（3）药品陈列管理；符合（）不符合（）</w:t>
            </w:r>
          </w:p>
          <w:p w14:paraId="7898618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（4）药品销售管理；符合（）不符合（）</w:t>
            </w:r>
          </w:p>
          <w:p w14:paraId="4DE445F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（5）处方药销售管理；符合（）不符合（）</w:t>
            </w:r>
          </w:p>
          <w:p w14:paraId="2CF9E66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（6）药品拆零管理；符合（）不符合（）</w:t>
            </w:r>
          </w:p>
          <w:p w14:paraId="6491E5F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（7）特殊管理药品和国家有专门管理要求的药品管理；符合（）不符合（）</w:t>
            </w:r>
          </w:p>
          <w:p w14:paraId="1D1D34A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（8）记录和凭证管理；符合（）不符合（）</w:t>
            </w:r>
          </w:p>
          <w:p w14:paraId="3A93DBF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（9）收集和查询质量信息管理；符合（）不符合（）</w:t>
            </w:r>
          </w:p>
          <w:p w14:paraId="3C979C8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（10）质量事故、质量投诉的管理；符合（）不符合（）</w:t>
            </w:r>
          </w:p>
          <w:p w14:paraId="1423BD7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（11）中药饮片处方审核、调配、核对的管理；符合（）不符合（）</w:t>
            </w:r>
          </w:p>
          <w:p w14:paraId="03532D2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（12）药品有效期的管理；符合（）不符合（）</w:t>
            </w:r>
          </w:p>
          <w:p w14:paraId="2A7BF52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（13）不合格药品、药品销毁的管理；</w:t>
            </w:r>
          </w:p>
          <w:p w14:paraId="27FB689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符合（）不符合（）</w:t>
            </w:r>
          </w:p>
          <w:p w14:paraId="397C3D9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（14）环境卫生和人员健康的规定；</w:t>
            </w:r>
          </w:p>
          <w:p w14:paraId="61012A3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符合（）不符合（）</w:t>
            </w:r>
          </w:p>
          <w:p w14:paraId="6F3833B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（15）提供用药咨询、指导合理用药等药学服务的管理；符合（）不符合（）</w:t>
            </w:r>
          </w:p>
          <w:p w14:paraId="0FD56D8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（16）人员培训及考核的规定；符合（）不符合（）</w:t>
            </w:r>
          </w:p>
          <w:p w14:paraId="66B39DF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（17）药品不良反应报告的规定；符合（）不符合（）</w:t>
            </w:r>
          </w:p>
          <w:p w14:paraId="485411D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（18）计算机系统管理；符合（）不符合（）</w:t>
            </w:r>
          </w:p>
          <w:p w14:paraId="61E3D89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（19）药品追溯的规定；符合（）不符合（）</w:t>
            </w:r>
          </w:p>
          <w:p w14:paraId="5E9A200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（20）处方审核与执业药师责任管理；符合（）不符合（）</w:t>
            </w:r>
          </w:p>
          <w:p w14:paraId="49202A5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（21）执业药师等药学技术人员考勤规定；符合（）不符合（）</w:t>
            </w:r>
          </w:p>
          <w:p w14:paraId="6E98E86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（22）远程审方平台操作规程等其他应当规定的内容。符合（）不符合（）</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0D54387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说明：</w:t>
            </w:r>
          </w:p>
        </w:tc>
      </w:tr>
      <w:tr w14:paraId="13717F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612"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90FB8A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15</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39F10776">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6774167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企业应明确各部门及岗位职责，包括：</w:t>
            </w:r>
          </w:p>
          <w:p w14:paraId="3703E68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（1）质量管理、采购、配送中心、门店管理、财务和信息管理等部门职责；符合（）不符合（）</w:t>
            </w:r>
          </w:p>
          <w:p w14:paraId="11FDF33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（2）企业负责人、质量负责人及质量管理、采购、配送中心、门店管理、财务和信息管理等部门负责人的岗位职责；符合（）不符合（）</w:t>
            </w:r>
          </w:p>
          <w:p w14:paraId="52B4B60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（3）质量管理、采购、收货、验收、储存、养护、出库复核、运输、门店管理、财务、信息管理等岗位职责；符合（）不符合（）</w:t>
            </w:r>
          </w:p>
          <w:p w14:paraId="23A3669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（4）与药品经营相关的其他岗位职责。符合（）不符合（）</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1366AB9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说明：</w:t>
            </w:r>
          </w:p>
        </w:tc>
      </w:tr>
      <w:tr w14:paraId="56F925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001A2C8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16</w:t>
            </w:r>
          </w:p>
        </w:tc>
        <w:tc>
          <w:tcPr>
            <w:tcW w:w="599" w:type="pct"/>
            <w:vMerge w:val="continue"/>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1954F3BE">
            <w:pPr>
              <w:rPr>
                <w:rFonts w:hint="eastAsia" w:ascii="微软雅黑" w:hAnsi="微软雅黑" w:eastAsia="微软雅黑" w:cs="微软雅黑"/>
                <w:i w:val="0"/>
                <w:iCs w:val="0"/>
                <w:caps w:val="0"/>
                <w:color w:val="000000"/>
                <w:spacing w:val="0"/>
                <w:sz w:val="24"/>
                <w:szCs w:val="24"/>
                <w:shd w:val="clear" w:color="auto" w:fill="auto"/>
              </w:rPr>
            </w:pP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4AEB26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企业应按规定建立药品质量管理记录，做到及时、清晰、同步、准确、真实、完整、有效和可追溯。内容包括：</w:t>
            </w:r>
          </w:p>
          <w:p w14:paraId="78CFE00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（1）药品购进记录；符合（）不符合（）</w:t>
            </w:r>
          </w:p>
          <w:p w14:paraId="2B4B0A8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（2）购进药品验收记录；符合（）不符合（）</w:t>
            </w:r>
          </w:p>
          <w:p w14:paraId="1654D91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（3）药品质量养护记录；符合（）不符合（）</w:t>
            </w:r>
          </w:p>
          <w:p w14:paraId="63E4F01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（4）药品出库复核记录；符合（）不符合（）</w:t>
            </w:r>
          </w:p>
          <w:p w14:paraId="64A3698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（5）药品配送记录；符合（）不符合（）</w:t>
            </w:r>
          </w:p>
          <w:p w14:paraId="5BEFED0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（6）药品质量事故情况记录；符合（）不符合（）</w:t>
            </w:r>
          </w:p>
          <w:p w14:paraId="35B0A3E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（7）不合格药品报废、销毁记录；符合（）不符合（）</w:t>
            </w:r>
          </w:p>
          <w:p w14:paraId="514972B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（8）药品配送退回记录；符合（）不符合（）</w:t>
            </w:r>
          </w:p>
          <w:p w14:paraId="123B64A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（9）购进退出记录；符合（）不符合（）</w:t>
            </w:r>
          </w:p>
          <w:p w14:paraId="5FF680E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（10）储运温湿度监测、调控记录；符合（）不符合（）</w:t>
            </w:r>
          </w:p>
          <w:p w14:paraId="75E6442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（11）计量器具使用、检定记录；符合（）不符合（）</w:t>
            </w:r>
          </w:p>
          <w:p w14:paraId="1F3EE2A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（12）质量事故报告记录；符合（）不符合（）</w:t>
            </w:r>
          </w:p>
          <w:p w14:paraId="35480A4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（13）药品不良反应报告记录；符合（）不符合（）</w:t>
            </w:r>
          </w:p>
          <w:p w14:paraId="418E75C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（14）质量管理体系内审记录；符合（）不符合（）</w:t>
            </w:r>
          </w:p>
          <w:p w14:paraId="3F32346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（15）处方审核与登记记录等。符合（）不符合（）</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4D64FF0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说明：</w:t>
            </w:r>
          </w:p>
        </w:tc>
      </w:tr>
      <w:tr w14:paraId="3CADBD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4F6F8"/>
          <w:tblCellMar>
            <w:top w:w="15" w:type="dxa"/>
            <w:left w:w="15" w:type="dxa"/>
            <w:bottom w:w="15" w:type="dxa"/>
            <w:right w:w="15" w:type="dxa"/>
          </w:tblCellMar>
        </w:tblPrEx>
        <w:trPr>
          <w:trHeight w:val="2464" w:hRule="atLeast"/>
          <w:tblCellSpacing w:w="0" w:type="dxa"/>
        </w:trPr>
        <w:tc>
          <w:tcPr>
            <w:tcW w:w="453"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A32A6D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17</w:t>
            </w:r>
          </w:p>
        </w:tc>
        <w:tc>
          <w:tcPr>
            <w:tcW w:w="599"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7E494C4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制</w:t>
            </w:r>
          </w:p>
          <w:p w14:paraId="5D60059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度</w:t>
            </w:r>
          </w:p>
          <w:p w14:paraId="0A83522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与</w:t>
            </w:r>
          </w:p>
          <w:p w14:paraId="5ADBE30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管</w:t>
            </w:r>
          </w:p>
          <w:p w14:paraId="56419A0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center"/>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color="auto" w:fill="auto"/>
                <w:lang w:val="en-US" w:eastAsia="zh-CN" w:bidi="ar"/>
              </w:rPr>
              <w:t>理</w:t>
            </w:r>
          </w:p>
        </w:tc>
        <w:tc>
          <w:tcPr>
            <w:tcW w:w="303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center"/>
          </w:tcPr>
          <w:p w14:paraId="5D90268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企业应按规定建立以下质量管理档案。内容包括：</w:t>
            </w:r>
          </w:p>
          <w:p w14:paraId="33B19A8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（1）员工健康检查档案；符合（）不符合（）</w:t>
            </w:r>
          </w:p>
          <w:p w14:paraId="1C4EF01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（2）员工培训档案；符合（）不符合（）</w:t>
            </w:r>
          </w:p>
          <w:p w14:paraId="1E1B27C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（3）药品质量档案；符合（）不符合（）</w:t>
            </w:r>
          </w:p>
          <w:p w14:paraId="262F381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（4）药品养护档案；符合（）不符合（）</w:t>
            </w:r>
          </w:p>
          <w:p w14:paraId="03C32BB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（5）供货方档案；符合（）不符合（）</w:t>
            </w:r>
          </w:p>
          <w:p w14:paraId="1FBB2C8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（6）门店档案；符合（）不符合（）</w:t>
            </w:r>
          </w:p>
          <w:p w14:paraId="0BB68C6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（7）设施和设备及定期检查、维修、保养档案；符合（）不符合（）</w:t>
            </w:r>
          </w:p>
          <w:p w14:paraId="3A24E59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（8）计量器具管理档案；符合（）不符合（）</w:t>
            </w:r>
          </w:p>
          <w:p w14:paraId="197FBAF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（9）首营企业审批表；符合（）不符合（）</w:t>
            </w:r>
          </w:p>
          <w:p w14:paraId="0BC160E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（10）首营品种审批表；符合（）不符合（）</w:t>
            </w:r>
          </w:p>
          <w:p w14:paraId="5F3282E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（11）不合格药品报损审批表；符合（）不符合（）</w:t>
            </w:r>
          </w:p>
          <w:p w14:paraId="0178C69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（12）药品质量信息汇总表；符合（）不符合（）</w:t>
            </w:r>
          </w:p>
          <w:p w14:paraId="1DE8CBA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（13）药品质量问题追踪表；符合（）不符合（）</w:t>
            </w:r>
          </w:p>
          <w:p w14:paraId="22E3051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（14）药品不良反应报告表；符合（）不符合（）</w:t>
            </w:r>
          </w:p>
          <w:p w14:paraId="5711BF2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（15）药品销售处方档案与处方药销售登记台账；符合（）不符合（）</w:t>
            </w:r>
          </w:p>
          <w:p w14:paraId="594A039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（16）药学技术人员考核档案等。符合（）不符合（）</w:t>
            </w:r>
          </w:p>
        </w:tc>
        <w:tc>
          <w:tcPr>
            <w:tcW w:w="914" w:type="pct"/>
            <w:tcBorders>
              <w:top w:val="nil"/>
              <w:left w:val="single" w:color="auto" w:sz="8" w:space="0"/>
              <w:bottom w:val="single" w:color="auto" w:sz="8" w:space="0"/>
              <w:right w:val="single" w:color="auto" w:sz="8" w:space="0"/>
            </w:tcBorders>
            <w:shd w:val="clear" w:color="auto" w:fill="F4F6F8"/>
            <w:tcMar>
              <w:top w:w="0" w:type="dxa"/>
              <w:left w:w="108" w:type="dxa"/>
              <w:bottom w:w="0" w:type="dxa"/>
              <w:right w:w="108" w:type="dxa"/>
            </w:tcMar>
            <w:vAlign w:val="top"/>
          </w:tcPr>
          <w:p w14:paraId="64A91F1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jc w:val="left"/>
              <w:rPr>
                <w:rFonts w:hint="eastAsia" w:ascii="微软雅黑" w:hAnsi="微软雅黑" w:eastAsia="微软雅黑" w:cs="微软雅黑"/>
                <w:sz w:val="24"/>
                <w:szCs w:val="24"/>
                <w:shd w:val="clear" w:color="auto" w:fill="auto"/>
              </w:rPr>
            </w:pPr>
            <w:r>
              <w:rPr>
                <w:rFonts w:hint="eastAsia" w:ascii="微软雅黑" w:hAnsi="微软雅黑" w:eastAsia="微软雅黑" w:cs="微软雅黑"/>
                <w:i w:val="0"/>
                <w:iCs w:val="0"/>
                <w:caps w:val="0"/>
                <w:color w:val="000000"/>
                <w:spacing w:val="0"/>
                <w:kern w:val="0"/>
                <w:sz w:val="24"/>
                <w:szCs w:val="24"/>
                <w:bdr w:val="none" w:color="auto" w:sz="0" w:space="0"/>
                <w:shd w:val="clear" w:color="auto" w:fill="auto"/>
                <w:lang w:val="en-US" w:eastAsia="zh-CN" w:bidi="ar"/>
              </w:rPr>
              <w:t>说明：</w:t>
            </w:r>
          </w:p>
        </w:tc>
      </w:tr>
    </w:tbl>
    <w:p w14:paraId="57830D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563FA"/>
    <w:rsid w:val="6685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2025-04-18T01:33:00Z</dcterms:created>
  <dc:creator>微</dc:creator>
  <cp:lastModifiedBy>微</cp:lastModifiedBy>
  <dcterms:modified xsi:type="dcterms:W3CDTF">2025-04-18T01:35:25Z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714947380D2C4744924D415FB020B878_11</vt:lpwstr>
  </property>
  <property fmtid="{D5CDD505-2E9C-101B-9397-08002B2CF9AE}" pid="4" name="KSOTemplateDocerSaveRecord">
    <vt:lpwstr>eyJoZGlkIjoiNzMwMzQyN2RjMmZhZTAxN2Y2ODhhYmUxN2ZkMWE3MTIiLCJ1c2VySWQiOiI5MDcwMTE2MzkifQ==</vt:lpwstr>
  </property>
</Properties>
</file>