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7F9F1">
      <w:pPr>
        <w:widowControl/>
        <w:spacing w:line="360" w:lineRule="auto"/>
        <w:jc w:val="left"/>
        <w:rPr>
          <w:rFonts w:hint="eastAsia" w:eastAsia="黑体"/>
          <w:kern w:val="0"/>
          <w:sz w:val="28"/>
          <w:szCs w:val="20"/>
          <w:lang w:eastAsia="zh-CN"/>
        </w:rPr>
        <w:sectPr>
          <w:headerReference r:id="rId3" w:type="default"/>
          <w:footerReference r:id="rId4" w:type="default"/>
          <w:pgSz w:w="11910" w:h="16840"/>
          <w:pgMar w:top="1361" w:right="1080" w:bottom="1304" w:left="1080" w:header="567" w:footer="567" w:gutter="0"/>
          <w:pgBorders>
            <w:top w:val="none" w:sz="0" w:space="0"/>
            <w:left w:val="none" w:sz="0" w:space="0"/>
            <w:bottom w:val="none" w:sz="0" w:space="0"/>
            <w:right w:val="none" w:sz="0" w:space="0"/>
          </w:pgBorders>
          <w:pgNumType w:fmt="decimal"/>
          <w:cols w:space="720" w:num="1"/>
          <w:rtlGutter w:val="0"/>
          <w:docGrid w:linePitch="286" w:charSpace="0"/>
        </w:sectPr>
      </w:pPr>
      <w:bookmarkStart w:id="0" w:name="_Toc18502"/>
      <w:bookmarkStart w:id="1" w:name="_Toc29284"/>
      <w:bookmarkStart w:id="2" w:name="_Toc366167578"/>
      <w:bookmarkStart w:id="3" w:name="_Toc309377162"/>
      <w:r>
        <w:rPr>
          <w:rFonts w:hint="eastAsia" w:eastAsia="黑体"/>
          <w:kern w:val="0"/>
          <w:sz w:val="28"/>
          <w:szCs w:val="20"/>
          <w:lang w:eastAsia="zh-CN"/>
        </w:rPr>
        <w:drawing>
          <wp:inline distT="0" distB="0" distL="114300" distR="114300">
            <wp:extent cx="6189980" cy="8754745"/>
            <wp:effectExtent l="0" t="0" r="7620" b="8255"/>
            <wp:docPr id="2" name="图片 2" descr="招标文件封皮第五标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招标文件封皮第五标段"/>
                    <pic:cNvPicPr>
                      <a:picLocks noChangeAspect="1"/>
                    </pic:cNvPicPr>
                  </pic:nvPicPr>
                  <pic:blipFill>
                    <a:blip r:embed="rId11"/>
                    <a:stretch>
                      <a:fillRect/>
                    </a:stretch>
                  </pic:blipFill>
                  <pic:spPr>
                    <a:xfrm>
                      <a:off x="0" y="0"/>
                      <a:ext cx="6189980" cy="8754745"/>
                    </a:xfrm>
                    <a:prstGeom prst="rect">
                      <a:avLst/>
                    </a:prstGeom>
                  </pic:spPr>
                </pic:pic>
              </a:graphicData>
            </a:graphic>
          </wp:inline>
        </w:drawing>
      </w:r>
    </w:p>
    <w:p w14:paraId="01C03F06">
      <w:pPr>
        <w:pStyle w:val="2"/>
        <w:spacing w:before="120" w:beforeLines="50" w:after="120" w:afterLines="50" w:line="240" w:lineRule="auto"/>
        <w:outlineLvl w:val="9"/>
        <w:rPr>
          <w:rFonts w:hint="eastAsia" w:asciiTheme="majorEastAsia" w:hAnsiTheme="majorEastAsia" w:eastAsiaTheme="majorEastAsia" w:cstheme="majorEastAsia"/>
          <w:sz w:val="44"/>
          <w:szCs w:val="56"/>
          <w:highlight w:val="none"/>
        </w:rPr>
      </w:pPr>
    </w:p>
    <w:p w14:paraId="178D59CA">
      <w:pPr>
        <w:pStyle w:val="2"/>
        <w:keepNext/>
        <w:keepLines/>
        <w:pageBreakBefore w:val="0"/>
        <w:widowControl w:val="0"/>
        <w:kinsoku/>
        <w:wordWrap/>
        <w:overflowPunct/>
        <w:topLinePunct w:val="0"/>
        <w:autoSpaceDE/>
        <w:autoSpaceDN/>
        <w:bidi w:val="0"/>
        <w:adjustRightInd/>
        <w:snapToGrid/>
        <w:spacing w:line="420" w:lineRule="auto"/>
        <w:textAlignment w:val="auto"/>
        <w:rPr>
          <w:rFonts w:hint="eastAsia"/>
        </w:rPr>
      </w:pPr>
      <w:bookmarkStart w:id="4" w:name="_Toc18904"/>
      <w:bookmarkStart w:id="5" w:name="_Toc14051"/>
      <w:bookmarkStart w:id="6" w:name="_Toc5863"/>
      <w:r>
        <w:rPr>
          <w:rFonts w:hint="eastAsia"/>
        </w:rPr>
        <w:t>目  录</w:t>
      </w:r>
      <w:bookmarkEnd w:id="0"/>
      <w:bookmarkEnd w:id="1"/>
      <w:bookmarkEnd w:id="4"/>
      <w:bookmarkEnd w:id="5"/>
      <w:bookmarkEnd w:id="6"/>
    </w:p>
    <w:bookmarkEnd w:id="2"/>
    <w:bookmarkEnd w:id="3"/>
    <w:sdt>
      <w:sdtPr>
        <w:rPr>
          <w:rFonts w:ascii="宋体" w:hAnsi="宋体" w:eastAsia="宋体" w:cs="Times New Roman"/>
          <w:kern w:val="2"/>
          <w:sz w:val="21"/>
          <w:szCs w:val="24"/>
          <w:lang w:val="en-US" w:eastAsia="zh-CN" w:bidi="ar-SA"/>
        </w:rPr>
        <w:id w:val="147459778"/>
        <w15:color w:val="DBDBDB"/>
        <w:docPartObj>
          <w:docPartGallery w:val="Table of Contents"/>
          <w:docPartUnique/>
        </w:docPartObj>
      </w:sdtPr>
      <w:sdtEndPr>
        <w:rPr>
          <w:rFonts w:asciiTheme="majorEastAsia" w:hAnsiTheme="majorEastAsia" w:eastAsiaTheme="majorEastAsia" w:cstheme="majorEastAsia"/>
          <w:kern w:val="2"/>
          <w:sz w:val="21"/>
          <w:szCs w:val="24"/>
          <w:highlight w:val="none"/>
          <w:lang w:val="en-US" w:eastAsia="zh-CN" w:bidi="ar-SA"/>
        </w:rPr>
      </w:sdtEndPr>
      <w:sdtContent>
        <w:p w14:paraId="679AEF76">
          <w:pPr>
            <w:spacing w:before="0" w:beforeLines="0" w:after="0" w:afterLines="0" w:line="240" w:lineRule="auto"/>
            <w:ind w:left="0" w:leftChars="0" w:right="0" w:rightChars="0" w:firstLine="0" w:firstLineChars="0"/>
            <w:jc w:val="center"/>
          </w:pPr>
          <w:bookmarkStart w:id="7" w:name="_Toc366167579"/>
          <w:r>
            <w:rPr>
              <w:rFonts w:asciiTheme="majorEastAsia" w:hAnsiTheme="majorEastAsia" w:eastAsiaTheme="majorEastAsia" w:cstheme="majorEastAsia"/>
              <w:sz w:val="32"/>
              <w:highlight w:val="none"/>
            </w:rPr>
            <w:fldChar w:fldCharType="begin"/>
          </w:r>
          <w:r>
            <w:rPr>
              <w:rFonts w:asciiTheme="majorEastAsia" w:hAnsiTheme="majorEastAsia" w:eastAsiaTheme="majorEastAsia" w:cstheme="majorEastAsia"/>
              <w:sz w:val="32"/>
              <w:highlight w:val="none"/>
            </w:rPr>
            <w:instrText xml:space="preserve">TOC \o "1-1" \h \u </w:instrText>
          </w:r>
          <w:r>
            <w:rPr>
              <w:rFonts w:asciiTheme="majorEastAsia" w:hAnsiTheme="majorEastAsia" w:eastAsiaTheme="majorEastAsia" w:cstheme="majorEastAsia"/>
              <w:sz w:val="32"/>
              <w:highlight w:val="none"/>
            </w:rPr>
            <w:fldChar w:fldCharType="separate"/>
          </w:r>
        </w:p>
        <w:p w14:paraId="085AEE59">
          <w:pPr>
            <w:pStyle w:val="94"/>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rFonts w:asciiTheme="majorEastAsia" w:hAnsiTheme="majorEastAsia" w:eastAsiaTheme="majorEastAsia" w:cstheme="majorEastAsia"/>
              <w:sz w:val="28"/>
              <w:szCs w:val="28"/>
              <w:highlight w:val="none"/>
            </w:rPr>
            <w:fldChar w:fldCharType="begin"/>
          </w:r>
          <w:r>
            <w:rPr>
              <w:rFonts w:asciiTheme="majorEastAsia" w:hAnsiTheme="majorEastAsia" w:eastAsiaTheme="majorEastAsia" w:cstheme="majorEastAsia"/>
              <w:sz w:val="28"/>
              <w:szCs w:val="28"/>
              <w:highlight w:val="none"/>
            </w:rPr>
            <w:instrText xml:space="preserve"> HYPERLINK \l _Toc2132 </w:instrText>
          </w:r>
          <w:r>
            <w:rPr>
              <w:rFonts w:asciiTheme="majorEastAsia" w:hAnsiTheme="majorEastAsia" w:eastAsiaTheme="majorEastAsia" w:cstheme="majorEastAsia"/>
              <w:sz w:val="28"/>
              <w:szCs w:val="28"/>
              <w:highlight w:val="none"/>
            </w:rPr>
            <w:fldChar w:fldCharType="separate"/>
          </w:r>
          <w:r>
            <w:rPr>
              <w:rFonts w:hint="eastAsia"/>
              <w:sz w:val="28"/>
              <w:szCs w:val="28"/>
            </w:rPr>
            <w:t>第一章  招标公告</w:t>
          </w:r>
          <w:r>
            <w:rPr>
              <w:sz w:val="28"/>
              <w:szCs w:val="28"/>
            </w:rPr>
            <w:tab/>
          </w:r>
          <w:r>
            <w:rPr>
              <w:sz w:val="28"/>
              <w:szCs w:val="28"/>
            </w:rPr>
            <w:fldChar w:fldCharType="begin"/>
          </w:r>
          <w:r>
            <w:rPr>
              <w:sz w:val="28"/>
              <w:szCs w:val="28"/>
            </w:rPr>
            <w:instrText xml:space="preserve"> PAGEREF _Toc2132 \h </w:instrText>
          </w:r>
          <w:r>
            <w:rPr>
              <w:sz w:val="28"/>
              <w:szCs w:val="28"/>
            </w:rPr>
            <w:fldChar w:fldCharType="separate"/>
          </w:r>
          <w:r>
            <w:rPr>
              <w:sz w:val="28"/>
              <w:szCs w:val="28"/>
            </w:rPr>
            <w:t>1</w:t>
          </w:r>
          <w:r>
            <w:rPr>
              <w:sz w:val="28"/>
              <w:szCs w:val="28"/>
            </w:rPr>
            <w:fldChar w:fldCharType="end"/>
          </w:r>
          <w:r>
            <w:rPr>
              <w:rFonts w:asciiTheme="majorEastAsia" w:hAnsiTheme="majorEastAsia" w:eastAsiaTheme="majorEastAsia" w:cstheme="majorEastAsia"/>
              <w:sz w:val="28"/>
              <w:szCs w:val="28"/>
              <w:highlight w:val="none"/>
            </w:rPr>
            <w:fldChar w:fldCharType="end"/>
          </w:r>
        </w:p>
        <w:p w14:paraId="4E1CA9C5">
          <w:pPr>
            <w:pStyle w:val="94"/>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rFonts w:asciiTheme="majorEastAsia" w:hAnsiTheme="majorEastAsia" w:eastAsiaTheme="majorEastAsia" w:cstheme="majorEastAsia"/>
              <w:sz w:val="28"/>
              <w:szCs w:val="28"/>
              <w:highlight w:val="none"/>
            </w:rPr>
            <w:fldChar w:fldCharType="begin"/>
          </w:r>
          <w:r>
            <w:rPr>
              <w:rFonts w:asciiTheme="majorEastAsia" w:hAnsiTheme="majorEastAsia" w:eastAsiaTheme="majorEastAsia" w:cstheme="majorEastAsia"/>
              <w:sz w:val="28"/>
              <w:szCs w:val="28"/>
              <w:highlight w:val="none"/>
            </w:rPr>
            <w:instrText xml:space="preserve"> HYPERLINK \l _Toc4277 </w:instrText>
          </w:r>
          <w:r>
            <w:rPr>
              <w:rFonts w:asciiTheme="majorEastAsia" w:hAnsiTheme="majorEastAsia" w:eastAsiaTheme="majorEastAsia" w:cstheme="majorEastAsia"/>
              <w:sz w:val="28"/>
              <w:szCs w:val="28"/>
              <w:highlight w:val="none"/>
            </w:rPr>
            <w:fldChar w:fldCharType="separate"/>
          </w:r>
          <w:r>
            <w:rPr>
              <w:rFonts w:hint="eastAsia"/>
              <w:sz w:val="28"/>
              <w:szCs w:val="28"/>
            </w:rPr>
            <w:t>第二章  投标人须知</w:t>
          </w:r>
          <w:r>
            <w:rPr>
              <w:sz w:val="28"/>
              <w:szCs w:val="28"/>
            </w:rPr>
            <w:tab/>
          </w:r>
          <w:r>
            <w:rPr>
              <w:sz w:val="28"/>
              <w:szCs w:val="28"/>
            </w:rPr>
            <w:fldChar w:fldCharType="begin"/>
          </w:r>
          <w:r>
            <w:rPr>
              <w:sz w:val="28"/>
              <w:szCs w:val="28"/>
            </w:rPr>
            <w:instrText xml:space="preserve"> PAGEREF _Toc4277 \h </w:instrText>
          </w:r>
          <w:r>
            <w:rPr>
              <w:sz w:val="28"/>
              <w:szCs w:val="28"/>
            </w:rPr>
            <w:fldChar w:fldCharType="separate"/>
          </w:r>
          <w:r>
            <w:rPr>
              <w:sz w:val="28"/>
              <w:szCs w:val="28"/>
            </w:rPr>
            <w:t>6</w:t>
          </w:r>
          <w:r>
            <w:rPr>
              <w:sz w:val="28"/>
              <w:szCs w:val="28"/>
            </w:rPr>
            <w:fldChar w:fldCharType="end"/>
          </w:r>
          <w:r>
            <w:rPr>
              <w:rFonts w:asciiTheme="majorEastAsia" w:hAnsiTheme="majorEastAsia" w:eastAsiaTheme="majorEastAsia" w:cstheme="majorEastAsia"/>
              <w:sz w:val="28"/>
              <w:szCs w:val="28"/>
              <w:highlight w:val="none"/>
            </w:rPr>
            <w:fldChar w:fldCharType="end"/>
          </w:r>
        </w:p>
        <w:p w14:paraId="2C85A39A">
          <w:pPr>
            <w:pStyle w:val="94"/>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rFonts w:asciiTheme="majorEastAsia" w:hAnsiTheme="majorEastAsia" w:eastAsiaTheme="majorEastAsia" w:cstheme="majorEastAsia"/>
              <w:sz w:val="28"/>
              <w:szCs w:val="28"/>
              <w:highlight w:val="none"/>
            </w:rPr>
            <w:fldChar w:fldCharType="begin"/>
          </w:r>
          <w:r>
            <w:rPr>
              <w:rFonts w:asciiTheme="majorEastAsia" w:hAnsiTheme="majorEastAsia" w:eastAsiaTheme="majorEastAsia" w:cstheme="majorEastAsia"/>
              <w:sz w:val="28"/>
              <w:szCs w:val="28"/>
              <w:highlight w:val="none"/>
            </w:rPr>
            <w:instrText xml:space="preserve"> HYPERLINK \l _Toc9507 </w:instrText>
          </w:r>
          <w:r>
            <w:rPr>
              <w:rFonts w:asciiTheme="majorEastAsia" w:hAnsiTheme="majorEastAsia" w:eastAsiaTheme="majorEastAsia" w:cstheme="majorEastAsia"/>
              <w:sz w:val="28"/>
              <w:szCs w:val="28"/>
              <w:highlight w:val="none"/>
            </w:rPr>
            <w:fldChar w:fldCharType="separate"/>
          </w:r>
          <w:r>
            <w:rPr>
              <w:rFonts w:hint="eastAsia"/>
              <w:sz w:val="28"/>
              <w:szCs w:val="28"/>
            </w:rPr>
            <w:t>第</w:t>
          </w:r>
          <w:r>
            <w:rPr>
              <w:rFonts w:hint="eastAsia"/>
              <w:sz w:val="28"/>
              <w:szCs w:val="28"/>
              <w:lang w:eastAsia="zh-CN"/>
            </w:rPr>
            <w:t>三</w:t>
          </w:r>
          <w:r>
            <w:rPr>
              <w:rFonts w:hint="eastAsia"/>
              <w:sz w:val="28"/>
              <w:szCs w:val="28"/>
            </w:rPr>
            <w:t xml:space="preserve">章 </w:t>
          </w:r>
          <w:r>
            <w:rPr>
              <w:rFonts w:hint="eastAsia"/>
              <w:sz w:val="28"/>
              <w:szCs w:val="28"/>
              <w:lang w:val="en-US" w:eastAsia="zh-CN"/>
            </w:rPr>
            <w:t xml:space="preserve"> </w:t>
          </w:r>
          <w:r>
            <w:rPr>
              <w:rFonts w:hint="eastAsia"/>
              <w:sz w:val="28"/>
              <w:szCs w:val="28"/>
            </w:rPr>
            <w:t>评标办法</w:t>
          </w:r>
          <w:r>
            <w:rPr>
              <w:sz w:val="28"/>
              <w:szCs w:val="28"/>
            </w:rPr>
            <w:tab/>
          </w:r>
          <w:r>
            <w:rPr>
              <w:sz w:val="28"/>
              <w:szCs w:val="28"/>
            </w:rPr>
            <w:fldChar w:fldCharType="begin"/>
          </w:r>
          <w:r>
            <w:rPr>
              <w:sz w:val="28"/>
              <w:szCs w:val="28"/>
            </w:rPr>
            <w:instrText xml:space="preserve"> PAGEREF _Toc9507 \h </w:instrText>
          </w:r>
          <w:r>
            <w:rPr>
              <w:sz w:val="28"/>
              <w:szCs w:val="28"/>
            </w:rPr>
            <w:fldChar w:fldCharType="separate"/>
          </w:r>
          <w:r>
            <w:rPr>
              <w:sz w:val="28"/>
              <w:szCs w:val="28"/>
            </w:rPr>
            <w:t>24</w:t>
          </w:r>
          <w:r>
            <w:rPr>
              <w:sz w:val="28"/>
              <w:szCs w:val="28"/>
            </w:rPr>
            <w:fldChar w:fldCharType="end"/>
          </w:r>
          <w:r>
            <w:rPr>
              <w:rFonts w:asciiTheme="majorEastAsia" w:hAnsiTheme="majorEastAsia" w:eastAsiaTheme="majorEastAsia" w:cstheme="majorEastAsia"/>
              <w:sz w:val="28"/>
              <w:szCs w:val="28"/>
              <w:highlight w:val="none"/>
            </w:rPr>
            <w:fldChar w:fldCharType="end"/>
          </w:r>
        </w:p>
        <w:p w14:paraId="567CBAE6">
          <w:pPr>
            <w:pStyle w:val="94"/>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rFonts w:asciiTheme="majorEastAsia" w:hAnsiTheme="majorEastAsia" w:eastAsiaTheme="majorEastAsia" w:cstheme="majorEastAsia"/>
              <w:sz w:val="28"/>
              <w:szCs w:val="28"/>
              <w:highlight w:val="none"/>
            </w:rPr>
            <w:fldChar w:fldCharType="begin"/>
          </w:r>
          <w:r>
            <w:rPr>
              <w:rFonts w:asciiTheme="majorEastAsia" w:hAnsiTheme="majorEastAsia" w:eastAsiaTheme="majorEastAsia" w:cstheme="majorEastAsia"/>
              <w:sz w:val="28"/>
              <w:szCs w:val="28"/>
              <w:highlight w:val="none"/>
            </w:rPr>
            <w:instrText xml:space="preserve"> HYPERLINK \l _Toc25518 </w:instrText>
          </w:r>
          <w:r>
            <w:rPr>
              <w:rFonts w:asciiTheme="majorEastAsia" w:hAnsiTheme="majorEastAsia" w:eastAsiaTheme="majorEastAsia" w:cstheme="majorEastAsia"/>
              <w:sz w:val="28"/>
              <w:szCs w:val="28"/>
              <w:highlight w:val="none"/>
            </w:rPr>
            <w:fldChar w:fldCharType="separate"/>
          </w:r>
          <w:r>
            <w:rPr>
              <w:rFonts w:hint="eastAsia"/>
              <w:sz w:val="28"/>
              <w:szCs w:val="28"/>
              <w:lang w:val="en-US" w:eastAsia="zh-CN"/>
            </w:rPr>
            <w:t>第四章  定标方法</w:t>
          </w:r>
          <w:r>
            <w:rPr>
              <w:sz w:val="28"/>
              <w:szCs w:val="28"/>
            </w:rPr>
            <w:tab/>
          </w:r>
          <w:r>
            <w:rPr>
              <w:sz w:val="28"/>
              <w:szCs w:val="28"/>
            </w:rPr>
            <w:fldChar w:fldCharType="begin"/>
          </w:r>
          <w:r>
            <w:rPr>
              <w:sz w:val="28"/>
              <w:szCs w:val="28"/>
            </w:rPr>
            <w:instrText xml:space="preserve"> PAGEREF _Toc25518 \h </w:instrText>
          </w:r>
          <w:r>
            <w:rPr>
              <w:sz w:val="28"/>
              <w:szCs w:val="28"/>
            </w:rPr>
            <w:fldChar w:fldCharType="separate"/>
          </w:r>
          <w:r>
            <w:rPr>
              <w:sz w:val="28"/>
              <w:szCs w:val="28"/>
            </w:rPr>
            <w:t>32</w:t>
          </w:r>
          <w:r>
            <w:rPr>
              <w:sz w:val="28"/>
              <w:szCs w:val="28"/>
            </w:rPr>
            <w:fldChar w:fldCharType="end"/>
          </w:r>
          <w:r>
            <w:rPr>
              <w:rFonts w:asciiTheme="majorEastAsia" w:hAnsiTheme="majorEastAsia" w:eastAsiaTheme="majorEastAsia" w:cstheme="majorEastAsia"/>
              <w:sz w:val="28"/>
              <w:szCs w:val="28"/>
              <w:highlight w:val="none"/>
            </w:rPr>
            <w:fldChar w:fldCharType="end"/>
          </w:r>
        </w:p>
        <w:p w14:paraId="7A96AB50">
          <w:pPr>
            <w:pStyle w:val="94"/>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rFonts w:asciiTheme="majorEastAsia" w:hAnsiTheme="majorEastAsia" w:eastAsiaTheme="majorEastAsia" w:cstheme="majorEastAsia"/>
              <w:sz w:val="28"/>
              <w:szCs w:val="28"/>
              <w:highlight w:val="none"/>
            </w:rPr>
            <w:fldChar w:fldCharType="begin"/>
          </w:r>
          <w:r>
            <w:rPr>
              <w:rFonts w:asciiTheme="majorEastAsia" w:hAnsiTheme="majorEastAsia" w:eastAsiaTheme="majorEastAsia" w:cstheme="majorEastAsia"/>
              <w:sz w:val="28"/>
              <w:szCs w:val="28"/>
              <w:highlight w:val="none"/>
            </w:rPr>
            <w:instrText xml:space="preserve"> HYPERLINK \l _Toc15357 </w:instrText>
          </w:r>
          <w:r>
            <w:rPr>
              <w:rFonts w:asciiTheme="majorEastAsia" w:hAnsiTheme="majorEastAsia" w:eastAsiaTheme="majorEastAsia" w:cstheme="majorEastAsia"/>
              <w:sz w:val="28"/>
              <w:szCs w:val="28"/>
              <w:highlight w:val="none"/>
            </w:rPr>
            <w:fldChar w:fldCharType="separate"/>
          </w:r>
          <w:r>
            <w:rPr>
              <w:rFonts w:hint="eastAsia"/>
              <w:sz w:val="28"/>
              <w:szCs w:val="28"/>
            </w:rPr>
            <w:t>第</w:t>
          </w:r>
          <w:r>
            <w:rPr>
              <w:rFonts w:hint="eastAsia"/>
              <w:sz w:val="28"/>
              <w:szCs w:val="28"/>
              <w:lang w:val="en-US" w:eastAsia="zh-CN"/>
            </w:rPr>
            <w:t>五</w:t>
          </w:r>
          <w:r>
            <w:rPr>
              <w:rFonts w:hint="eastAsia"/>
              <w:sz w:val="28"/>
              <w:szCs w:val="28"/>
            </w:rPr>
            <w:t>章  合同条款及格式</w:t>
          </w:r>
          <w:r>
            <w:rPr>
              <w:sz w:val="28"/>
              <w:szCs w:val="28"/>
            </w:rPr>
            <w:tab/>
          </w:r>
          <w:r>
            <w:rPr>
              <w:sz w:val="28"/>
              <w:szCs w:val="28"/>
            </w:rPr>
            <w:fldChar w:fldCharType="begin"/>
          </w:r>
          <w:r>
            <w:rPr>
              <w:sz w:val="28"/>
              <w:szCs w:val="28"/>
            </w:rPr>
            <w:instrText xml:space="preserve"> PAGEREF _Toc15357 \h </w:instrText>
          </w:r>
          <w:r>
            <w:rPr>
              <w:sz w:val="28"/>
              <w:szCs w:val="28"/>
            </w:rPr>
            <w:fldChar w:fldCharType="separate"/>
          </w:r>
          <w:r>
            <w:rPr>
              <w:sz w:val="28"/>
              <w:szCs w:val="28"/>
            </w:rPr>
            <w:t>35</w:t>
          </w:r>
          <w:r>
            <w:rPr>
              <w:sz w:val="28"/>
              <w:szCs w:val="28"/>
            </w:rPr>
            <w:fldChar w:fldCharType="end"/>
          </w:r>
          <w:r>
            <w:rPr>
              <w:rFonts w:asciiTheme="majorEastAsia" w:hAnsiTheme="majorEastAsia" w:eastAsiaTheme="majorEastAsia" w:cstheme="majorEastAsia"/>
              <w:sz w:val="28"/>
              <w:szCs w:val="28"/>
              <w:highlight w:val="none"/>
            </w:rPr>
            <w:fldChar w:fldCharType="end"/>
          </w:r>
        </w:p>
        <w:p w14:paraId="0512D271">
          <w:pPr>
            <w:pStyle w:val="94"/>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rFonts w:asciiTheme="majorEastAsia" w:hAnsiTheme="majorEastAsia" w:eastAsiaTheme="majorEastAsia" w:cstheme="majorEastAsia"/>
              <w:sz w:val="28"/>
              <w:szCs w:val="28"/>
              <w:highlight w:val="none"/>
            </w:rPr>
            <w:fldChar w:fldCharType="begin"/>
          </w:r>
          <w:r>
            <w:rPr>
              <w:rFonts w:asciiTheme="majorEastAsia" w:hAnsiTheme="majorEastAsia" w:eastAsiaTheme="majorEastAsia" w:cstheme="majorEastAsia"/>
              <w:sz w:val="28"/>
              <w:szCs w:val="28"/>
              <w:highlight w:val="none"/>
            </w:rPr>
            <w:instrText xml:space="preserve"> HYPERLINK \l _Toc18569 </w:instrText>
          </w:r>
          <w:r>
            <w:rPr>
              <w:rFonts w:asciiTheme="majorEastAsia" w:hAnsiTheme="majorEastAsia" w:eastAsiaTheme="majorEastAsia" w:cstheme="majorEastAsia"/>
              <w:sz w:val="28"/>
              <w:szCs w:val="28"/>
              <w:highlight w:val="none"/>
            </w:rPr>
            <w:fldChar w:fldCharType="separate"/>
          </w:r>
          <w:r>
            <w:rPr>
              <w:rFonts w:hint="eastAsia"/>
              <w:sz w:val="28"/>
              <w:szCs w:val="28"/>
              <w:lang w:val="en-US" w:eastAsia="zh-CN"/>
            </w:rPr>
            <w:t>第六章  工作内容及技术标准</w:t>
          </w:r>
          <w:r>
            <w:rPr>
              <w:sz w:val="28"/>
              <w:szCs w:val="28"/>
            </w:rPr>
            <w:tab/>
          </w:r>
          <w:r>
            <w:rPr>
              <w:sz w:val="28"/>
              <w:szCs w:val="28"/>
            </w:rPr>
            <w:fldChar w:fldCharType="begin"/>
          </w:r>
          <w:r>
            <w:rPr>
              <w:sz w:val="28"/>
              <w:szCs w:val="28"/>
            </w:rPr>
            <w:instrText xml:space="preserve"> PAGEREF _Toc18569 \h </w:instrText>
          </w:r>
          <w:r>
            <w:rPr>
              <w:sz w:val="28"/>
              <w:szCs w:val="28"/>
            </w:rPr>
            <w:fldChar w:fldCharType="separate"/>
          </w:r>
          <w:r>
            <w:rPr>
              <w:sz w:val="28"/>
              <w:szCs w:val="28"/>
            </w:rPr>
            <w:t>52</w:t>
          </w:r>
          <w:r>
            <w:rPr>
              <w:sz w:val="28"/>
              <w:szCs w:val="28"/>
            </w:rPr>
            <w:fldChar w:fldCharType="end"/>
          </w:r>
          <w:r>
            <w:rPr>
              <w:rFonts w:asciiTheme="majorEastAsia" w:hAnsiTheme="majorEastAsia" w:eastAsiaTheme="majorEastAsia" w:cstheme="majorEastAsia"/>
              <w:sz w:val="28"/>
              <w:szCs w:val="28"/>
              <w:highlight w:val="none"/>
            </w:rPr>
            <w:fldChar w:fldCharType="end"/>
          </w:r>
        </w:p>
        <w:p w14:paraId="54D6D218">
          <w:pPr>
            <w:pStyle w:val="94"/>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pPr>
          <w:r>
            <w:rPr>
              <w:rFonts w:asciiTheme="majorEastAsia" w:hAnsiTheme="majorEastAsia" w:eastAsiaTheme="majorEastAsia" w:cstheme="majorEastAsia"/>
              <w:sz w:val="28"/>
              <w:szCs w:val="28"/>
              <w:highlight w:val="none"/>
            </w:rPr>
            <w:fldChar w:fldCharType="begin"/>
          </w:r>
          <w:r>
            <w:rPr>
              <w:rFonts w:asciiTheme="majorEastAsia" w:hAnsiTheme="majorEastAsia" w:eastAsiaTheme="majorEastAsia" w:cstheme="majorEastAsia"/>
              <w:sz w:val="28"/>
              <w:szCs w:val="28"/>
              <w:highlight w:val="none"/>
            </w:rPr>
            <w:instrText xml:space="preserve"> HYPERLINK \l _Toc17005 </w:instrText>
          </w:r>
          <w:r>
            <w:rPr>
              <w:rFonts w:asciiTheme="majorEastAsia" w:hAnsiTheme="majorEastAsia" w:eastAsiaTheme="majorEastAsia" w:cstheme="majorEastAsia"/>
              <w:sz w:val="28"/>
              <w:szCs w:val="28"/>
              <w:highlight w:val="none"/>
            </w:rPr>
            <w:fldChar w:fldCharType="separate"/>
          </w:r>
          <w:r>
            <w:rPr>
              <w:rFonts w:hint="eastAsia"/>
              <w:sz w:val="28"/>
              <w:szCs w:val="28"/>
            </w:rPr>
            <w:t>第</w:t>
          </w:r>
          <w:r>
            <w:rPr>
              <w:rFonts w:hint="eastAsia"/>
              <w:sz w:val="28"/>
              <w:szCs w:val="28"/>
              <w:lang w:val="en-US" w:eastAsia="zh-CN"/>
            </w:rPr>
            <w:t>七</w:t>
          </w:r>
          <w:r>
            <w:rPr>
              <w:rFonts w:hint="eastAsia"/>
              <w:sz w:val="28"/>
              <w:szCs w:val="28"/>
            </w:rPr>
            <w:t>章  投标文件格式</w:t>
          </w:r>
          <w:r>
            <w:rPr>
              <w:sz w:val="28"/>
              <w:szCs w:val="28"/>
            </w:rPr>
            <w:tab/>
          </w:r>
          <w:r>
            <w:rPr>
              <w:sz w:val="28"/>
              <w:szCs w:val="28"/>
            </w:rPr>
            <w:fldChar w:fldCharType="begin"/>
          </w:r>
          <w:r>
            <w:rPr>
              <w:sz w:val="28"/>
              <w:szCs w:val="28"/>
            </w:rPr>
            <w:instrText xml:space="preserve"> PAGEREF _Toc17005 \h </w:instrText>
          </w:r>
          <w:r>
            <w:rPr>
              <w:sz w:val="28"/>
              <w:szCs w:val="28"/>
            </w:rPr>
            <w:fldChar w:fldCharType="separate"/>
          </w:r>
          <w:r>
            <w:rPr>
              <w:sz w:val="28"/>
              <w:szCs w:val="28"/>
            </w:rPr>
            <w:t>53</w:t>
          </w:r>
          <w:r>
            <w:rPr>
              <w:sz w:val="28"/>
              <w:szCs w:val="28"/>
            </w:rPr>
            <w:fldChar w:fldCharType="end"/>
          </w:r>
          <w:r>
            <w:rPr>
              <w:rFonts w:asciiTheme="majorEastAsia" w:hAnsiTheme="majorEastAsia" w:eastAsiaTheme="majorEastAsia" w:cstheme="majorEastAsia"/>
              <w:sz w:val="28"/>
              <w:szCs w:val="28"/>
              <w:highlight w:val="none"/>
            </w:rPr>
            <w:fldChar w:fldCharType="end"/>
          </w:r>
        </w:p>
        <w:p w14:paraId="1837F34F">
          <w:pPr>
            <w:spacing w:line="400" w:lineRule="exact"/>
            <w:rPr>
              <w:rFonts w:asciiTheme="majorEastAsia" w:hAnsiTheme="majorEastAsia" w:eastAsiaTheme="majorEastAsia" w:cstheme="majorEastAsia"/>
              <w:kern w:val="2"/>
              <w:sz w:val="21"/>
              <w:szCs w:val="24"/>
              <w:highlight w:val="none"/>
              <w:lang w:val="en-US" w:eastAsia="zh-CN" w:bidi="ar-SA"/>
            </w:rPr>
          </w:pPr>
          <w:r>
            <w:rPr>
              <w:rFonts w:asciiTheme="majorEastAsia" w:hAnsiTheme="majorEastAsia" w:eastAsiaTheme="majorEastAsia" w:cstheme="majorEastAsia"/>
              <w:highlight w:val="none"/>
            </w:rPr>
            <w:fldChar w:fldCharType="end"/>
          </w:r>
        </w:p>
      </w:sdtContent>
    </w:sdt>
    <w:p w14:paraId="4B16AB57">
      <w:pPr>
        <w:spacing w:line="400" w:lineRule="exact"/>
        <w:rPr>
          <w:rFonts w:asciiTheme="majorEastAsia" w:hAnsiTheme="majorEastAsia" w:eastAsiaTheme="majorEastAsia" w:cstheme="majorEastAsia"/>
          <w:kern w:val="2"/>
          <w:sz w:val="21"/>
          <w:szCs w:val="24"/>
          <w:highlight w:val="none"/>
          <w:lang w:val="en-US" w:eastAsia="zh-CN" w:bidi="ar-SA"/>
        </w:rPr>
      </w:pPr>
    </w:p>
    <w:p w14:paraId="327CDC60">
      <w:pPr>
        <w:pStyle w:val="26"/>
        <w:spacing w:line="340" w:lineRule="exact"/>
        <w:jc w:val="center"/>
        <w:outlineLvl w:val="9"/>
        <w:rPr>
          <w:rFonts w:asciiTheme="majorEastAsia" w:hAnsiTheme="majorEastAsia" w:eastAsiaTheme="majorEastAsia" w:cstheme="majorEastAsia"/>
          <w:sz w:val="32"/>
          <w:highlight w:val="none"/>
        </w:rPr>
      </w:pPr>
    </w:p>
    <w:p w14:paraId="08DADF23">
      <w:pPr>
        <w:rPr>
          <w:rFonts w:asciiTheme="majorEastAsia" w:hAnsiTheme="majorEastAsia" w:eastAsiaTheme="majorEastAsia" w:cstheme="majorEastAsia"/>
          <w:highlight w:val="none"/>
        </w:rPr>
      </w:pPr>
    </w:p>
    <w:p w14:paraId="6D385015">
      <w:pPr>
        <w:pStyle w:val="2"/>
        <w:tabs>
          <w:tab w:val="left" w:pos="4200"/>
        </w:tabs>
        <w:spacing w:before="120" w:beforeLines="50" w:after="120" w:afterLines="50" w:line="240" w:lineRule="auto"/>
        <w:outlineLvl w:val="9"/>
        <w:rPr>
          <w:rFonts w:asciiTheme="majorEastAsia" w:hAnsiTheme="majorEastAsia" w:eastAsiaTheme="majorEastAsia" w:cstheme="majorEastAsia"/>
          <w:sz w:val="32"/>
          <w:highlight w:val="none"/>
        </w:rPr>
        <w:sectPr>
          <w:headerReference r:id="rId5" w:type="default"/>
          <w:footerReference r:id="rId6" w:type="default"/>
          <w:pgSz w:w="11906" w:h="16838"/>
          <w:pgMar w:top="1270" w:right="1080" w:bottom="1327" w:left="1080" w:header="737" w:footer="737" w:gutter="0"/>
          <w:pgNumType w:fmt="decimal" w:start="1"/>
          <w:cols w:space="0" w:num="1"/>
          <w:docGrid w:linePitch="312" w:charSpace="0"/>
        </w:sectPr>
      </w:pPr>
    </w:p>
    <w:bookmarkEnd w:id="7"/>
    <w:p w14:paraId="4C3E7260">
      <w:pPr>
        <w:pStyle w:val="2"/>
        <w:keepNext/>
        <w:keepLines/>
        <w:pageBreakBefore w:val="0"/>
        <w:widowControl w:val="0"/>
        <w:kinsoku/>
        <w:wordWrap/>
        <w:overflowPunct/>
        <w:topLinePunct w:val="0"/>
        <w:autoSpaceDE/>
        <w:autoSpaceDN/>
        <w:bidi w:val="0"/>
        <w:adjustRightInd/>
        <w:snapToGrid/>
        <w:spacing w:line="420" w:lineRule="auto"/>
        <w:textAlignment w:val="auto"/>
        <w:rPr>
          <w:rFonts w:hint="eastAsia"/>
        </w:rPr>
      </w:pPr>
      <w:bookmarkStart w:id="8" w:name="_Toc2132"/>
      <w:bookmarkStart w:id="9" w:name="_Toc9754"/>
    </w:p>
    <w:p w14:paraId="1D2085D2">
      <w:pPr>
        <w:pStyle w:val="2"/>
        <w:keepNext/>
        <w:keepLines/>
        <w:pageBreakBefore w:val="0"/>
        <w:widowControl w:val="0"/>
        <w:kinsoku/>
        <w:wordWrap/>
        <w:overflowPunct/>
        <w:topLinePunct w:val="0"/>
        <w:autoSpaceDE/>
        <w:autoSpaceDN/>
        <w:bidi w:val="0"/>
        <w:adjustRightInd/>
        <w:snapToGrid/>
        <w:spacing w:line="420" w:lineRule="auto"/>
        <w:textAlignment w:val="auto"/>
      </w:pPr>
      <w:r>
        <w:rPr>
          <w:rFonts w:hint="eastAsia"/>
        </w:rPr>
        <w:t xml:space="preserve">第一章  </w:t>
      </w:r>
      <w:bookmarkStart w:id="10" w:name="_Toc366167580"/>
      <w:bookmarkStart w:id="11" w:name="_Toc309377181"/>
      <w:r>
        <w:rPr>
          <w:rFonts w:hint="eastAsia"/>
        </w:rPr>
        <w:t>招标公告</w:t>
      </w:r>
      <w:bookmarkEnd w:id="8"/>
      <w:bookmarkEnd w:id="9"/>
    </w:p>
    <w:p w14:paraId="39C9F541">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bookmarkStart w:id="12" w:name="_Toc169627525"/>
      <w:bookmarkStart w:id="13" w:name="_Toc17515"/>
      <w:r>
        <w:rPr>
          <w:rFonts w:hint="eastAsia" w:ascii="宋体" w:hAnsi="宋体" w:eastAsia="宋体" w:cs="宋体"/>
          <w:b/>
          <w:bCs/>
          <w:color w:val="000000"/>
          <w:kern w:val="0"/>
          <w:sz w:val="24"/>
          <w:szCs w:val="24"/>
          <w:highlight w:val="none"/>
        </w:rPr>
        <w:t>一、项目概况与招标范围：</w:t>
      </w:r>
      <w:bookmarkEnd w:id="12"/>
      <w:bookmarkEnd w:id="13"/>
    </w:p>
    <w:p w14:paraId="58545229">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1、招标项目编号：2312-371702-04-01-610039</w:t>
      </w:r>
    </w:p>
    <w:p w14:paraId="0B74977F">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2、项目名称：</w:t>
      </w:r>
      <w:r>
        <w:rPr>
          <w:rFonts w:hint="eastAsia" w:ascii="宋体" w:hAnsi="宋体" w:eastAsia="宋体" w:cs="宋体"/>
          <w:kern w:val="0"/>
          <w:sz w:val="24"/>
          <w:szCs w:val="24"/>
          <w:highlight w:val="none"/>
          <w:lang w:eastAsia="zh-CN"/>
        </w:rPr>
        <w:t>菏泽市牡丹区乡镇水环境综合治理项目（第二批施工、监理及跟踪审计）</w:t>
      </w:r>
      <w:r>
        <w:rPr>
          <w:rFonts w:hint="eastAsia" w:ascii="宋体" w:hAnsi="宋体" w:eastAsia="宋体" w:cs="宋体"/>
          <w:kern w:val="0"/>
          <w:sz w:val="24"/>
          <w:szCs w:val="24"/>
          <w:highlight w:val="none"/>
        </w:rPr>
        <w:t>；</w:t>
      </w:r>
    </w:p>
    <w:p w14:paraId="07BBFD04">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3、项目地点：</w:t>
      </w:r>
      <w:r>
        <w:rPr>
          <w:rFonts w:hint="eastAsia" w:ascii="宋体" w:hAnsi="宋体" w:eastAsia="宋体" w:cs="宋体"/>
          <w:kern w:val="0"/>
          <w:sz w:val="24"/>
          <w:szCs w:val="24"/>
          <w:highlight w:val="none"/>
          <w:lang w:val="en-US" w:eastAsia="zh-CN"/>
        </w:rPr>
        <w:t>牡丹区境内皇镇、胡集镇、沙土镇、牡丹街道、都司镇、小留镇、何楼街道、王浩屯镇、李村镇、高庄镇</w:t>
      </w:r>
      <w:r>
        <w:rPr>
          <w:rFonts w:hint="eastAsia" w:ascii="宋体" w:hAnsi="宋体" w:eastAsia="宋体" w:cs="宋体"/>
          <w:kern w:val="0"/>
          <w:sz w:val="24"/>
          <w:szCs w:val="24"/>
          <w:highlight w:val="none"/>
        </w:rPr>
        <w:t>；</w:t>
      </w:r>
    </w:p>
    <w:p w14:paraId="3DBF6FCB">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4、项目规模：</w:t>
      </w:r>
      <w:r>
        <w:rPr>
          <w:rFonts w:hint="eastAsia" w:ascii="宋体" w:hAnsi="宋体" w:eastAsia="宋体" w:cs="宋体"/>
          <w:kern w:val="0"/>
          <w:sz w:val="24"/>
          <w:szCs w:val="24"/>
          <w:highlight w:val="none"/>
          <w:lang w:val="en-US" w:eastAsia="zh-CN"/>
        </w:rPr>
        <w:t>皇镇、胡集镇、沙土镇、牡丹街道、都司镇、小留镇、何楼街道、王浩屯镇、李村镇、高庄镇污水处理站及污水管网工程，招标范围为招标人提供的设计文件、招标文件及有关资料所包括的所有内容，详见设计文件、招标文件及工程量清单</w:t>
      </w:r>
      <w:r>
        <w:rPr>
          <w:rFonts w:hint="eastAsia" w:ascii="宋体" w:hAnsi="宋体" w:eastAsia="宋体" w:cs="宋体"/>
          <w:kern w:val="0"/>
          <w:sz w:val="24"/>
          <w:szCs w:val="24"/>
          <w:highlight w:val="none"/>
        </w:rPr>
        <w:t>；</w:t>
      </w:r>
    </w:p>
    <w:p w14:paraId="7EFFFF02">
      <w:pPr>
        <w:keepNext w:val="0"/>
        <w:keepLines w:val="0"/>
        <w:pageBreakBefore w:val="0"/>
        <w:numPr>
          <w:ilvl w:val="0"/>
          <w:numId w:val="0"/>
        </w:numPr>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b w:val="0"/>
          <w:bCs w:val="0"/>
          <w:sz w:val="24"/>
          <w:szCs w:val="24"/>
          <w:highlight w:val="none"/>
        </w:rPr>
      </w:pPr>
      <w:bookmarkStart w:id="14" w:name="_Hlk169850163"/>
      <w:r>
        <w:rPr>
          <w:rFonts w:hint="eastAsia" w:ascii="宋体" w:hAnsi="宋体" w:eastAsia="宋体" w:cs="宋体"/>
          <w:b w:val="0"/>
          <w:bCs w:val="0"/>
          <w:kern w:val="2"/>
          <w:sz w:val="24"/>
          <w:szCs w:val="24"/>
          <w:highlight w:val="none"/>
          <w:lang w:val="en-US" w:eastAsia="zh-CN" w:bidi="ar-SA"/>
        </w:rPr>
        <w:t>5、</w:t>
      </w:r>
      <w:r>
        <w:rPr>
          <w:rFonts w:hint="eastAsia" w:ascii="宋体" w:hAnsi="宋体" w:eastAsia="宋体" w:cs="宋体"/>
          <w:b w:val="0"/>
          <w:bCs w:val="0"/>
          <w:kern w:val="0"/>
          <w:sz w:val="24"/>
          <w:szCs w:val="24"/>
          <w:highlight w:val="none"/>
        </w:rPr>
        <w:t>计划工期：</w:t>
      </w:r>
      <w:bookmarkEnd w:id="14"/>
      <w:r>
        <w:rPr>
          <w:rFonts w:hint="eastAsia" w:ascii="宋体" w:hAnsi="宋体" w:eastAsia="宋体" w:cs="宋体"/>
          <w:b w:val="0"/>
          <w:bCs w:val="0"/>
          <w:sz w:val="24"/>
          <w:szCs w:val="24"/>
          <w:highlight w:val="none"/>
          <w:lang w:val="en-US" w:eastAsia="zh-CN"/>
        </w:rPr>
        <w:t>180日历天</w:t>
      </w:r>
      <w:r>
        <w:rPr>
          <w:rFonts w:hint="eastAsia" w:ascii="宋体" w:hAnsi="宋体" w:eastAsia="宋体" w:cs="宋体"/>
          <w:b w:val="0"/>
          <w:bCs w:val="0"/>
          <w:sz w:val="24"/>
          <w:szCs w:val="24"/>
          <w:highlight w:val="none"/>
        </w:rPr>
        <w:t>。</w:t>
      </w:r>
    </w:p>
    <w:p w14:paraId="084E4C10">
      <w:pPr>
        <w:keepNext w:val="0"/>
        <w:keepLines w:val="0"/>
        <w:pageBreakBefore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招标范围：</w:t>
      </w:r>
      <w:r>
        <w:rPr>
          <w:rFonts w:hint="eastAsia" w:ascii="宋体" w:hAnsi="宋体" w:eastAsia="宋体" w:cs="宋体"/>
          <w:kern w:val="0"/>
          <w:sz w:val="24"/>
          <w:szCs w:val="24"/>
          <w:highlight w:val="none"/>
          <w:lang w:eastAsia="zh-CN"/>
        </w:rPr>
        <w:t>菏泽市牡丹区乡镇水环境综合治理项目（第二批施工、监理及跟踪审计），具体详见招标文件</w:t>
      </w:r>
      <w:r>
        <w:rPr>
          <w:rFonts w:hint="eastAsia" w:ascii="宋体" w:hAnsi="宋体" w:eastAsia="宋体" w:cs="宋体"/>
          <w:kern w:val="0"/>
          <w:sz w:val="24"/>
          <w:szCs w:val="24"/>
          <w:highlight w:val="none"/>
        </w:rPr>
        <w:t>；</w:t>
      </w:r>
    </w:p>
    <w:p w14:paraId="1EF0AEEA">
      <w:pPr>
        <w:pStyle w:val="86"/>
        <w:keepNext w:val="0"/>
        <w:keepLines w:val="0"/>
        <w:pageBreakBefore w:val="0"/>
        <w:tabs>
          <w:tab w:val="right" w:pos="8066"/>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7、资金来源：财政资金；</w:t>
      </w:r>
    </w:p>
    <w:p w14:paraId="451051E6">
      <w:pPr>
        <w:keepNext w:val="0"/>
        <w:keepLines w:val="0"/>
        <w:pageBreakBefore w:val="0"/>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sz w:val="24"/>
          <w:szCs w:val="24"/>
          <w:highlight w:val="none"/>
        </w:rPr>
        <w:t>8、标段划分：本项目共划分</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个标段</w:t>
      </w:r>
      <w:r>
        <w:rPr>
          <w:rFonts w:hint="eastAsia" w:ascii="宋体" w:hAnsi="宋体" w:eastAsia="宋体" w:cs="宋体"/>
          <w:sz w:val="24"/>
          <w:szCs w:val="24"/>
          <w:highlight w:val="none"/>
          <w:lang w:eastAsia="zh-CN"/>
        </w:rPr>
        <w:t>，其中</w:t>
      </w:r>
      <w:r>
        <w:rPr>
          <w:rFonts w:hint="eastAsia" w:ascii="宋体" w:hAnsi="宋体" w:eastAsia="宋体" w:cs="宋体"/>
          <w:kern w:val="0"/>
          <w:sz w:val="24"/>
          <w:szCs w:val="24"/>
          <w:highlight w:val="none"/>
        </w:rPr>
        <w:t>一</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二、三</w:t>
      </w:r>
      <w:r>
        <w:rPr>
          <w:rFonts w:hint="eastAsia" w:ascii="宋体" w:hAnsi="宋体" w:eastAsia="宋体" w:cs="宋体"/>
          <w:kern w:val="0"/>
          <w:sz w:val="24"/>
          <w:szCs w:val="24"/>
          <w:highlight w:val="none"/>
        </w:rPr>
        <w:t>标段为</w:t>
      </w:r>
      <w:r>
        <w:rPr>
          <w:rFonts w:hint="eastAsia" w:ascii="宋体" w:hAnsi="宋体" w:eastAsia="宋体" w:cs="宋体"/>
          <w:kern w:val="0"/>
          <w:sz w:val="24"/>
          <w:szCs w:val="24"/>
          <w:highlight w:val="none"/>
          <w:lang w:val="en-US" w:eastAsia="zh-CN"/>
        </w:rPr>
        <w:t>本项目施工标段</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四</w:t>
      </w:r>
      <w:r>
        <w:rPr>
          <w:rFonts w:hint="eastAsia" w:ascii="宋体" w:hAnsi="宋体" w:eastAsia="宋体" w:cs="宋体"/>
          <w:kern w:val="0"/>
          <w:sz w:val="24"/>
          <w:szCs w:val="24"/>
          <w:highlight w:val="none"/>
        </w:rPr>
        <w:t>标段为</w:t>
      </w:r>
      <w:r>
        <w:rPr>
          <w:rFonts w:hint="eastAsia" w:ascii="宋体" w:hAnsi="宋体" w:eastAsia="宋体" w:cs="宋体"/>
          <w:kern w:val="0"/>
          <w:sz w:val="24"/>
          <w:szCs w:val="24"/>
          <w:highlight w:val="none"/>
          <w:lang w:val="en-US" w:eastAsia="zh-CN"/>
        </w:rPr>
        <w:t>本项目监理标段</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五标段为</w:t>
      </w:r>
      <w:r>
        <w:rPr>
          <w:rFonts w:hint="eastAsia" w:ascii="宋体" w:hAnsi="宋体" w:eastAsia="宋体" w:cs="宋体"/>
          <w:color w:val="auto"/>
          <w:kern w:val="0"/>
          <w:sz w:val="24"/>
          <w:szCs w:val="24"/>
          <w:highlight w:val="none"/>
          <w:lang w:val="en-US" w:eastAsia="zh-CN" w:bidi="ar-SA"/>
        </w:rPr>
        <w:t>本项目</w:t>
      </w:r>
      <w:r>
        <w:rPr>
          <w:rFonts w:hint="eastAsia" w:ascii="宋体" w:hAnsi="宋体" w:eastAsia="宋体" w:cs="宋体"/>
          <w:color w:val="auto"/>
          <w:sz w:val="24"/>
          <w:szCs w:val="24"/>
          <w:highlight w:val="none"/>
          <w:lang w:val="en-US" w:eastAsia="zh-CN"/>
        </w:rPr>
        <w:t>跟踪审计服务等</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sz w:val="24"/>
          <w:szCs w:val="24"/>
          <w:highlight w:val="none"/>
        </w:rPr>
        <w:t>具体内容详见招标文件</w:t>
      </w:r>
      <w:r>
        <w:rPr>
          <w:rFonts w:hint="eastAsia" w:ascii="宋体" w:hAnsi="宋体" w:eastAsia="宋体" w:cs="宋体"/>
          <w:color w:val="auto"/>
          <w:kern w:val="0"/>
          <w:sz w:val="24"/>
          <w:szCs w:val="24"/>
          <w:highlight w:val="none"/>
          <w:lang w:val="en-US" w:eastAsia="zh-CN" w:bidi="ar"/>
        </w:rPr>
        <w:t>）。</w:t>
      </w:r>
    </w:p>
    <w:p w14:paraId="5A25958D">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本项目采用“评定分离”方式确定中标人</w:t>
      </w:r>
      <w:r>
        <w:rPr>
          <w:rFonts w:hint="eastAsia" w:ascii="宋体" w:hAnsi="宋体" w:eastAsia="宋体" w:cs="宋体"/>
          <w:sz w:val="24"/>
          <w:szCs w:val="24"/>
          <w:highlight w:val="none"/>
        </w:rPr>
        <w:t>。</w:t>
      </w:r>
    </w:p>
    <w:p w14:paraId="05CF927D">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二、项目分标段情况</w:t>
      </w:r>
    </w:p>
    <w:tbl>
      <w:tblPr>
        <w:tblStyle w:val="36"/>
        <w:tblW w:w="105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6"/>
        <w:gridCol w:w="2253"/>
        <w:gridCol w:w="5349"/>
        <w:gridCol w:w="2094"/>
      </w:tblGrid>
      <w:tr w14:paraId="473E85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70DCEE28">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标段</w:t>
            </w:r>
            <w:r>
              <w:rPr>
                <w:rFonts w:hint="eastAsia" w:ascii="宋体" w:hAnsi="宋体" w:eastAsia="宋体" w:cs="宋体"/>
                <w:color w:val="auto"/>
                <w:sz w:val="24"/>
                <w:szCs w:val="24"/>
                <w:highlight w:val="none"/>
                <w:lang w:val="en-US" w:eastAsia="zh-CN"/>
              </w:rPr>
              <w:t>编号</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03CC0BFC">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5349" w:type="dxa"/>
            <w:tcBorders>
              <w:top w:val="single" w:color="auto" w:sz="4" w:space="0"/>
              <w:left w:val="single" w:color="auto" w:sz="4" w:space="0"/>
              <w:bottom w:val="single" w:color="auto" w:sz="4" w:space="0"/>
              <w:right w:val="single" w:color="auto" w:sz="4" w:space="0"/>
            </w:tcBorders>
            <w:noWrap w:val="0"/>
            <w:vAlign w:val="center"/>
          </w:tcPr>
          <w:p w14:paraId="75434179">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投标人资格要求</w:t>
            </w:r>
          </w:p>
        </w:tc>
        <w:tc>
          <w:tcPr>
            <w:tcW w:w="2094" w:type="dxa"/>
            <w:tcBorders>
              <w:top w:val="single" w:color="auto" w:sz="4" w:space="0"/>
              <w:left w:val="single" w:color="auto" w:sz="4" w:space="0"/>
              <w:bottom w:val="single" w:color="auto" w:sz="4" w:space="0"/>
              <w:right w:val="single" w:color="auto" w:sz="4" w:space="0"/>
            </w:tcBorders>
            <w:noWrap w:val="0"/>
            <w:vAlign w:val="center"/>
          </w:tcPr>
          <w:p w14:paraId="0737A47E">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控制价</w:t>
            </w:r>
          </w:p>
        </w:tc>
      </w:tr>
      <w:tr w14:paraId="711605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48EECBB9">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75C77CED">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皇镇、胡集镇、沙土镇管网和污水处理站工程</w:t>
            </w:r>
            <w:r>
              <w:rPr>
                <w:rFonts w:hint="eastAsia" w:ascii="宋体" w:hAnsi="宋体" w:eastAsia="宋体" w:cs="宋体"/>
                <w:color w:val="auto"/>
                <w:sz w:val="24"/>
                <w:szCs w:val="24"/>
                <w:highlight w:val="none"/>
                <w:lang w:val="en-US" w:eastAsia="zh-CN"/>
              </w:rPr>
              <w:tab/>
            </w:r>
          </w:p>
        </w:tc>
        <w:tc>
          <w:tcPr>
            <w:tcW w:w="5349" w:type="dxa"/>
            <w:vMerge w:val="restart"/>
            <w:tcBorders>
              <w:top w:val="single" w:color="auto" w:sz="4" w:space="0"/>
              <w:left w:val="single" w:color="auto" w:sz="4" w:space="0"/>
              <w:right w:val="single" w:color="auto" w:sz="4" w:space="0"/>
            </w:tcBorders>
            <w:noWrap w:val="0"/>
            <w:vAlign w:val="center"/>
          </w:tcPr>
          <w:p w14:paraId="67634EA0">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1.投标人须在中华人民共和国境内注册，具有独立承担民事责任的能力，并在人员、设备、资金等方面具有承担本项目的能力和经验；</w:t>
            </w:r>
          </w:p>
          <w:p w14:paraId="7014C96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2.投标人具有</w:t>
            </w:r>
            <w:r>
              <w:rPr>
                <w:rFonts w:hint="eastAsia" w:ascii="宋体" w:hAnsi="宋体" w:eastAsia="宋体" w:cs="宋体"/>
                <w:color w:val="auto"/>
                <w:sz w:val="24"/>
                <w:szCs w:val="24"/>
                <w:highlight w:val="none"/>
                <w:lang w:val="zh-CN" w:eastAsia="zh-CN"/>
              </w:rPr>
              <w:t>建设行政主管部门核发的市政公用工程施工总承</w:t>
            </w:r>
            <w:r>
              <w:rPr>
                <w:rFonts w:hint="eastAsia" w:ascii="宋体" w:hAnsi="宋体" w:eastAsia="宋体" w:cs="宋体"/>
                <w:color w:val="0000FF"/>
                <w:sz w:val="24"/>
                <w:szCs w:val="24"/>
                <w:highlight w:val="none"/>
                <w:lang w:val="zh-CN" w:eastAsia="zh-CN"/>
              </w:rPr>
              <w:t>包叁级</w:t>
            </w:r>
            <w:r>
              <w:rPr>
                <w:rFonts w:hint="eastAsia" w:ascii="宋体" w:hAnsi="宋体" w:eastAsia="宋体" w:cs="宋体"/>
                <w:color w:val="auto"/>
                <w:sz w:val="24"/>
                <w:szCs w:val="24"/>
                <w:highlight w:val="none"/>
                <w:lang w:val="zh-CN" w:eastAsia="zh-CN"/>
              </w:rPr>
              <w:t>及以上资质；</w:t>
            </w:r>
          </w:p>
          <w:p w14:paraId="1832290F">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3.项目经理要求：需具备二级及以上注册建造师资格（市政公用工程专业）、具备有效的安全生产考核合格证书（B证）；</w:t>
            </w:r>
          </w:p>
          <w:p w14:paraId="4EAEAA21">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4.项目经理目前并未承担其他在建工程；</w:t>
            </w:r>
          </w:p>
          <w:p w14:paraId="6A80A57C">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潜在投标人在国家企业信用信息公示系统（www.gsxt.gov.cn）中未被列入严重违法失信企业名单；在信用中国（http://www.creditchina.gov.cn）平台未被列入严重失信主体名单、失信被执行人、安全生产严重失信主体名单、拖欠农民工工资失信联合惩戒对象名单；</w:t>
            </w:r>
          </w:p>
          <w:p w14:paraId="29E41B7B">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6.资格审查方式：资格后审；</w:t>
            </w:r>
          </w:p>
          <w:p w14:paraId="0B56FB27">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7.本标段不接受联合体投标。</w:t>
            </w:r>
          </w:p>
        </w:tc>
        <w:tc>
          <w:tcPr>
            <w:tcW w:w="2094" w:type="dxa"/>
            <w:tcBorders>
              <w:top w:val="single" w:color="auto" w:sz="4" w:space="0"/>
              <w:left w:val="single" w:color="auto" w:sz="4" w:space="0"/>
              <w:bottom w:val="single" w:color="auto" w:sz="4" w:space="0"/>
              <w:right w:val="single" w:color="auto" w:sz="4" w:space="0"/>
            </w:tcBorders>
            <w:noWrap w:val="0"/>
            <w:vAlign w:val="center"/>
          </w:tcPr>
          <w:p w14:paraId="686D05EF">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5261579.46</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元</w:t>
            </w:r>
          </w:p>
        </w:tc>
      </w:tr>
      <w:tr w14:paraId="18AAC1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2C941740">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3D496ED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牡丹街道</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、都司镇</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、小留镇管网工程</w:t>
            </w:r>
            <w:r>
              <w:rPr>
                <w:rFonts w:hint="eastAsia" w:ascii="宋体" w:hAnsi="宋体" w:eastAsia="宋体" w:cs="宋体"/>
                <w:color w:val="auto"/>
                <w:sz w:val="24"/>
                <w:szCs w:val="24"/>
                <w:highlight w:val="none"/>
                <w:lang w:val="en-US" w:eastAsia="zh-CN"/>
              </w:rPr>
              <w:tab/>
            </w:r>
          </w:p>
        </w:tc>
        <w:tc>
          <w:tcPr>
            <w:tcW w:w="5349" w:type="dxa"/>
            <w:vMerge w:val="continue"/>
            <w:tcBorders>
              <w:left w:val="single" w:color="auto" w:sz="4" w:space="0"/>
              <w:right w:val="single" w:color="auto" w:sz="4" w:space="0"/>
            </w:tcBorders>
            <w:noWrap w:val="0"/>
            <w:vAlign w:val="center"/>
          </w:tcPr>
          <w:p w14:paraId="17544085">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p>
        </w:tc>
        <w:tc>
          <w:tcPr>
            <w:tcW w:w="2094" w:type="dxa"/>
            <w:tcBorders>
              <w:top w:val="single" w:color="auto" w:sz="4" w:space="0"/>
              <w:left w:val="single" w:color="auto" w:sz="4" w:space="0"/>
              <w:bottom w:val="single" w:color="auto" w:sz="4" w:space="0"/>
              <w:right w:val="single" w:color="auto" w:sz="4" w:space="0"/>
            </w:tcBorders>
            <w:noWrap w:val="0"/>
            <w:vAlign w:val="center"/>
          </w:tcPr>
          <w:p w14:paraId="39B3AF72">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6170217.56</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元</w:t>
            </w:r>
          </w:p>
        </w:tc>
      </w:tr>
      <w:tr w14:paraId="3593C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9"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3FEB92EF">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4B644658">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何楼街道、王浩屯镇、李村镇、高庄镇管网工程</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和污水处理站工程</w:t>
            </w:r>
            <w:r>
              <w:rPr>
                <w:rFonts w:hint="eastAsia" w:ascii="宋体" w:hAnsi="宋体" w:eastAsia="宋体" w:cs="宋体"/>
                <w:color w:val="auto"/>
                <w:sz w:val="24"/>
                <w:szCs w:val="24"/>
                <w:highlight w:val="none"/>
                <w:lang w:val="en-US" w:eastAsia="zh-CN"/>
              </w:rPr>
              <w:tab/>
            </w:r>
          </w:p>
        </w:tc>
        <w:tc>
          <w:tcPr>
            <w:tcW w:w="5349" w:type="dxa"/>
            <w:vMerge w:val="continue"/>
            <w:tcBorders>
              <w:left w:val="single" w:color="auto" w:sz="4" w:space="0"/>
              <w:bottom w:val="single" w:color="auto" w:sz="4" w:space="0"/>
              <w:right w:val="single" w:color="auto" w:sz="4" w:space="0"/>
            </w:tcBorders>
            <w:noWrap w:val="0"/>
            <w:vAlign w:val="center"/>
          </w:tcPr>
          <w:p w14:paraId="60240176">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p>
        </w:tc>
        <w:tc>
          <w:tcPr>
            <w:tcW w:w="2094" w:type="dxa"/>
            <w:tcBorders>
              <w:top w:val="single" w:color="auto" w:sz="4" w:space="0"/>
              <w:left w:val="single" w:color="auto" w:sz="4" w:space="0"/>
              <w:bottom w:val="single" w:color="auto" w:sz="4" w:space="0"/>
              <w:right w:val="single" w:color="auto" w:sz="4" w:space="0"/>
            </w:tcBorders>
            <w:noWrap w:val="0"/>
            <w:vAlign w:val="center"/>
          </w:tcPr>
          <w:p w14:paraId="70DD6BB0">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5790524.45</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元</w:t>
            </w:r>
          </w:p>
        </w:tc>
      </w:tr>
      <w:tr w14:paraId="584BD0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3D013465">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36F10730">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监理</w:t>
            </w:r>
          </w:p>
        </w:tc>
        <w:tc>
          <w:tcPr>
            <w:tcW w:w="5349" w:type="dxa"/>
            <w:tcBorders>
              <w:top w:val="single" w:color="auto" w:sz="4" w:space="0"/>
              <w:left w:val="single" w:color="auto" w:sz="4" w:space="0"/>
              <w:bottom w:val="single" w:color="auto" w:sz="4" w:space="0"/>
              <w:right w:val="single" w:color="auto" w:sz="4" w:space="0"/>
            </w:tcBorders>
            <w:noWrap w:val="0"/>
            <w:vAlign w:val="center"/>
          </w:tcPr>
          <w:p w14:paraId="29D3685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bookmarkStart w:id="15" w:name="_Hlk169599386"/>
            <w:r>
              <w:rPr>
                <w:rFonts w:hint="eastAsia" w:ascii="宋体" w:hAnsi="宋体" w:eastAsia="宋体" w:cs="宋体"/>
                <w:color w:val="auto"/>
                <w:sz w:val="24"/>
                <w:szCs w:val="24"/>
                <w:highlight w:val="none"/>
                <w:lang w:val="en-US" w:eastAsia="zh-CN"/>
              </w:rPr>
              <w:t>1、投标人须在中华人民共和国境内注册，具备独立承担民事责任的能力，具有履行合同所必需的设备、专业技术能力，并在人员、设备、资金等方面具备相应的服务能力；</w:t>
            </w:r>
          </w:p>
          <w:p w14:paraId="2F2E601A">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2、投标人须具备有效的市政公用工程专业监理乙级及以上资质或工程监理综合资质；拟派项目总监（负责人）须具备市政公用工程专业注册监理工程师执业资格且在本单位注册；</w:t>
            </w:r>
          </w:p>
          <w:bookmarkEnd w:id="15"/>
          <w:p w14:paraId="2EAE3E85">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潜在投标人在国家企业信用信息公示系统（www.gsxt.gov.cn）中未被列入严重违法失信企业名单；在信用中国（http://www.creditchina.gov.cn）平台未被列入严重失信主体名单、失信被执行人、安全生产严重失信主体名单；</w:t>
            </w:r>
          </w:p>
          <w:p w14:paraId="56B2A7F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bookmarkStart w:id="16" w:name="_Hlk169599415"/>
            <w:r>
              <w:rPr>
                <w:rFonts w:hint="eastAsia" w:ascii="宋体" w:hAnsi="宋体" w:eastAsia="宋体" w:cs="宋体"/>
                <w:color w:val="auto"/>
                <w:sz w:val="24"/>
                <w:szCs w:val="24"/>
                <w:highlight w:val="none"/>
                <w:lang w:val="en-US" w:eastAsia="zh-CN"/>
              </w:rPr>
              <w:t>本标段不接受联合体投标</w:t>
            </w:r>
            <w:bookmarkEnd w:id="16"/>
            <w:r>
              <w:rPr>
                <w:rFonts w:hint="eastAsia" w:ascii="宋体" w:hAnsi="宋体" w:eastAsia="宋体" w:cs="宋体"/>
                <w:color w:val="auto"/>
                <w:sz w:val="24"/>
                <w:szCs w:val="24"/>
                <w:highlight w:val="none"/>
                <w:lang w:val="en-US" w:eastAsia="zh-CN"/>
              </w:rPr>
              <w:t>；</w:t>
            </w:r>
          </w:p>
          <w:p w14:paraId="6CC137EC">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5、资格审查方式：资格后审。</w:t>
            </w:r>
          </w:p>
        </w:tc>
        <w:tc>
          <w:tcPr>
            <w:tcW w:w="2094" w:type="dxa"/>
            <w:tcBorders>
              <w:top w:val="single" w:color="auto" w:sz="4" w:space="0"/>
              <w:left w:val="single" w:color="auto" w:sz="4" w:space="0"/>
              <w:bottom w:val="single" w:color="auto" w:sz="4" w:space="0"/>
              <w:right w:val="single" w:color="auto" w:sz="4" w:space="0"/>
            </w:tcBorders>
            <w:noWrap w:val="0"/>
            <w:vAlign w:val="center"/>
          </w:tcPr>
          <w:p w14:paraId="0295C2B9">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工程审计结算价的1%（最高控制价）</w:t>
            </w:r>
          </w:p>
        </w:tc>
      </w:tr>
      <w:tr w14:paraId="32297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3"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07608947">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0F24A6A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跟踪审计</w:t>
            </w:r>
          </w:p>
        </w:tc>
        <w:tc>
          <w:tcPr>
            <w:tcW w:w="5349" w:type="dxa"/>
            <w:tcBorders>
              <w:top w:val="single" w:color="auto" w:sz="4" w:space="0"/>
              <w:left w:val="single" w:color="auto" w:sz="4" w:space="0"/>
              <w:right w:val="single" w:color="auto" w:sz="4" w:space="0"/>
            </w:tcBorders>
            <w:noWrap w:val="0"/>
            <w:vAlign w:val="center"/>
          </w:tcPr>
          <w:p w14:paraId="28859315">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1、投标人须在中华人民共和国境内注册，具备独立承担民事责任的能力，具有履行合同所必需的设备、专业技术能力，并在人员、设备、资金等方面具备相应的服务能力；</w:t>
            </w:r>
          </w:p>
          <w:p w14:paraId="3A30EF83">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2、拟派项目负责人须具有国家注册造价工程师（或一级注册造价工程师）执业资格；</w:t>
            </w:r>
          </w:p>
          <w:p w14:paraId="41598CA1">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潜在投标人在国家企业信用信息公示系统（www.gsxt.gov.cn）中未被列入严重违法失信企业名单；在信用中国（http://www.creditchina.gov.cn）平台未被列入严重失信主体名单、失信被执行人、安全生产严重失信主体名单；</w:t>
            </w:r>
          </w:p>
          <w:p w14:paraId="2068DF7B">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4、本标段不接受联合体投标；</w:t>
            </w:r>
          </w:p>
          <w:p w14:paraId="08151DCC">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5、资格审查方式：资格后审。</w:t>
            </w:r>
          </w:p>
        </w:tc>
        <w:tc>
          <w:tcPr>
            <w:tcW w:w="2094" w:type="dxa"/>
            <w:tcBorders>
              <w:top w:val="single" w:color="auto" w:sz="4" w:space="0"/>
              <w:left w:val="single" w:color="auto" w:sz="4" w:space="0"/>
              <w:bottom w:val="single" w:color="auto" w:sz="4" w:space="0"/>
              <w:right w:val="single" w:color="auto" w:sz="4" w:space="0"/>
            </w:tcBorders>
            <w:noWrap w:val="0"/>
            <w:vAlign w:val="center"/>
          </w:tcPr>
          <w:p w14:paraId="710B76BB">
            <w:pPr>
              <w:keepNext w:val="0"/>
              <w:keepLines w:val="0"/>
              <w:pageBreakBefore w:val="0"/>
              <w:kinsoku/>
              <w:wordWrap/>
              <w:overflowPunct/>
              <w:topLinePunct w:val="0"/>
              <w:autoSpaceDE/>
              <w:autoSpaceDN/>
              <w:bidi w:val="0"/>
              <w:adjustRightInd/>
              <w:snapToGrid/>
              <w:spacing w:line="480" w:lineRule="exact"/>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85000.00元</w:t>
            </w:r>
          </w:p>
        </w:tc>
      </w:tr>
    </w:tbl>
    <w:p w14:paraId="0F06AC0E">
      <w:pPr>
        <w:keepNext w:val="0"/>
        <w:keepLines w:val="0"/>
        <w:pageBreakBefore w:val="0"/>
        <w:tabs>
          <w:tab w:val="left" w:pos="703"/>
        </w:tabs>
        <w:kinsoku/>
        <w:wordWrap/>
        <w:overflowPunct/>
        <w:topLinePunct w:val="0"/>
        <w:autoSpaceDE/>
        <w:autoSpaceDN/>
        <w:bidi w:val="0"/>
        <w:adjustRightInd/>
        <w:spacing w:line="480" w:lineRule="exact"/>
        <w:ind w:left="0" w:leftChars="0" w:firstLine="422" w:firstLineChars="175"/>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注：1、投报1、2、3标段的投标人不得投报4、5标段。</w:t>
      </w:r>
    </w:p>
    <w:p w14:paraId="02D60281">
      <w:pPr>
        <w:keepNext w:val="0"/>
        <w:keepLines w:val="0"/>
        <w:pageBreakBefore w:val="0"/>
        <w:tabs>
          <w:tab w:val="left" w:pos="703"/>
        </w:tabs>
        <w:kinsoku/>
        <w:wordWrap/>
        <w:overflowPunct/>
        <w:topLinePunct w:val="0"/>
        <w:autoSpaceDE/>
        <w:autoSpaceDN/>
        <w:bidi w:val="0"/>
        <w:adjustRightInd/>
        <w:spacing w:line="480" w:lineRule="exact"/>
        <w:ind w:left="0" w:leftChars="0" w:firstLine="904" w:firstLineChars="375"/>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与招标人存在利害关系可能影响招标公正性的法人、其他组织或者个人，不得参加投标。单位负责人为同一人或者存在控股、管理关系的不同单位，不得参加同一标段投标或者未划分标段的同一招标项目投标。</w:t>
      </w:r>
    </w:p>
    <w:p w14:paraId="6D51C418">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lang w:val="en-US" w:eastAsia="zh-CN"/>
        </w:rPr>
        <w:t>三、</w:t>
      </w:r>
      <w:r>
        <w:rPr>
          <w:rFonts w:hint="eastAsia" w:ascii="宋体" w:hAnsi="宋体" w:eastAsia="宋体" w:cs="宋体"/>
          <w:b/>
          <w:bCs/>
          <w:color w:val="000000"/>
          <w:kern w:val="0"/>
          <w:sz w:val="24"/>
          <w:szCs w:val="24"/>
          <w:highlight w:val="none"/>
        </w:rPr>
        <w:t>电子招标文件获取：</w:t>
      </w:r>
    </w:p>
    <w:p w14:paraId="0C4F3641">
      <w:pPr>
        <w:keepNext w:val="0"/>
        <w:keepLines w:val="0"/>
        <w:pageBreakBefore w:val="0"/>
        <w:tabs>
          <w:tab w:val="left" w:pos="703"/>
        </w:tabs>
        <w:kinsoku/>
        <w:wordWrap/>
        <w:overflowPunct/>
        <w:topLinePunct w:val="0"/>
        <w:autoSpaceDE/>
        <w:autoSpaceDN/>
        <w:bidi w:val="0"/>
        <w:adjustRightInd/>
        <w:spacing w:line="480" w:lineRule="exact"/>
        <w:ind w:left="0" w:leftChars="0" w:firstLine="420" w:firstLineChars="175"/>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1、时间：投标截止时间前均可下载。</w:t>
      </w:r>
    </w:p>
    <w:p w14:paraId="218C11B2">
      <w:pPr>
        <w:keepNext w:val="0"/>
        <w:keepLines w:val="0"/>
        <w:pageBreakBefore w:val="0"/>
        <w:tabs>
          <w:tab w:val="left" w:pos="703"/>
        </w:tabs>
        <w:kinsoku/>
        <w:wordWrap/>
        <w:overflowPunct/>
        <w:topLinePunct w:val="0"/>
        <w:autoSpaceDE/>
        <w:autoSpaceDN/>
        <w:bidi w:val="0"/>
        <w:adjustRightInd/>
        <w:spacing w:line="480" w:lineRule="exact"/>
        <w:ind w:left="0" w:leftChars="0" w:firstLine="420" w:firstLineChars="175"/>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2、地点：赢标平台菏泽专区http://hz.fzbidding.com/网站自行下载招标文件。 </w:t>
      </w:r>
    </w:p>
    <w:p w14:paraId="3C1D0C7D">
      <w:pPr>
        <w:keepNext w:val="0"/>
        <w:keepLines w:val="0"/>
        <w:pageBreakBefore w:val="0"/>
        <w:tabs>
          <w:tab w:val="left" w:pos="703"/>
        </w:tabs>
        <w:kinsoku/>
        <w:wordWrap/>
        <w:overflowPunct/>
        <w:topLinePunct w:val="0"/>
        <w:autoSpaceDE/>
        <w:autoSpaceDN/>
        <w:bidi w:val="0"/>
        <w:adjustRightInd/>
        <w:spacing w:line="480" w:lineRule="exact"/>
        <w:ind w:left="0" w:leftChars="0" w:firstLine="420" w:firstLineChars="175"/>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sz w:val="24"/>
          <w:szCs w:val="24"/>
          <w:highlight w:val="none"/>
          <w:lang w:val="en-US" w:eastAsia="zh-CN"/>
        </w:rPr>
        <w:t>3、方式：①赢标平台菏泽专区下载方式：潜在投标人请于投标截止时间前登</w:t>
      </w:r>
      <w:r>
        <w:rPr>
          <w:rFonts w:hint="eastAsia" w:ascii="宋体" w:hAnsi="宋体" w:eastAsia="宋体" w:cs="宋体"/>
          <w:kern w:val="0"/>
          <w:sz w:val="24"/>
          <w:szCs w:val="24"/>
          <w:highlight w:val="none"/>
          <w:lang w:val="en-US" w:eastAsia="zh-CN"/>
        </w:rPr>
        <w:t>录赢标平台菏泽专区http://hz.fzbidding.com/注册账号并登录系统下载采购文件（格式：zbwj），未在赢标平台菏泽专区注册或者只注册未登录系统下载招标文件（格式：zbwj）的投标人不具备参与本项目的资格。②本项目为网上交易，提交电子版投标文件需使用赢标平台——投标客户端经过ca锁进行加密，加密后生成的电子投标文件方可上传提交，网站的注册及CA的办理过程需一定时间周期，投标人务必在投标截止时间前提前三天进行网站的注册及CA办理完成，以免造成投标失败。未及时进行网站注册及CA办理的投标人所造成的投标失败，后果由其自负。④招标文件一经在赢标平台菏泽专区http://hz.fzbidding.com/发布，视作已发放给所有投标人（发布时间即为发出招标文件的时间），各投标人应随时关注备案项目信息并及时在赢标平台菏泽专区http://hz.fzbidding.com/下载电子版招标文件和各类澄清答疑，否则所造成的一切后果由投标人自负。</w:t>
      </w:r>
    </w:p>
    <w:p w14:paraId="2490082E">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bookmarkStart w:id="17" w:name="_Toc169627526"/>
      <w:bookmarkStart w:id="18" w:name="_Toc31664"/>
      <w:r>
        <w:rPr>
          <w:rFonts w:hint="eastAsia" w:ascii="宋体" w:hAnsi="宋体" w:eastAsia="宋体" w:cs="宋体"/>
          <w:b/>
          <w:bCs/>
          <w:color w:val="000000"/>
          <w:kern w:val="0"/>
          <w:sz w:val="24"/>
          <w:szCs w:val="24"/>
          <w:highlight w:val="none"/>
        </w:rPr>
        <w:t>四、投标文件递交：</w:t>
      </w:r>
      <w:bookmarkEnd w:id="17"/>
      <w:bookmarkEnd w:id="18"/>
    </w:p>
    <w:p w14:paraId="420E5BF6">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highlight w:val="none"/>
        </w:rPr>
        <w:t>1</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投标文件递交截止</w:t>
      </w:r>
      <w:r>
        <w:rPr>
          <w:rFonts w:hint="eastAsia" w:ascii="宋体" w:hAnsi="宋体" w:eastAsia="宋体" w:cs="宋体"/>
          <w:color w:val="000000"/>
          <w:kern w:val="0"/>
          <w:sz w:val="24"/>
          <w:szCs w:val="24"/>
          <w:highlight w:val="none"/>
          <w:lang w:val="zh-CN"/>
        </w:rPr>
        <w:t>时间（投标截止时间，下同）：</w:t>
      </w:r>
      <w:r>
        <w:rPr>
          <w:rFonts w:hint="eastAsia" w:ascii="宋体" w:hAnsi="宋体" w:eastAsia="宋体" w:cs="宋体"/>
          <w:b/>
          <w:bCs/>
          <w:color w:val="auto"/>
          <w:kern w:val="0"/>
          <w:sz w:val="24"/>
          <w:szCs w:val="24"/>
          <w:highlight w:val="none"/>
        </w:rPr>
        <w:t>202</w:t>
      </w:r>
      <w:r>
        <w:rPr>
          <w:rFonts w:hint="eastAsia" w:ascii="宋体" w:hAnsi="宋体" w:cs="宋体"/>
          <w:b/>
          <w:bCs/>
          <w:color w:val="auto"/>
          <w:kern w:val="0"/>
          <w:sz w:val="24"/>
          <w:szCs w:val="24"/>
          <w:highlight w:val="none"/>
          <w:lang w:val="en-US" w:eastAsia="zh-CN"/>
        </w:rPr>
        <w:t>6</w:t>
      </w:r>
      <w:r>
        <w:rPr>
          <w:rFonts w:hint="eastAsia" w:ascii="宋体" w:hAnsi="宋体" w:eastAsia="宋体" w:cs="宋体"/>
          <w:b/>
          <w:bCs/>
          <w:color w:val="auto"/>
          <w:kern w:val="0"/>
          <w:sz w:val="24"/>
          <w:szCs w:val="24"/>
          <w:highlight w:val="none"/>
        </w:rPr>
        <w:t>年</w:t>
      </w:r>
      <w:r>
        <w:rPr>
          <w:rFonts w:hint="eastAsia" w:ascii="宋体" w:hAnsi="宋体" w:cs="宋体"/>
          <w:b/>
          <w:bCs/>
          <w:color w:val="auto"/>
          <w:kern w:val="0"/>
          <w:sz w:val="24"/>
          <w:szCs w:val="24"/>
          <w:highlight w:val="none"/>
          <w:lang w:val="en-US" w:eastAsia="zh-CN"/>
        </w:rPr>
        <w:t>1</w:t>
      </w:r>
      <w:r>
        <w:rPr>
          <w:rFonts w:hint="eastAsia" w:ascii="宋体" w:hAnsi="宋体" w:eastAsia="宋体" w:cs="宋体"/>
          <w:b/>
          <w:bCs/>
          <w:color w:val="auto"/>
          <w:kern w:val="0"/>
          <w:sz w:val="24"/>
          <w:szCs w:val="24"/>
          <w:highlight w:val="none"/>
        </w:rPr>
        <w:t>月</w:t>
      </w:r>
      <w:r>
        <w:rPr>
          <w:rFonts w:hint="eastAsia" w:ascii="宋体" w:hAnsi="宋体" w:cs="宋体"/>
          <w:b/>
          <w:bCs/>
          <w:color w:val="auto"/>
          <w:kern w:val="0"/>
          <w:sz w:val="24"/>
          <w:szCs w:val="24"/>
          <w:highlight w:val="none"/>
          <w:lang w:val="en-US" w:eastAsia="zh-CN"/>
        </w:rPr>
        <w:t>6</w:t>
      </w:r>
      <w:r>
        <w:rPr>
          <w:rFonts w:hint="eastAsia" w:ascii="宋体" w:hAnsi="宋体" w:eastAsia="宋体" w:cs="宋体"/>
          <w:b/>
          <w:bCs/>
          <w:color w:val="auto"/>
          <w:kern w:val="0"/>
          <w:sz w:val="24"/>
          <w:szCs w:val="24"/>
          <w:highlight w:val="none"/>
        </w:rPr>
        <w:t>日</w:t>
      </w:r>
      <w:r>
        <w:rPr>
          <w:rFonts w:hint="eastAsia" w:ascii="宋体" w:hAnsi="宋体" w:cs="宋体"/>
          <w:b/>
          <w:bCs/>
          <w:color w:val="auto"/>
          <w:kern w:val="0"/>
          <w:sz w:val="24"/>
          <w:szCs w:val="24"/>
          <w:highlight w:val="none"/>
          <w:lang w:val="en-US" w:eastAsia="zh-CN"/>
        </w:rPr>
        <w:t>9</w:t>
      </w:r>
      <w:r>
        <w:rPr>
          <w:rFonts w:hint="eastAsia" w:ascii="宋体" w:hAnsi="宋体" w:eastAsia="宋体" w:cs="宋体"/>
          <w:b/>
          <w:bCs/>
          <w:color w:val="auto"/>
          <w:kern w:val="0"/>
          <w:sz w:val="24"/>
          <w:szCs w:val="24"/>
          <w:highlight w:val="none"/>
        </w:rPr>
        <w:t>时</w:t>
      </w:r>
      <w:r>
        <w:rPr>
          <w:rFonts w:hint="eastAsia" w:ascii="宋体" w:hAnsi="宋体" w:cs="宋体"/>
          <w:b/>
          <w:bCs/>
          <w:color w:val="auto"/>
          <w:kern w:val="0"/>
          <w:sz w:val="24"/>
          <w:szCs w:val="24"/>
          <w:highlight w:val="none"/>
          <w:lang w:val="en-US" w:eastAsia="zh-CN"/>
        </w:rPr>
        <w:t>00</w:t>
      </w:r>
      <w:r>
        <w:rPr>
          <w:rFonts w:hint="eastAsia" w:ascii="宋体" w:hAnsi="宋体" w:eastAsia="宋体" w:cs="宋体"/>
          <w:b/>
          <w:bCs/>
          <w:color w:val="auto"/>
          <w:kern w:val="0"/>
          <w:sz w:val="24"/>
          <w:szCs w:val="24"/>
          <w:highlight w:val="none"/>
        </w:rPr>
        <w:t>分</w:t>
      </w:r>
      <w:r>
        <w:rPr>
          <w:rFonts w:hint="eastAsia" w:ascii="宋体" w:hAnsi="宋体" w:eastAsia="宋体" w:cs="宋体"/>
          <w:b/>
          <w:bCs/>
          <w:color w:val="auto"/>
          <w:sz w:val="24"/>
          <w:szCs w:val="24"/>
          <w:highlight w:val="none"/>
          <w:shd w:val="clear" w:color="auto" w:fill="FFFFFF"/>
        </w:rPr>
        <w:t>（北京时间）</w:t>
      </w:r>
      <w:r>
        <w:rPr>
          <w:rFonts w:hint="eastAsia" w:ascii="宋体" w:hAnsi="宋体" w:eastAsia="宋体" w:cs="宋体"/>
          <w:color w:val="auto"/>
          <w:sz w:val="24"/>
          <w:szCs w:val="24"/>
          <w:highlight w:val="none"/>
          <w:shd w:val="clear" w:color="auto" w:fill="FFFFFF"/>
        </w:rPr>
        <w:t>；</w:t>
      </w:r>
    </w:p>
    <w:p w14:paraId="59AA26FE">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递交方式：</w:t>
      </w:r>
    </w:p>
    <w:p w14:paraId="555E1267">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投标人</w:t>
      </w:r>
      <w:r>
        <w:rPr>
          <w:rFonts w:hint="eastAsia" w:ascii="宋体" w:hAnsi="宋体" w:eastAsia="宋体" w:cs="宋体"/>
          <w:color w:val="auto"/>
          <w:kern w:val="0"/>
          <w:sz w:val="24"/>
          <w:szCs w:val="24"/>
          <w:highlight w:val="none"/>
        </w:rPr>
        <w:t>须在</w:t>
      </w:r>
      <w:r>
        <w:rPr>
          <w:rFonts w:hint="eastAsia" w:ascii="宋体" w:hAnsi="宋体" w:eastAsia="宋体" w:cs="宋体"/>
          <w:color w:val="auto"/>
          <w:kern w:val="0"/>
          <w:sz w:val="24"/>
          <w:szCs w:val="24"/>
          <w:highlight w:val="none"/>
          <w:lang w:eastAsia="zh-CN"/>
        </w:rPr>
        <w:t>投标文件</w:t>
      </w:r>
      <w:r>
        <w:rPr>
          <w:rFonts w:hint="eastAsia" w:ascii="宋体" w:hAnsi="宋体" w:eastAsia="宋体" w:cs="宋体"/>
          <w:color w:val="auto"/>
          <w:kern w:val="0"/>
          <w:sz w:val="24"/>
          <w:szCs w:val="24"/>
          <w:highlight w:val="none"/>
          <w:lang w:val="en-US" w:eastAsia="zh-CN"/>
        </w:rPr>
        <w:t>递</w:t>
      </w:r>
      <w:r>
        <w:rPr>
          <w:rFonts w:hint="eastAsia" w:ascii="宋体" w:hAnsi="宋体" w:eastAsia="宋体" w:cs="宋体"/>
          <w:color w:val="auto"/>
          <w:kern w:val="0"/>
          <w:sz w:val="24"/>
          <w:szCs w:val="24"/>
          <w:highlight w:val="none"/>
        </w:rPr>
        <w:t>交截止时间前上传至电子交易平台。</w:t>
      </w:r>
    </w:p>
    <w:p w14:paraId="60499D04">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bookmarkStart w:id="19" w:name="_Toc4995"/>
      <w:bookmarkStart w:id="20" w:name="_Toc169627527"/>
      <w:r>
        <w:rPr>
          <w:rFonts w:hint="eastAsia" w:ascii="宋体" w:hAnsi="宋体" w:eastAsia="宋体" w:cs="宋体"/>
          <w:b/>
          <w:bCs/>
          <w:color w:val="000000"/>
          <w:kern w:val="0"/>
          <w:sz w:val="24"/>
          <w:szCs w:val="24"/>
          <w:highlight w:val="none"/>
        </w:rPr>
        <w:t>五、开标时间及地点：</w:t>
      </w:r>
      <w:bookmarkEnd w:id="19"/>
      <w:bookmarkEnd w:id="20"/>
    </w:p>
    <w:p w14:paraId="4BBD7341">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开标时间：</w:t>
      </w:r>
      <w:r>
        <w:rPr>
          <w:rFonts w:hint="eastAsia" w:ascii="宋体" w:hAnsi="宋体" w:eastAsia="宋体" w:cs="宋体"/>
          <w:b/>
          <w:bCs/>
          <w:color w:val="auto"/>
          <w:kern w:val="0"/>
          <w:sz w:val="24"/>
          <w:szCs w:val="24"/>
          <w:highlight w:val="none"/>
        </w:rPr>
        <w:t>202</w:t>
      </w:r>
      <w:r>
        <w:rPr>
          <w:rFonts w:hint="eastAsia" w:ascii="宋体" w:hAnsi="宋体" w:cs="宋体"/>
          <w:b/>
          <w:bCs/>
          <w:color w:val="auto"/>
          <w:kern w:val="0"/>
          <w:sz w:val="24"/>
          <w:szCs w:val="24"/>
          <w:highlight w:val="none"/>
          <w:lang w:val="en-US" w:eastAsia="zh-CN"/>
        </w:rPr>
        <w:t>6</w:t>
      </w:r>
      <w:r>
        <w:rPr>
          <w:rFonts w:hint="eastAsia" w:ascii="宋体" w:hAnsi="宋体" w:eastAsia="宋体" w:cs="宋体"/>
          <w:b/>
          <w:bCs/>
          <w:color w:val="auto"/>
          <w:kern w:val="0"/>
          <w:sz w:val="24"/>
          <w:szCs w:val="24"/>
          <w:highlight w:val="none"/>
        </w:rPr>
        <w:t>年</w:t>
      </w:r>
      <w:r>
        <w:rPr>
          <w:rFonts w:hint="eastAsia" w:ascii="宋体" w:hAnsi="宋体" w:cs="宋体"/>
          <w:b/>
          <w:bCs/>
          <w:color w:val="auto"/>
          <w:kern w:val="0"/>
          <w:sz w:val="24"/>
          <w:szCs w:val="24"/>
          <w:highlight w:val="none"/>
          <w:lang w:val="en-US" w:eastAsia="zh-CN"/>
        </w:rPr>
        <w:t>1</w:t>
      </w:r>
      <w:r>
        <w:rPr>
          <w:rFonts w:hint="eastAsia" w:ascii="宋体" w:hAnsi="宋体" w:eastAsia="宋体" w:cs="宋体"/>
          <w:b/>
          <w:bCs/>
          <w:color w:val="auto"/>
          <w:kern w:val="0"/>
          <w:sz w:val="24"/>
          <w:szCs w:val="24"/>
          <w:highlight w:val="none"/>
        </w:rPr>
        <w:t>月</w:t>
      </w:r>
      <w:r>
        <w:rPr>
          <w:rFonts w:hint="eastAsia" w:ascii="宋体" w:hAnsi="宋体" w:cs="宋体"/>
          <w:b/>
          <w:bCs/>
          <w:color w:val="auto"/>
          <w:kern w:val="0"/>
          <w:sz w:val="24"/>
          <w:szCs w:val="24"/>
          <w:highlight w:val="none"/>
          <w:lang w:val="en-US" w:eastAsia="zh-CN"/>
        </w:rPr>
        <w:t>6</w:t>
      </w:r>
      <w:r>
        <w:rPr>
          <w:rFonts w:hint="eastAsia" w:ascii="宋体" w:hAnsi="宋体" w:eastAsia="宋体" w:cs="宋体"/>
          <w:b/>
          <w:bCs/>
          <w:color w:val="auto"/>
          <w:kern w:val="0"/>
          <w:sz w:val="24"/>
          <w:szCs w:val="24"/>
          <w:highlight w:val="none"/>
        </w:rPr>
        <w:t>日</w:t>
      </w:r>
      <w:r>
        <w:rPr>
          <w:rFonts w:hint="eastAsia" w:ascii="宋体" w:hAnsi="宋体" w:cs="宋体"/>
          <w:b/>
          <w:bCs/>
          <w:color w:val="auto"/>
          <w:kern w:val="0"/>
          <w:sz w:val="24"/>
          <w:szCs w:val="24"/>
          <w:highlight w:val="none"/>
          <w:lang w:val="en-US" w:eastAsia="zh-CN"/>
        </w:rPr>
        <w:t>9</w:t>
      </w:r>
      <w:r>
        <w:rPr>
          <w:rFonts w:hint="eastAsia" w:ascii="宋体" w:hAnsi="宋体" w:eastAsia="宋体" w:cs="宋体"/>
          <w:b/>
          <w:bCs/>
          <w:color w:val="auto"/>
          <w:kern w:val="0"/>
          <w:sz w:val="24"/>
          <w:szCs w:val="24"/>
          <w:highlight w:val="none"/>
        </w:rPr>
        <w:t>时</w:t>
      </w:r>
      <w:r>
        <w:rPr>
          <w:rFonts w:hint="eastAsia" w:ascii="宋体" w:hAnsi="宋体" w:cs="宋体"/>
          <w:b/>
          <w:bCs/>
          <w:color w:val="auto"/>
          <w:kern w:val="0"/>
          <w:sz w:val="24"/>
          <w:szCs w:val="24"/>
          <w:highlight w:val="none"/>
          <w:lang w:val="en-US" w:eastAsia="zh-CN"/>
        </w:rPr>
        <w:t>00</w:t>
      </w:r>
      <w:r>
        <w:rPr>
          <w:rFonts w:hint="eastAsia" w:ascii="宋体" w:hAnsi="宋体" w:eastAsia="宋体" w:cs="宋体"/>
          <w:b/>
          <w:bCs/>
          <w:color w:val="auto"/>
          <w:kern w:val="0"/>
          <w:sz w:val="24"/>
          <w:szCs w:val="24"/>
          <w:highlight w:val="none"/>
        </w:rPr>
        <w:t>分</w:t>
      </w:r>
      <w:r>
        <w:rPr>
          <w:rFonts w:hint="eastAsia" w:ascii="宋体" w:hAnsi="宋体" w:eastAsia="宋体" w:cs="宋体"/>
          <w:b/>
          <w:bCs/>
          <w:color w:val="auto"/>
          <w:sz w:val="24"/>
          <w:szCs w:val="24"/>
          <w:highlight w:val="none"/>
          <w:shd w:val="clear" w:color="auto" w:fill="FFFFFF"/>
        </w:rPr>
        <w:t>（北京时间）</w:t>
      </w:r>
      <w:r>
        <w:rPr>
          <w:rFonts w:hint="eastAsia" w:ascii="宋体" w:hAnsi="宋体" w:eastAsia="宋体" w:cs="宋体"/>
          <w:color w:val="000000"/>
          <w:sz w:val="24"/>
          <w:szCs w:val="24"/>
          <w:highlight w:val="none"/>
          <w:shd w:val="clear" w:color="auto" w:fill="FFFFFF"/>
        </w:rPr>
        <w:t>。</w:t>
      </w:r>
    </w:p>
    <w:p w14:paraId="11908939">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rPr>
        <w:t>2</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开标地点：本次开标为网上交易，</w:t>
      </w:r>
      <w:r>
        <w:rPr>
          <w:rFonts w:hint="eastAsia" w:ascii="宋体" w:hAnsi="宋体" w:eastAsia="宋体" w:cs="宋体"/>
          <w:color w:val="000000"/>
          <w:kern w:val="0"/>
          <w:sz w:val="24"/>
          <w:szCs w:val="24"/>
          <w:highlight w:val="none"/>
          <w:lang w:eastAsia="zh-CN"/>
        </w:rPr>
        <w:t>投标人</w:t>
      </w:r>
      <w:r>
        <w:rPr>
          <w:rFonts w:hint="eastAsia" w:ascii="宋体" w:hAnsi="宋体" w:eastAsia="宋体" w:cs="宋体"/>
          <w:color w:val="000000"/>
          <w:kern w:val="0"/>
          <w:sz w:val="24"/>
          <w:szCs w:val="24"/>
          <w:highlight w:val="none"/>
        </w:rPr>
        <w:t>无需到达开标现场，须准时登录赢标·电子招标采购交易平台（菏泽专区）http://hz.fzbidding.com在线参加开标会议</w:t>
      </w:r>
      <w:r>
        <w:rPr>
          <w:rFonts w:hint="eastAsia" w:ascii="宋体" w:hAnsi="宋体" w:eastAsia="宋体" w:cs="宋体"/>
          <w:color w:val="000000"/>
          <w:kern w:val="0"/>
          <w:sz w:val="24"/>
          <w:szCs w:val="24"/>
          <w:highlight w:val="none"/>
          <w:lang w:val="zh-CN"/>
        </w:rPr>
        <w:t>。投标人若解密失败或因自身原因无法解密的其责任自行承担。</w:t>
      </w:r>
    </w:p>
    <w:p w14:paraId="7608592F">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lang w:val="zh-CN"/>
        </w:rPr>
      </w:pPr>
      <w:bookmarkStart w:id="21" w:name="_Toc169627528"/>
      <w:bookmarkStart w:id="22" w:name="_Toc29655"/>
      <w:r>
        <w:rPr>
          <w:rFonts w:hint="eastAsia" w:ascii="宋体" w:hAnsi="宋体" w:eastAsia="宋体" w:cs="宋体"/>
          <w:b/>
          <w:bCs/>
          <w:color w:val="000000"/>
          <w:kern w:val="0"/>
          <w:sz w:val="24"/>
          <w:szCs w:val="24"/>
          <w:highlight w:val="none"/>
          <w:lang w:val="en-US" w:eastAsia="zh-CN"/>
        </w:rPr>
        <w:t>六、</w:t>
      </w:r>
      <w:r>
        <w:rPr>
          <w:rFonts w:hint="eastAsia" w:ascii="宋体" w:hAnsi="宋体" w:eastAsia="宋体" w:cs="宋体"/>
          <w:b/>
          <w:bCs/>
          <w:color w:val="000000"/>
          <w:kern w:val="0"/>
          <w:sz w:val="24"/>
          <w:szCs w:val="24"/>
          <w:highlight w:val="none"/>
        </w:rPr>
        <w:t>发布公告媒介：</w:t>
      </w:r>
      <w:bookmarkEnd w:id="21"/>
      <w:bookmarkEnd w:id="22"/>
    </w:p>
    <w:p w14:paraId="09363A1D">
      <w:pPr>
        <w:keepNext w:val="0"/>
        <w:keepLines w:val="0"/>
        <w:pageBreakBefore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本项目招标公告同时在中国招标投标公共服务平台、</w:t>
      </w:r>
      <w:r>
        <w:rPr>
          <w:rFonts w:hint="eastAsia" w:ascii="宋体" w:hAnsi="宋体" w:eastAsia="宋体" w:cs="宋体"/>
          <w:color w:val="000000"/>
          <w:kern w:val="0"/>
          <w:sz w:val="24"/>
          <w:szCs w:val="24"/>
          <w:highlight w:val="none"/>
          <w:lang w:val="en-US" w:eastAsia="zh-CN"/>
        </w:rPr>
        <w:t>菏泽市公共资源（国有产权）交易中心</w:t>
      </w:r>
      <w:r>
        <w:rPr>
          <w:rFonts w:hint="eastAsia" w:ascii="宋体" w:hAnsi="宋体" w:eastAsia="宋体" w:cs="宋体"/>
          <w:color w:val="000000"/>
          <w:kern w:val="0"/>
          <w:sz w:val="24"/>
          <w:szCs w:val="24"/>
          <w:highlight w:val="none"/>
        </w:rPr>
        <w:t>、牡丹区人民政府网</w:t>
      </w:r>
      <w:r>
        <w:rPr>
          <w:rFonts w:hint="eastAsia" w:ascii="宋体" w:hAnsi="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赢标平台菏泽专区http://hz.fzbidding.com/</w:t>
      </w:r>
      <w:r>
        <w:rPr>
          <w:rFonts w:hint="eastAsia" w:ascii="宋体" w:hAnsi="宋体" w:eastAsia="宋体" w:cs="宋体"/>
          <w:color w:val="000000"/>
          <w:kern w:val="0"/>
          <w:sz w:val="24"/>
          <w:szCs w:val="24"/>
          <w:highlight w:val="none"/>
          <w:lang w:val="en-US" w:eastAsia="zh-CN"/>
        </w:rPr>
        <w:t>同时</w:t>
      </w:r>
      <w:r>
        <w:rPr>
          <w:rFonts w:hint="eastAsia" w:ascii="宋体" w:hAnsi="宋体" w:eastAsia="宋体" w:cs="宋体"/>
          <w:color w:val="000000"/>
          <w:kern w:val="0"/>
          <w:sz w:val="24"/>
          <w:szCs w:val="24"/>
          <w:highlight w:val="none"/>
        </w:rPr>
        <w:t>发布。</w:t>
      </w:r>
      <w:bookmarkStart w:id="23" w:name="_Toc31073"/>
    </w:p>
    <w:bookmarkEnd w:id="23"/>
    <w:p w14:paraId="17328A27">
      <w:pPr>
        <w:keepNext w:val="0"/>
        <w:keepLines w:val="0"/>
        <w:pageBreakBefore w:val="0"/>
        <w:widowControl/>
        <w:numPr>
          <w:ilvl w:val="0"/>
          <w:numId w:val="0"/>
        </w:numPr>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lang w:val="en-US" w:eastAsia="zh-CN"/>
        </w:rPr>
      </w:pPr>
      <w:r>
        <w:rPr>
          <w:rFonts w:hint="eastAsia" w:ascii="宋体" w:hAnsi="宋体" w:eastAsia="宋体" w:cs="宋体"/>
          <w:b/>
          <w:bCs/>
          <w:color w:val="000000"/>
          <w:kern w:val="0"/>
          <w:sz w:val="24"/>
          <w:szCs w:val="24"/>
          <w:highlight w:val="none"/>
          <w:lang w:val="en-US" w:eastAsia="zh-CN" w:bidi="ar-SA"/>
        </w:rPr>
        <w:t>七、</w:t>
      </w:r>
      <w:r>
        <w:rPr>
          <w:rFonts w:hint="eastAsia" w:ascii="宋体" w:hAnsi="宋体" w:eastAsia="宋体" w:cs="宋体"/>
          <w:b/>
          <w:bCs/>
          <w:color w:val="000000"/>
          <w:kern w:val="0"/>
          <w:sz w:val="24"/>
          <w:szCs w:val="24"/>
          <w:highlight w:val="none"/>
          <w:lang w:val="en-US" w:eastAsia="zh-CN"/>
        </w:rPr>
        <w:t>接收异议的联系人和联系方式</w:t>
      </w:r>
    </w:p>
    <w:p w14:paraId="56D258FF">
      <w:pPr>
        <w:keepNext w:val="0"/>
        <w:keepLines w:val="0"/>
        <w:pageBreakBefore w:val="0"/>
        <w:widowControl/>
        <w:numPr>
          <w:ilvl w:val="0"/>
          <w:numId w:val="0"/>
        </w:numPr>
        <w:kinsoku/>
        <w:wordWrap/>
        <w:overflowPunct/>
        <w:topLinePunct w:val="0"/>
        <w:autoSpaceDE/>
        <w:autoSpaceDN/>
        <w:bidi w:val="0"/>
        <w:adjustRightInd/>
        <w:snapToGrid w:val="0"/>
        <w:spacing w:line="480" w:lineRule="exact"/>
        <w:ind w:firstLine="480" w:firstLineChars="200"/>
        <w:textAlignment w:val="auto"/>
        <w:outlineLvl w:val="1"/>
        <w:rPr>
          <w:rFonts w:hint="eastAsia" w:ascii="宋体" w:hAnsi="宋体" w:eastAsia="宋体" w:cs="宋体"/>
          <w:color w:val="000000"/>
          <w:kern w:val="0"/>
          <w:sz w:val="24"/>
          <w:szCs w:val="24"/>
          <w:highlight w:val="none"/>
          <w:lang w:val="zh-CN" w:eastAsia="zh-CN"/>
        </w:rPr>
      </w:pPr>
      <w:r>
        <w:rPr>
          <w:rFonts w:hint="eastAsia" w:ascii="宋体" w:hAnsi="宋体" w:eastAsia="宋体" w:cs="宋体"/>
          <w:color w:val="000000"/>
          <w:kern w:val="0"/>
          <w:sz w:val="24"/>
          <w:szCs w:val="24"/>
          <w:highlight w:val="none"/>
          <w:lang w:val="en-US" w:eastAsia="zh-CN"/>
        </w:rPr>
        <w:t>1、</w:t>
      </w:r>
      <w:r>
        <w:rPr>
          <w:rFonts w:hint="eastAsia" w:ascii="宋体" w:hAnsi="宋体" w:eastAsia="宋体" w:cs="宋体"/>
          <w:color w:val="000000"/>
          <w:kern w:val="0"/>
          <w:sz w:val="24"/>
          <w:szCs w:val="24"/>
          <w:highlight w:val="none"/>
        </w:rPr>
        <w:t>招标人：</w:t>
      </w:r>
      <w:r>
        <w:rPr>
          <w:rFonts w:hint="eastAsia" w:ascii="宋体" w:hAnsi="宋体" w:eastAsia="宋体" w:cs="宋体"/>
          <w:color w:val="000000"/>
          <w:kern w:val="0"/>
          <w:sz w:val="24"/>
          <w:szCs w:val="24"/>
          <w:highlight w:val="none"/>
          <w:lang w:eastAsia="zh-CN"/>
        </w:rPr>
        <w:t>菏泽市生态环境局牡丹区分局</w:t>
      </w:r>
    </w:p>
    <w:p w14:paraId="710E19A3">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rPr>
        <w:t xml:space="preserve"> </w:t>
      </w:r>
      <w:r>
        <w:rPr>
          <w:rFonts w:hint="eastAsia" w:ascii="宋体" w:hAnsi="宋体" w:eastAsia="宋体" w:cs="宋体"/>
          <w:color w:val="000000"/>
          <w:kern w:val="0"/>
          <w:sz w:val="24"/>
          <w:szCs w:val="24"/>
          <w:highlight w:val="none"/>
          <w:lang w:val="en-US" w:eastAsia="zh-CN"/>
        </w:rPr>
        <w:t xml:space="preserve">  </w:t>
      </w:r>
      <w:r>
        <w:rPr>
          <w:rFonts w:hint="eastAsia" w:ascii="宋体" w:hAnsi="宋体" w:eastAsia="宋体" w:cs="宋体"/>
          <w:color w:val="000000"/>
          <w:kern w:val="0"/>
          <w:sz w:val="24"/>
          <w:szCs w:val="24"/>
          <w:highlight w:val="none"/>
        </w:rPr>
        <w:t>地  址：</w:t>
      </w:r>
      <w:r>
        <w:rPr>
          <w:rFonts w:hint="eastAsia" w:ascii="宋体" w:hAnsi="宋体" w:eastAsia="宋体" w:cs="宋体"/>
          <w:color w:val="000000"/>
          <w:kern w:val="0"/>
          <w:sz w:val="24"/>
          <w:szCs w:val="24"/>
          <w:highlight w:val="none"/>
          <w:lang w:val="en-US" w:eastAsia="zh-CN"/>
        </w:rPr>
        <w:t>牡丹街道220国道南侧新经济产业园内</w:t>
      </w:r>
    </w:p>
    <w:p w14:paraId="5C765071">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rPr>
        <w:t>联系人：</w:t>
      </w:r>
      <w:r>
        <w:rPr>
          <w:rFonts w:hint="eastAsia" w:ascii="宋体" w:hAnsi="宋体" w:eastAsia="宋体" w:cs="宋体"/>
          <w:color w:val="000000"/>
          <w:kern w:val="0"/>
          <w:sz w:val="24"/>
          <w:szCs w:val="24"/>
          <w:highlight w:val="none"/>
          <w:lang w:val="en-US" w:eastAsia="zh-CN"/>
        </w:rPr>
        <w:t>桑主任</w:t>
      </w:r>
    </w:p>
    <w:p w14:paraId="68C74C02">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rPr>
        <w:t>联系方式：</w:t>
      </w:r>
      <w:r>
        <w:rPr>
          <w:rFonts w:hint="eastAsia" w:ascii="宋体" w:hAnsi="宋体" w:eastAsia="宋体" w:cs="宋体"/>
          <w:color w:val="000000"/>
          <w:kern w:val="0"/>
          <w:sz w:val="24"/>
          <w:szCs w:val="24"/>
          <w:highlight w:val="none"/>
          <w:lang w:val="en-US" w:eastAsia="zh-CN"/>
        </w:rPr>
        <w:t>0530-7351829</w:t>
      </w:r>
    </w:p>
    <w:p w14:paraId="1FD7209A">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2、</w:t>
      </w:r>
      <w:r>
        <w:rPr>
          <w:rFonts w:hint="eastAsia" w:ascii="宋体" w:hAnsi="宋体" w:eastAsia="宋体" w:cs="宋体"/>
          <w:color w:val="000000"/>
          <w:kern w:val="0"/>
          <w:sz w:val="24"/>
          <w:szCs w:val="24"/>
          <w:highlight w:val="none"/>
        </w:rPr>
        <w:t>代理机构：法正项目管理集团有限公司</w:t>
      </w:r>
    </w:p>
    <w:p w14:paraId="5200ED1B">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地  址：菏泽市人民路数码大厦A座5楼</w:t>
      </w:r>
    </w:p>
    <w:p w14:paraId="2431228E">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bookmarkStart w:id="24" w:name="_Toc32414"/>
      <w:r>
        <w:rPr>
          <w:rFonts w:hint="eastAsia" w:ascii="宋体" w:hAnsi="宋体" w:eastAsia="宋体" w:cs="宋体"/>
          <w:color w:val="000000"/>
          <w:kern w:val="0"/>
          <w:sz w:val="24"/>
          <w:szCs w:val="24"/>
          <w:highlight w:val="none"/>
          <w:lang w:val="en-US" w:eastAsia="zh-CN"/>
        </w:rPr>
        <w:t>联系人：赵经理/武经理</w:t>
      </w:r>
      <w:bookmarkEnd w:id="24"/>
    </w:p>
    <w:p w14:paraId="2F9F3663">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联系方式：0530-6269996/15865144686/15562060891</w:t>
      </w:r>
    </w:p>
    <w:p w14:paraId="2DC8B3E7">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3、监督管理部门：菏泽市生态环境局牡丹区分局</w:t>
      </w:r>
    </w:p>
    <w:p w14:paraId="7D05E8AE">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联系方式：0530-7351829</w:t>
      </w:r>
    </w:p>
    <w:p w14:paraId="700F4EC5">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p>
    <w:p w14:paraId="006C259D">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outlineLvl w:val="9"/>
        <w:rPr>
          <w:rFonts w:hint="eastAsia" w:ascii="宋体" w:hAnsi="宋体" w:eastAsia="宋体" w:cs="宋体"/>
          <w:color w:val="000000"/>
          <w:kern w:val="0"/>
          <w:sz w:val="24"/>
          <w:szCs w:val="24"/>
          <w:highlight w:val="none"/>
        </w:rPr>
      </w:pPr>
    </w:p>
    <w:p w14:paraId="3DC40525">
      <w:pPr>
        <w:keepNext w:val="0"/>
        <w:keepLines w:val="0"/>
        <w:pageBreakBefore w:val="0"/>
        <w:kinsoku/>
        <w:wordWrap/>
        <w:overflowPunct/>
        <w:topLinePunct w:val="0"/>
        <w:autoSpaceDE/>
        <w:autoSpaceDN/>
        <w:bidi w:val="0"/>
        <w:adjustRightInd/>
        <w:spacing w:line="480" w:lineRule="exact"/>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rPr>
        <w:t>2025年</w:t>
      </w:r>
      <w:r>
        <w:rPr>
          <w:rFonts w:hint="eastAsia" w:ascii="宋体" w:hAnsi="宋体" w:cs="宋体"/>
          <w:color w:val="000000"/>
          <w:kern w:val="0"/>
          <w:sz w:val="24"/>
          <w:szCs w:val="24"/>
          <w:highlight w:val="none"/>
          <w:lang w:val="en-US" w:eastAsia="zh-CN"/>
        </w:rPr>
        <w:t>12</w:t>
      </w:r>
      <w:r>
        <w:rPr>
          <w:rFonts w:hint="eastAsia" w:ascii="宋体" w:hAnsi="宋体" w:eastAsia="宋体" w:cs="宋体"/>
          <w:color w:val="000000"/>
          <w:kern w:val="0"/>
          <w:sz w:val="24"/>
          <w:szCs w:val="24"/>
          <w:highlight w:val="none"/>
          <w:lang w:val="en-US" w:eastAsia="zh-CN"/>
        </w:rPr>
        <w:t>月</w:t>
      </w:r>
      <w:r>
        <w:rPr>
          <w:rFonts w:hint="eastAsia" w:ascii="宋体" w:hAnsi="宋体" w:cs="宋体"/>
          <w:color w:val="000000"/>
          <w:kern w:val="0"/>
          <w:sz w:val="24"/>
          <w:szCs w:val="24"/>
          <w:highlight w:val="none"/>
          <w:lang w:val="en-US" w:eastAsia="zh-CN"/>
        </w:rPr>
        <w:t>15</w:t>
      </w:r>
      <w:bookmarkStart w:id="286" w:name="_GoBack"/>
      <w:bookmarkEnd w:id="286"/>
      <w:r>
        <w:rPr>
          <w:rFonts w:hint="eastAsia" w:ascii="宋体" w:hAnsi="宋体" w:eastAsia="宋体" w:cs="宋体"/>
          <w:color w:val="000000"/>
          <w:kern w:val="0"/>
          <w:sz w:val="24"/>
          <w:szCs w:val="24"/>
          <w:highlight w:val="none"/>
          <w:lang w:val="en-US" w:eastAsia="zh-CN"/>
        </w:rPr>
        <w:t>日</w:t>
      </w:r>
    </w:p>
    <w:p w14:paraId="08A28F90">
      <w:pPr>
        <w:keepNext w:val="0"/>
        <w:keepLines w:val="0"/>
        <w:pageBreakBefore w:val="0"/>
        <w:widowControl/>
        <w:kinsoku/>
        <w:wordWrap/>
        <w:overflowPunct/>
        <w:topLinePunct w:val="0"/>
        <w:autoSpaceDE/>
        <w:autoSpaceDN/>
        <w:bidi w:val="0"/>
        <w:adjustRightInd/>
        <w:snapToGrid w:val="0"/>
        <w:spacing w:line="420" w:lineRule="auto"/>
        <w:ind w:firstLine="560" w:firstLineChars="200"/>
        <w:jc w:val="left"/>
        <w:textAlignment w:val="auto"/>
        <w:outlineLvl w:val="9"/>
        <w:rPr>
          <w:rFonts w:hint="eastAsia" w:ascii="仿宋" w:hAnsi="仿宋" w:eastAsia="仿宋" w:cs="仿宋"/>
          <w:color w:val="000000"/>
          <w:kern w:val="0"/>
          <w:sz w:val="28"/>
          <w:szCs w:val="28"/>
          <w:highlight w:val="none"/>
        </w:rPr>
      </w:pPr>
    </w:p>
    <w:p w14:paraId="16CB1DDF">
      <w:pPr>
        <w:keepNext w:val="0"/>
        <w:keepLines w:val="0"/>
        <w:pageBreakBefore w:val="0"/>
        <w:widowControl/>
        <w:kinsoku/>
        <w:wordWrap/>
        <w:overflowPunct/>
        <w:topLinePunct w:val="0"/>
        <w:autoSpaceDE/>
        <w:autoSpaceDN/>
        <w:bidi w:val="0"/>
        <w:adjustRightInd/>
        <w:snapToGrid w:val="0"/>
        <w:spacing w:line="420" w:lineRule="auto"/>
        <w:ind w:firstLine="560" w:firstLineChars="200"/>
        <w:jc w:val="left"/>
        <w:textAlignment w:val="auto"/>
        <w:outlineLvl w:val="9"/>
        <w:rPr>
          <w:rFonts w:hint="eastAsia" w:ascii="仿宋" w:hAnsi="仿宋" w:eastAsia="仿宋" w:cs="仿宋"/>
          <w:color w:val="000000"/>
          <w:kern w:val="0"/>
          <w:sz w:val="28"/>
          <w:szCs w:val="28"/>
          <w:highlight w:val="none"/>
        </w:rPr>
      </w:pPr>
    </w:p>
    <w:p w14:paraId="1812BCCF">
      <w:pPr>
        <w:rPr>
          <w:rFonts w:hint="eastAsia" w:asciiTheme="majorEastAsia" w:hAnsiTheme="majorEastAsia" w:eastAsiaTheme="majorEastAsia" w:cstheme="majorEastAsia"/>
          <w:sz w:val="32"/>
          <w:highlight w:val="none"/>
        </w:rPr>
      </w:pPr>
    </w:p>
    <w:p w14:paraId="4B33A890">
      <w:pPr>
        <w:rPr>
          <w:rFonts w:hint="eastAsia" w:asciiTheme="majorEastAsia" w:hAnsiTheme="majorEastAsia" w:eastAsiaTheme="majorEastAsia" w:cstheme="majorEastAsia"/>
          <w:sz w:val="32"/>
          <w:highlight w:val="none"/>
        </w:rPr>
      </w:pPr>
    </w:p>
    <w:p w14:paraId="4C5600B1">
      <w:pPr>
        <w:rPr>
          <w:rFonts w:hint="eastAsia" w:asciiTheme="majorEastAsia" w:hAnsiTheme="majorEastAsia" w:eastAsiaTheme="majorEastAsia" w:cstheme="majorEastAsia"/>
          <w:sz w:val="32"/>
          <w:highlight w:val="none"/>
        </w:rPr>
      </w:pPr>
    </w:p>
    <w:p w14:paraId="5A94F3C0">
      <w:pPr>
        <w:rPr>
          <w:rFonts w:hint="eastAsia" w:asciiTheme="majorEastAsia" w:hAnsiTheme="majorEastAsia" w:eastAsiaTheme="majorEastAsia" w:cstheme="majorEastAsia"/>
          <w:sz w:val="32"/>
          <w:highlight w:val="none"/>
        </w:rPr>
      </w:pPr>
    </w:p>
    <w:p w14:paraId="3D35BBE7">
      <w:pPr>
        <w:rPr>
          <w:rFonts w:hint="eastAsia" w:asciiTheme="majorEastAsia" w:hAnsiTheme="majorEastAsia" w:eastAsiaTheme="majorEastAsia" w:cstheme="majorEastAsia"/>
          <w:sz w:val="32"/>
          <w:highlight w:val="none"/>
        </w:rPr>
      </w:pPr>
    </w:p>
    <w:p w14:paraId="796DD283">
      <w:pPr>
        <w:rPr>
          <w:rFonts w:hint="eastAsia" w:asciiTheme="majorEastAsia" w:hAnsiTheme="majorEastAsia" w:eastAsiaTheme="majorEastAsia" w:cstheme="majorEastAsia"/>
          <w:sz w:val="32"/>
          <w:highlight w:val="none"/>
        </w:rPr>
      </w:pPr>
    </w:p>
    <w:p w14:paraId="31AF3AFB">
      <w:pPr>
        <w:rPr>
          <w:rFonts w:hint="eastAsia" w:asciiTheme="majorEastAsia" w:hAnsiTheme="majorEastAsia" w:eastAsiaTheme="majorEastAsia" w:cstheme="majorEastAsia"/>
          <w:sz w:val="32"/>
          <w:highlight w:val="none"/>
        </w:rPr>
      </w:pPr>
    </w:p>
    <w:p w14:paraId="13C58209">
      <w:pPr>
        <w:rPr>
          <w:rFonts w:hint="eastAsia" w:asciiTheme="majorEastAsia" w:hAnsiTheme="majorEastAsia" w:eastAsiaTheme="majorEastAsia" w:cstheme="majorEastAsia"/>
          <w:sz w:val="32"/>
          <w:highlight w:val="none"/>
        </w:rPr>
      </w:pPr>
    </w:p>
    <w:p w14:paraId="3B2E3F68">
      <w:pPr>
        <w:rPr>
          <w:rFonts w:hint="eastAsia" w:asciiTheme="majorEastAsia" w:hAnsiTheme="majorEastAsia" w:eastAsiaTheme="majorEastAsia" w:cstheme="majorEastAsia"/>
          <w:sz w:val="32"/>
          <w:highlight w:val="none"/>
        </w:rPr>
      </w:pPr>
    </w:p>
    <w:p w14:paraId="2B18733D">
      <w:pPr>
        <w:rPr>
          <w:rFonts w:hint="eastAsia" w:asciiTheme="majorEastAsia" w:hAnsiTheme="majorEastAsia" w:eastAsiaTheme="majorEastAsia" w:cstheme="majorEastAsia"/>
          <w:sz w:val="32"/>
          <w:highlight w:val="none"/>
        </w:rPr>
        <w:sectPr>
          <w:headerReference r:id="rId7" w:type="default"/>
          <w:footerReference r:id="rId8" w:type="default"/>
          <w:pgSz w:w="11906" w:h="16838"/>
          <w:pgMar w:top="1354" w:right="1361" w:bottom="1644" w:left="1361" w:header="737" w:footer="737" w:gutter="0"/>
          <w:pgNumType w:fmt="decimal" w:start="1"/>
          <w:cols w:space="0" w:num="1"/>
          <w:docGrid w:linePitch="312" w:charSpace="0"/>
        </w:sectPr>
      </w:pPr>
    </w:p>
    <w:p w14:paraId="1E60F82C">
      <w:pPr>
        <w:rPr>
          <w:rFonts w:hint="eastAsia" w:asciiTheme="majorEastAsia" w:hAnsiTheme="majorEastAsia" w:eastAsiaTheme="majorEastAsia" w:cstheme="majorEastAsia"/>
          <w:sz w:val="32"/>
          <w:highlight w:val="none"/>
        </w:rPr>
      </w:pPr>
    </w:p>
    <w:p w14:paraId="072BA3D3">
      <w:pPr>
        <w:pStyle w:val="2"/>
        <w:keepNext/>
        <w:keepLines/>
        <w:pageBreakBefore w:val="0"/>
        <w:widowControl w:val="0"/>
        <w:kinsoku/>
        <w:wordWrap/>
        <w:overflowPunct/>
        <w:topLinePunct w:val="0"/>
        <w:autoSpaceDE/>
        <w:autoSpaceDN/>
        <w:bidi w:val="0"/>
        <w:adjustRightInd/>
        <w:snapToGrid/>
        <w:spacing w:line="420" w:lineRule="auto"/>
        <w:textAlignment w:val="auto"/>
        <w:rPr>
          <w:rFonts w:hint="eastAsia"/>
        </w:rPr>
      </w:pPr>
      <w:bookmarkStart w:id="25" w:name="_Toc32338"/>
      <w:bookmarkStart w:id="26" w:name="_Toc4277"/>
      <w:r>
        <w:rPr>
          <w:rFonts w:hint="eastAsia"/>
        </w:rPr>
        <w:t>第二章  投标人须知</w:t>
      </w:r>
      <w:bookmarkEnd w:id="10"/>
      <w:bookmarkEnd w:id="11"/>
      <w:bookmarkEnd w:id="25"/>
      <w:bookmarkEnd w:id="26"/>
    </w:p>
    <w:p w14:paraId="674D6DA1">
      <w:pPr>
        <w:spacing w:line="470" w:lineRule="exact"/>
        <w:jc w:val="center"/>
        <w:outlineLvl w:val="1"/>
        <w:rPr>
          <w:rFonts w:asciiTheme="majorEastAsia" w:hAnsiTheme="majorEastAsia" w:eastAsiaTheme="majorEastAsia" w:cstheme="majorEastAsia"/>
          <w:b/>
          <w:bCs/>
          <w:sz w:val="28"/>
          <w:szCs w:val="28"/>
          <w:highlight w:val="none"/>
        </w:rPr>
      </w:pPr>
      <w:bookmarkStart w:id="27" w:name="_Toc6754"/>
      <w:bookmarkStart w:id="28" w:name="_Toc8251"/>
      <w:bookmarkStart w:id="29" w:name="_Toc28141"/>
      <w:bookmarkStart w:id="30" w:name="_Toc309377182"/>
      <w:r>
        <w:rPr>
          <w:rFonts w:hint="eastAsia" w:asciiTheme="majorEastAsia" w:hAnsiTheme="majorEastAsia" w:eastAsiaTheme="majorEastAsia" w:cstheme="majorEastAsia"/>
          <w:b/>
          <w:bCs/>
          <w:sz w:val="28"/>
          <w:szCs w:val="28"/>
          <w:highlight w:val="none"/>
        </w:rPr>
        <w:t>投标人须知前附表</w:t>
      </w:r>
      <w:bookmarkEnd w:id="27"/>
      <w:bookmarkEnd w:id="28"/>
      <w:bookmarkEnd w:id="29"/>
      <w:bookmarkEnd w:id="30"/>
    </w:p>
    <w:tbl>
      <w:tblPr>
        <w:tblStyle w:val="36"/>
        <w:tblW w:w="9225" w:type="dxa"/>
        <w:tblInd w:w="-1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1"/>
        <w:gridCol w:w="29"/>
        <w:gridCol w:w="1939"/>
        <w:gridCol w:w="1840"/>
        <w:gridCol w:w="4406"/>
      </w:tblGrid>
      <w:tr w14:paraId="15772E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11" w:type="dxa"/>
            <w:shd w:val="clear" w:color="auto" w:fill="auto"/>
            <w:vAlign w:val="center"/>
          </w:tcPr>
          <w:p w14:paraId="142830E0">
            <w:pPr>
              <w:spacing w:line="470" w:lineRule="exact"/>
              <w:jc w:val="center"/>
              <w:rPr>
                <w:rFonts w:hint="eastAsia" w:ascii="宋体" w:hAnsi="宋体" w:eastAsia="宋体" w:cs="宋体"/>
                <w:sz w:val="24"/>
                <w:szCs w:val="24"/>
                <w:highlight w:val="none"/>
              </w:rPr>
            </w:pPr>
            <w:bookmarkStart w:id="31" w:name="_Toc366167581"/>
            <w:r>
              <w:rPr>
                <w:rFonts w:hint="eastAsia" w:ascii="宋体" w:hAnsi="宋体" w:eastAsia="宋体" w:cs="宋体"/>
                <w:sz w:val="24"/>
                <w:szCs w:val="24"/>
                <w:highlight w:val="none"/>
              </w:rPr>
              <w:t>条款号</w:t>
            </w:r>
          </w:p>
        </w:tc>
        <w:tc>
          <w:tcPr>
            <w:tcW w:w="1968" w:type="dxa"/>
            <w:gridSpan w:val="2"/>
            <w:shd w:val="clear" w:color="auto" w:fill="auto"/>
            <w:vAlign w:val="center"/>
          </w:tcPr>
          <w:p w14:paraId="41402407">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条款名称</w:t>
            </w:r>
          </w:p>
        </w:tc>
        <w:tc>
          <w:tcPr>
            <w:tcW w:w="6246" w:type="dxa"/>
            <w:gridSpan w:val="2"/>
            <w:shd w:val="clear" w:color="auto" w:fill="auto"/>
            <w:vAlign w:val="center"/>
          </w:tcPr>
          <w:p w14:paraId="36B90B50">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编列内容</w:t>
            </w:r>
          </w:p>
        </w:tc>
      </w:tr>
      <w:tr w14:paraId="27F7A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61DF7C81">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1.1.2</w:t>
            </w:r>
          </w:p>
        </w:tc>
        <w:tc>
          <w:tcPr>
            <w:tcW w:w="1968" w:type="dxa"/>
            <w:gridSpan w:val="2"/>
            <w:shd w:val="clear" w:color="auto" w:fill="auto"/>
            <w:vAlign w:val="center"/>
          </w:tcPr>
          <w:p w14:paraId="0D659B8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招标人</w:t>
            </w:r>
          </w:p>
        </w:tc>
        <w:tc>
          <w:tcPr>
            <w:tcW w:w="6246" w:type="dxa"/>
            <w:gridSpan w:val="2"/>
            <w:shd w:val="clear" w:color="auto" w:fill="auto"/>
            <w:vAlign w:val="center"/>
          </w:tcPr>
          <w:p w14:paraId="5EB3EC7A">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名称：</w:t>
            </w:r>
            <w:r>
              <w:rPr>
                <w:rFonts w:hint="eastAsia" w:ascii="宋体" w:hAnsi="宋体" w:cs="宋体"/>
                <w:kern w:val="0"/>
                <w:sz w:val="24"/>
                <w:szCs w:val="24"/>
                <w:highlight w:val="none"/>
                <w:lang w:eastAsia="zh-CN"/>
              </w:rPr>
              <w:t>菏泽市生态环境局牡丹区分局</w:t>
            </w:r>
          </w:p>
          <w:p w14:paraId="16283D6E">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地  址：</w:t>
            </w:r>
            <w:r>
              <w:rPr>
                <w:rFonts w:hint="eastAsia" w:ascii="宋体" w:hAnsi="宋体" w:eastAsia="宋体" w:cs="宋体"/>
                <w:kern w:val="0"/>
                <w:sz w:val="24"/>
                <w:szCs w:val="24"/>
                <w:highlight w:val="none"/>
                <w:lang w:val="en-US" w:eastAsia="zh-CN"/>
              </w:rPr>
              <w:t>牡丹街道220国道南侧新经济产业园内</w:t>
            </w:r>
          </w:p>
          <w:p w14:paraId="4D8CDA27">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联系人：桑主任</w:t>
            </w:r>
          </w:p>
          <w:p w14:paraId="74DCDF0F">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联系方式：0530-7351829</w:t>
            </w:r>
          </w:p>
        </w:tc>
      </w:tr>
      <w:tr w14:paraId="1DB72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11" w:type="dxa"/>
            <w:shd w:val="clear" w:color="auto" w:fill="auto"/>
            <w:vAlign w:val="center"/>
          </w:tcPr>
          <w:p w14:paraId="01851A64">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1.1.3</w:t>
            </w:r>
          </w:p>
        </w:tc>
        <w:tc>
          <w:tcPr>
            <w:tcW w:w="1968" w:type="dxa"/>
            <w:gridSpan w:val="2"/>
            <w:shd w:val="clear" w:color="auto" w:fill="auto"/>
            <w:vAlign w:val="center"/>
          </w:tcPr>
          <w:p w14:paraId="747A6295">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招标代理机构</w:t>
            </w:r>
          </w:p>
        </w:tc>
        <w:tc>
          <w:tcPr>
            <w:tcW w:w="6246" w:type="dxa"/>
            <w:gridSpan w:val="2"/>
            <w:shd w:val="clear" w:color="auto" w:fill="auto"/>
            <w:vAlign w:val="center"/>
          </w:tcPr>
          <w:p w14:paraId="31A8725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名称：法正项目管理集团有限公司</w:t>
            </w:r>
          </w:p>
          <w:p w14:paraId="361C3BCF">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联系人：赵经理/武经理</w:t>
            </w:r>
          </w:p>
          <w:p w14:paraId="379FDCD2">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联系方式：0530-6269996/15865144686/15562060891</w:t>
            </w:r>
          </w:p>
          <w:p w14:paraId="292E6A62">
            <w:pPr>
              <w:spacing w:line="360" w:lineRule="exact"/>
              <w:rPr>
                <w:rFonts w:hint="eastAsia" w:ascii="宋体" w:hAnsi="宋体" w:eastAsia="宋体" w:cs="宋体"/>
                <w:sz w:val="24"/>
                <w:szCs w:val="24"/>
                <w:highlight w:val="none"/>
                <w:lang w:val="en-US"/>
              </w:rPr>
            </w:pPr>
            <w:r>
              <w:rPr>
                <w:rFonts w:hint="eastAsia" w:ascii="宋体" w:hAnsi="宋体" w:eastAsia="宋体" w:cs="宋体"/>
                <w:kern w:val="0"/>
                <w:sz w:val="24"/>
                <w:szCs w:val="24"/>
              </w:rPr>
              <w:t>电子邮箱：fzjt</w:t>
            </w:r>
            <w:r>
              <w:rPr>
                <w:rFonts w:hint="eastAsia" w:ascii="宋体" w:hAnsi="宋体" w:cs="宋体"/>
                <w:kern w:val="0"/>
                <w:sz w:val="24"/>
                <w:szCs w:val="24"/>
                <w:lang w:val="en-US" w:eastAsia="zh-CN"/>
              </w:rPr>
              <w:t>hz00</w:t>
            </w:r>
            <w:r>
              <w:rPr>
                <w:rFonts w:hint="eastAsia" w:ascii="宋体" w:hAnsi="宋体" w:eastAsia="宋体" w:cs="宋体"/>
                <w:kern w:val="0"/>
                <w:sz w:val="24"/>
                <w:szCs w:val="24"/>
              </w:rPr>
              <w:t xml:space="preserve">@163.com  </w:t>
            </w:r>
          </w:p>
        </w:tc>
      </w:tr>
      <w:tr w14:paraId="32B50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011" w:type="dxa"/>
            <w:shd w:val="clear" w:color="auto" w:fill="auto"/>
            <w:vAlign w:val="center"/>
          </w:tcPr>
          <w:p w14:paraId="225A3D9B">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1.1.4</w:t>
            </w:r>
          </w:p>
        </w:tc>
        <w:tc>
          <w:tcPr>
            <w:tcW w:w="1968" w:type="dxa"/>
            <w:gridSpan w:val="2"/>
            <w:shd w:val="clear" w:color="auto" w:fill="auto"/>
            <w:vAlign w:val="center"/>
          </w:tcPr>
          <w:p w14:paraId="00AEF405">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246" w:type="dxa"/>
            <w:gridSpan w:val="2"/>
            <w:shd w:val="clear" w:color="auto" w:fill="auto"/>
            <w:vAlign w:val="center"/>
          </w:tcPr>
          <w:p w14:paraId="550E9D82">
            <w:pPr>
              <w:spacing w:line="360" w:lineRule="exact"/>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菏泽市牡丹区乡镇水环境综合治理项目（第二批施工、监理及跟踪审计）</w:t>
            </w:r>
          </w:p>
        </w:tc>
      </w:tr>
      <w:tr w14:paraId="4E699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11" w:type="dxa"/>
            <w:shd w:val="clear" w:color="auto" w:fill="auto"/>
            <w:vAlign w:val="center"/>
          </w:tcPr>
          <w:p w14:paraId="5BF9BD9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1.1.5</w:t>
            </w:r>
          </w:p>
        </w:tc>
        <w:tc>
          <w:tcPr>
            <w:tcW w:w="1968" w:type="dxa"/>
            <w:gridSpan w:val="2"/>
            <w:shd w:val="clear" w:color="auto" w:fill="auto"/>
            <w:vAlign w:val="center"/>
          </w:tcPr>
          <w:p w14:paraId="2CE7F7F4">
            <w:pPr>
              <w:spacing w:line="36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项目详细情况</w:t>
            </w:r>
          </w:p>
        </w:tc>
        <w:tc>
          <w:tcPr>
            <w:tcW w:w="6246" w:type="dxa"/>
            <w:gridSpan w:val="2"/>
            <w:shd w:val="clear" w:color="auto" w:fill="auto"/>
            <w:vAlign w:val="center"/>
          </w:tcPr>
          <w:p w14:paraId="6DCA273C">
            <w:pPr>
              <w:spacing w:line="360" w:lineRule="exact"/>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详见招标公告</w:t>
            </w:r>
          </w:p>
        </w:tc>
      </w:tr>
      <w:tr w14:paraId="70633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32BBCD64">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1.2.1</w:t>
            </w:r>
          </w:p>
        </w:tc>
        <w:tc>
          <w:tcPr>
            <w:tcW w:w="1968" w:type="dxa"/>
            <w:gridSpan w:val="2"/>
            <w:shd w:val="clear" w:color="auto" w:fill="auto"/>
            <w:vAlign w:val="center"/>
          </w:tcPr>
          <w:p w14:paraId="3C2F0C1E">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资金来源</w:t>
            </w:r>
          </w:p>
        </w:tc>
        <w:tc>
          <w:tcPr>
            <w:tcW w:w="6246" w:type="dxa"/>
            <w:gridSpan w:val="2"/>
            <w:shd w:val="clear" w:color="auto" w:fill="auto"/>
            <w:vAlign w:val="center"/>
          </w:tcPr>
          <w:p w14:paraId="30F78867">
            <w:pPr>
              <w:spacing w:line="340" w:lineRule="exact"/>
              <w:rPr>
                <w:rFonts w:hint="default" w:ascii="宋体" w:hAnsi="宋体" w:eastAsia="宋体" w:cs="宋体"/>
                <w:sz w:val="24"/>
                <w:szCs w:val="24"/>
                <w:highlight w:val="none"/>
                <w:lang w:val="en-US"/>
              </w:rPr>
            </w:pPr>
            <w:r>
              <w:rPr>
                <w:rFonts w:hint="eastAsia" w:ascii="宋体" w:hAnsi="宋体" w:eastAsia="宋体" w:cs="宋体"/>
                <w:kern w:val="0"/>
                <w:sz w:val="24"/>
                <w:szCs w:val="24"/>
                <w:lang w:eastAsia="zh-CN"/>
              </w:rPr>
              <w:t>财政资金</w:t>
            </w:r>
          </w:p>
        </w:tc>
      </w:tr>
      <w:tr w14:paraId="697B8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6F7D9F71">
            <w:pPr>
              <w:spacing w:line="3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1.2.</w:t>
            </w:r>
            <w:r>
              <w:rPr>
                <w:rFonts w:hint="eastAsia" w:ascii="宋体" w:hAnsi="宋体" w:cs="宋体"/>
                <w:sz w:val="24"/>
                <w:szCs w:val="24"/>
                <w:highlight w:val="none"/>
                <w:lang w:val="en-US" w:eastAsia="zh-CN"/>
              </w:rPr>
              <w:t>2</w:t>
            </w:r>
          </w:p>
        </w:tc>
        <w:tc>
          <w:tcPr>
            <w:tcW w:w="1968" w:type="dxa"/>
            <w:gridSpan w:val="2"/>
            <w:shd w:val="clear" w:color="auto" w:fill="auto"/>
            <w:vAlign w:val="center"/>
          </w:tcPr>
          <w:p w14:paraId="45F12B76">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资金落实情况</w:t>
            </w:r>
          </w:p>
        </w:tc>
        <w:tc>
          <w:tcPr>
            <w:tcW w:w="6246" w:type="dxa"/>
            <w:gridSpan w:val="2"/>
            <w:shd w:val="clear" w:color="auto" w:fill="auto"/>
            <w:vAlign w:val="center"/>
          </w:tcPr>
          <w:p w14:paraId="4AB50343">
            <w:pPr>
              <w:spacing w:line="3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已落实</w:t>
            </w:r>
          </w:p>
        </w:tc>
      </w:tr>
      <w:tr w14:paraId="5803D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4AA6A742">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1.3.1</w:t>
            </w:r>
          </w:p>
        </w:tc>
        <w:tc>
          <w:tcPr>
            <w:tcW w:w="1968" w:type="dxa"/>
            <w:gridSpan w:val="2"/>
            <w:shd w:val="clear" w:color="auto" w:fill="auto"/>
            <w:vAlign w:val="center"/>
          </w:tcPr>
          <w:p w14:paraId="4477E274">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招标范围</w:t>
            </w:r>
          </w:p>
        </w:tc>
        <w:tc>
          <w:tcPr>
            <w:tcW w:w="6246" w:type="dxa"/>
            <w:gridSpan w:val="2"/>
            <w:shd w:val="clear" w:color="auto" w:fill="auto"/>
            <w:vAlign w:val="center"/>
          </w:tcPr>
          <w:p w14:paraId="658BDBA7">
            <w:pPr>
              <w:spacing w:line="34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为对本项目提供跟踪审计服务等（</w:t>
            </w:r>
            <w:r>
              <w:rPr>
                <w:rFonts w:hint="eastAsia" w:ascii="宋体" w:hAnsi="宋体" w:eastAsia="宋体" w:cs="宋体"/>
                <w:sz w:val="24"/>
                <w:szCs w:val="24"/>
                <w:highlight w:val="none"/>
              </w:rPr>
              <w:t>具体内容详见招标文件</w:t>
            </w:r>
            <w:r>
              <w:rPr>
                <w:rFonts w:hint="eastAsia" w:ascii="宋体" w:hAnsi="宋体" w:eastAsia="宋体" w:cs="宋体"/>
                <w:sz w:val="24"/>
                <w:szCs w:val="24"/>
                <w:highlight w:val="none"/>
                <w:lang w:val="en-US" w:eastAsia="zh-CN"/>
              </w:rPr>
              <w:t>）</w:t>
            </w:r>
          </w:p>
        </w:tc>
      </w:tr>
      <w:tr w14:paraId="2E43F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exact"/>
        </w:trPr>
        <w:tc>
          <w:tcPr>
            <w:tcW w:w="1011" w:type="dxa"/>
            <w:shd w:val="clear" w:color="auto" w:fill="auto"/>
            <w:vAlign w:val="center"/>
          </w:tcPr>
          <w:p w14:paraId="64213C98">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1.3.2</w:t>
            </w:r>
          </w:p>
        </w:tc>
        <w:tc>
          <w:tcPr>
            <w:tcW w:w="1968" w:type="dxa"/>
            <w:gridSpan w:val="2"/>
            <w:shd w:val="clear" w:color="auto" w:fill="auto"/>
            <w:vAlign w:val="center"/>
          </w:tcPr>
          <w:p w14:paraId="4B9D677F">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服务期</w:t>
            </w:r>
          </w:p>
        </w:tc>
        <w:tc>
          <w:tcPr>
            <w:tcW w:w="6246" w:type="dxa"/>
            <w:gridSpan w:val="2"/>
            <w:shd w:val="clear" w:color="auto" w:fill="auto"/>
            <w:vAlign w:val="center"/>
          </w:tcPr>
          <w:p w14:paraId="01D5D6F0">
            <w:pPr>
              <w:spacing w:line="340" w:lineRule="exact"/>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自合同签订之日开始至项目质量保修期满结束。 具体完成时间应符合招标人要求</w:t>
            </w:r>
            <w:r>
              <w:rPr>
                <w:rFonts w:hint="eastAsia" w:ascii="宋体" w:hAnsi="宋体" w:cs="宋体"/>
                <w:sz w:val="24"/>
                <w:szCs w:val="24"/>
                <w:highlight w:val="none"/>
                <w:lang w:val="en-US" w:eastAsia="zh-CN"/>
              </w:rPr>
              <w:t>。</w:t>
            </w:r>
          </w:p>
        </w:tc>
      </w:tr>
      <w:tr w14:paraId="15D7C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3D49650B">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1.3.3</w:t>
            </w:r>
          </w:p>
        </w:tc>
        <w:tc>
          <w:tcPr>
            <w:tcW w:w="1968" w:type="dxa"/>
            <w:gridSpan w:val="2"/>
            <w:shd w:val="clear" w:color="auto" w:fill="auto"/>
            <w:vAlign w:val="center"/>
          </w:tcPr>
          <w:p w14:paraId="773E7202">
            <w:pPr>
              <w:spacing w:line="340" w:lineRule="exact"/>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质量要求</w:t>
            </w:r>
          </w:p>
        </w:tc>
        <w:tc>
          <w:tcPr>
            <w:tcW w:w="6246" w:type="dxa"/>
            <w:gridSpan w:val="2"/>
            <w:shd w:val="clear" w:color="auto" w:fill="auto"/>
            <w:vAlign w:val="center"/>
          </w:tcPr>
          <w:p w14:paraId="677E869A">
            <w:pPr>
              <w:spacing w:line="34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符合国家、行业及地方现行相关规范、标准的要求。</w:t>
            </w:r>
          </w:p>
        </w:tc>
      </w:tr>
      <w:tr w14:paraId="27CD9F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029B3BB0">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1968" w:type="dxa"/>
            <w:gridSpan w:val="2"/>
            <w:shd w:val="clear" w:color="auto" w:fill="auto"/>
            <w:vAlign w:val="center"/>
          </w:tcPr>
          <w:p w14:paraId="4B0E2A6E">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资格审查方式</w:t>
            </w:r>
          </w:p>
        </w:tc>
        <w:tc>
          <w:tcPr>
            <w:tcW w:w="6246" w:type="dxa"/>
            <w:gridSpan w:val="2"/>
            <w:shd w:val="clear" w:color="auto" w:fill="auto"/>
            <w:vAlign w:val="center"/>
          </w:tcPr>
          <w:p w14:paraId="468CD058">
            <w:pPr>
              <w:spacing w:line="3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资格后审</w:t>
            </w:r>
          </w:p>
        </w:tc>
      </w:tr>
      <w:tr w14:paraId="4B0F4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11" w:type="dxa"/>
            <w:shd w:val="clear" w:color="auto" w:fill="auto"/>
            <w:vAlign w:val="center"/>
          </w:tcPr>
          <w:p w14:paraId="28837AEB">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1.4.1</w:t>
            </w:r>
          </w:p>
        </w:tc>
        <w:tc>
          <w:tcPr>
            <w:tcW w:w="1968" w:type="dxa"/>
            <w:gridSpan w:val="2"/>
            <w:shd w:val="clear" w:color="auto" w:fill="auto"/>
            <w:vAlign w:val="center"/>
          </w:tcPr>
          <w:p w14:paraId="279361A1">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投标人资质条件、</w:t>
            </w:r>
          </w:p>
          <w:p w14:paraId="57766264">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能力和信誉</w:t>
            </w:r>
          </w:p>
        </w:tc>
        <w:tc>
          <w:tcPr>
            <w:tcW w:w="6246" w:type="dxa"/>
            <w:gridSpan w:val="2"/>
            <w:shd w:val="clear" w:color="auto" w:fill="auto"/>
            <w:vAlign w:val="center"/>
          </w:tcPr>
          <w:p w14:paraId="638C3130">
            <w:pPr>
              <w:snapToGrid w:val="0"/>
              <w:spacing w:line="3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详见本项目招标公告</w:t>
            </w:r>
          </w:p>
        </w:tc>
      </w:tr>
      <w:tr w14:paraId="2B3ED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1011" w:type="dxa"/>
            <w:shd w:val="clear" w:color="auto" w:fill="auto"/>
            <w:vAlign w:val="center"/>
          </w:tcPr>
          <w:p w14:paraId="2D8F2F31">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1.4.2</w:t>
            </w:r>
          </w:p>
        </w:tc>
        <w:tc>
          <w:tcPr>
            <w:tcW w:w="1968" w:type="dxa"/>
            <w:gridSpan w:val="2"/>
            <w:shd w:val="clear" w:color="auto" w:fill="auto"/>
            <w:vAlign w:val="center"/>
          </w:tcPr>
          <w:p w14:paraId="5FF94D12">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是否接受联合体投标</w:t>
            </w:r>
          </w:p>
        </w:tc>
        <w:tc>
          <w:tcPr>
            <w:tcW w:w="6246" w:type="dxa"/>
            <w:gridSpan w:val="2"/>
            <w:shd w:val="clear" w:color="auto" w:fill="auto"/>
            <w:vAlign w:val="center"/>
          </w:tcPr>
          <w:p w14:paraId="3105C6A2">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不接受</w:t>
            </w:r>
          </w:p>
        </w:tc>
      </w:tr>
      <w:tr w14:paraId="0BCDA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1011" w:type="dxa"/>
            <w:shd w:val="clear" w:color="auto" w:fill="auto"/>
            <w:vAlign w:val="center"/>
          </w:tcPr>
          <w:p w14:paraId="2183B30F">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1.9.1</w:t>
            </w:r>
          </w:p>
        </w:tc>
        <w:tc>
          <w:tcPr>
            <w:tcW w:w="1968" w:type="dxa"/>
            <w:gridSpan w:val="2"/>
            <w:shd w:val="clear" w:color="auto" w:fill="auto"/>
            <w:vAlign w:val="center"/>
          </w:tcPr>
          <w:p w14:paraId="06BEBCF8">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踏勘现场</w:t>
            </w:r>
          </w:p>
        </w:tc>
        <w:tc>
          <w:tcPr>
            <w:tcW w:w="6246" w:type="dxa"/>
            <w:gridSpan w:val="2"/>
            <w:shd w:val="clear" w:color="auto" w:fill="auto"/>
            <w:vAlign w:val="center"/>
          </w:tcPr>
          <w:p w14:paraId="3E5EDE79">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不组织</w:t>
            </w:r>
          </w:p>
        </w:tc>
      </w:tr>
      <w:tr w14:paraId="36FE5E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exact"/>
        </w:trPr>
        <w:tc>
          <w:tcPr>
            <w:tcW w:w="1011" w:type="dxa"/>
            <w:shd w:val="clear" w:color="auto" w:fill="auto"/>
            <w:vAlign w:val="center"/>
          </w:tcPr>
          <w:p w14:paraId="6DEFCCD5">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1.10</w:t>
            </w:r>
          </w:p>
        </w:tc>
        <w:tc>
          <w:tcPr>
            <w:tcW w:w="1968" w:type="dxa"/>
            <w:gridSpan w:val="2"/>
            <w:shd w:val="clear" w:color="auto" w:fill="auto"/>
            <w:vAlign w:val="center"/>
          </w:tcPr>
          <w:p w14:paraId="2F4EB93E">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投标预备会</w:t>
            </w:r>
          </w:p>
        </w:tc>
        <w:tc>
          <w:tcPr>
            <w:tcW w:w="6246" w:type="dxa"/>
            <w:gridSpan w:val="2"/>
            <w:shd w:val="clear" w:color="auto" w:fill="auto"/>
            <w:vAlign w:val="center"/>
          </w:tcPr>
          <w:p w14:paraId="497B461B">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不召开</w:t>
            </w:r>
          </w:p>
        </w:tc>
      </w:tr>
      <w:tr w14:paraId="039EE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exact"/>
        </w:trPr>
        <w:tc>
          <w:tcPr>
            <w:tcW w:w="1011" w:type="dxa"/>
            <w:shd w:val="clear" w:color="auto" w:fill="auto"/>
            <w:vAlign w:val="center"/>
          </w:tcPr>
          <w:p w14:paraId="435AB6FB">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1.11</w:t>
            </w:r>
          </w:p>
        </w:tc>
        <w:tc>
          <w:tcPr>
            <w:tcW w:w="1968" w:type="dxa"/>
            <w:gridSpan w:val="2"/>
            <w:shd w:val="clear" w:color="auto" w:fill="auto"/>
            <w:vAlign w:val="center"/>
          </w:tcPr>
          <w:p w14:paraId="201D46E7">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6246" w:type="dxa"/>
            <w:gridSpan w:val="2"/>
            <w:shd w:val="clear" w:color="auto" w:fill="auto"/>
            <w:vAlign w:val="center"/>
          </w:tcPr>
          <w:p w14:paraId="338C4D0C">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不允许负偏离</w:t>
            </w:r>
          </w:p>
        </w:tc>
      </w:tr>
      <w:tr w14:paraId="5C0B1E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5" w:hRule="atLeast"/>
        </w:trPr>
        <w:tc>
          <w:tcPr>
            <w:tcW w:w="1011" w:type="dxa"/>
            <w:shd w:val="clear" w:color="auto" w:fill="auto"/>
            <w:vAlign w:val="center"/>
          </w:tcPr>
          <w:p w14:paraId="20F216AC">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2.2.1</w:t>
            </w:r>
          </w:p>
        </w:tc>
        <w:tc>
          <w:tcPr>
            <w:tcW w:w="1968" w:type="dxa"/>
            <w:gridSpan w:val="2"/>
            <w:shd w:val="clear" w:color="auto" w:fill="auto"/>
            <w:vAlign w:val="center"/>
          </w:tcPr>
          <w:p w14:paraId="3A416BA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rPr>
              <w:t>投标人提出问题的截止时间</w:t>
            </w:r>
          </w:p>
        </w:tc>
        <w:tc>
          <w:tcPr>
            <w:tcW w:w="6246" w:type="dxa"/>
            <w:gridSpan w:val="2"/>
            <w:shd w:val="clear" w:color="auto" w:fill="auto"/>
            <w:vAlign w:val="center"/>
          </w:tcPr>
          <w:p w14:paraId="3641B88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highlight w:val="none"/>
              </w:rPr>
            </w:pPr>
            <w:r>
              <w:rPr>
                <w:rFonts w:hint="eastAsia" w:ascii="宋体" w:hAnsi="宋体" w:eastAsia="宋体" w:cs="宋体"/>
                <w:sz w:val="24"/>
                <w:szCs w:val="24"/>
              </w:rPr>
              <w:t>潜</w:t>
            </w:r>
            <w:r>
              <w:rPr>
                <w:rFonts w:hint="eastAsia" w:ascii="宋体" w:hAnsi="宋体" w:eastAsia="宋体" w:cs="宋体"/>
                <w:sz w:val="24"/>
                <w:szCs w:val="24"/>
                <w:highlight w:val="none"/>
              </w:rPr>
              <w:t>在投标人如对招标文件有疑问或异议的，可以在</w:t>
            </w:r>
            <w:r>
              <w:rPr>
                <w:rFonts w:hint="eastAsia" w:ascii="宋体" w:hAnsi="宋体" w:eastAsia="宋体" w:cs="宋体"/>
                <w:sz w:val="24"/>
                <w:szCs w:val="24"/>
                <w:highlight w:val="none"/>
                <w:lang w:val="en-US" w:eastAsia="zh-CN"/>
              </w:rPr>
              <w:t>递交</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val="en-US" w:eastAsia="zh-CN"/>
              </w:rPr>
              <w:t>文件</w:t>
            </w:r>
            <w:r>
              <w:rPr>
                <w:rFonts w:hint="eastAsia" w:ascii="宋体" w:hAnsi="宋体" w:eastAsia="宋体" w:cs="宋体"/>
                <w:sz w:val="24"/>
                <w:szCs w:val="24"/>
                <w:highlight w:val="none"/>
              </w:rPr>
              <w:t>截止时间10日前将需要澄清的问题以加盖单位公章的文本形式</w:t>
            </w:r>
            <w:r>
              <w:rPr>
                <w:rFonts w:hint="eastAsia" w:ascii="宋体" w:hAnsi="宋体" w:eastAsia="宋体" w:cs="宋体"/>
                <w:sz w:val="24"/>
                <w:szCs w:val="24"/>
                <w:highlight w:val="none"/>
                <w:lang w:val="en-US" w:eastAsia="zh-CN"/>
              </w:rPr>
              <w:t>将原件</w:t>
            </w:r>
            <w:r>
              <w:rPr>
                <w:rFonts w:hint="eastAsia" w:ascii="宋体" w:hAnsi="宋体" w:eastAsia="宋体" w:cs="宋体"/>
                <w:sz w:val="24"/>
                <w:szCs w:val="24"/>
                <w:highlight w:val="none"/>
              </w:rPr>
              <w:t>扫描件发送电子邮件至</w:t>
            </w:r>
            <w:r>
              <w:rPr>
                <w:rFonts w:hint="eastAsia" w:ascii="宋体" w:hAnsi="宋体" w:cs="宋体"/>
                <w:sz w:val="24"/>
                <w:szCs w:val="24"/>
                <w:highlight w:val="none"/>
                <w:lang w:eastAsia="zh-CN"/>
              </w:rPr>
              <w:t>fzjthz00</w:t>
            </w:r>
            <w:r>
              <w:rPr>
                <w:rFonts w:hint="eastAsia" w:ascii="宋体" w:hAnsi="宋体" w:eastAsia="宋体" w:cs="宋体"/>
                <w:sz w:val="24"/>
                <w:szCs w:val="24"/>
                <w:highlight w:val="none"/>
                <w:lang w:eastAsia="zh-CN"/>
              </w:rPr>
              <w:t xml:space="preserve">@163.com </w:t>
            </w:r>
            <w:r>
              <w:rPr>
                <w:rFonts w:hint="eastAsia" w:ascii="宋体" w:hAnsi="宋体" w:eastAsia="宋体" w:cs="宋体"/>
                <w:sz w:val="24"/>
                <w:szCs w:val="24"/>
                <w:highlight w:val="none"/>
              </w:rPr>
              <w:t>并电话通知招标代理机构。</w:t>
            </w:r>
            <w:r>
              <w:rPr>
                <w:rFonts w:hint="eastAsia" w:ascii="宋体" w:hAnsi="宋体" w:eastAsia="宋体" w:cs="宋体"/>
                <w:color w:val="000000"/>
                <w:kern w:val="0"/>
                <w:sz w:val="24"/>
                <w:szCs w:val="24"/>
                <w:highlight w:val="none"/>
                <w:lang w:val="en-US" w:eastAsia="zh-CN" w:bidi="ar"/>
              </w:rPr>
              <w:t>如果投标人在截止时间前未对招标文件提出问题，视为充分理解招标文件所有</w:t>
            </w:r>
            <w:r>
              <w:rPr>
                <w:rFonts w:hint="eastAsia" w:ascii="宋体" w:hAnsi="宋体" w:eastAsia="宋体" w:cs="宋体"/>
                <w:sz w:val="24"/>
                <w:szCs w:val="24"/>
                <w:highlight w:val="none"/>
                <w:lang w:val="en-US" w:eastAsia="zh-CN"/>
              </w:rPr>
              <w:t>内容，一旦递交投标文件，则认为该投标人接受招标文件所有条款。</w:t>
            </w:r>
          </w:p>
        </w:tc>
      </w:tr>
      <w:tr w14:paraId="60A3C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49035149">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2.2.2</w:t>
            </w:r>
          </w:p>
        </w:tc>
        <w:tc>
          <w:tcPr>
            <w:tcW w:w="1968" w:type="dxa"/>
            <w:gridSpan w:val="2"/>
            <w:shd w:val="clear" w:color="auto" w:fill="auto"/>
            <w:vAlign w:val="center"/>
          </w:tcPr>
          <w:p w14:paraId="04E49F4D">
            <w:pPr>
              <w:keepNext w:val="0"/>
              <w:keepLines w:val="0"/>
              <w:pageBreakBefore w:val="0"/>
              <w:kinsoku/>
              <w:wordWrap/>
              <w:overflowPunct/>
              <w:topLinePunct w:val="0"/>
              <w:bidi w:val="0"/>
              <w:adjustRightInd/>
              <w:snapToGrid/>
              <w:spacing w:line="52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招标人进行必要的澄清或者修改时间</w:t>
            </w:r>
          </w:p>
        </w:tc>
        <w:tc>
          <w:tcPr>
            <w:tcW w:w="6246" w:type="dxa"/>
            <w:gridSpan w:val="2"/>
            <w:shd w:val="clear" w:color="auto" w:fill="auto"/>
            <w:vAlign w:val="center"/>
          </w:tcPr>
          <w:p w14:paraId="1D441228">
            <w:pPr>
              <w:keepNext w:val="0"/>
              <w:keepLines w:val="0"/>
              <w:pageBreakBefore w:val="0"/>
              <w:kinsoku/>
              <w:wordWrap/>
              <w:overflowPunct/>
              <w:topLinePunct w:val="0"/>
              <w:bidi w:val="0"/>
              <w:adjustRightInd/>
              <w:snapToGrid/>
              <w:spacing w:line="520" w:lineRule="exact"/>
              <w:jc w:val="lef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招标人对招标文件必须修改的内容，如影响到投标文件编制，从澄清或者修改的发出时间到投标截止时间不得少于15日，澄清或者修改内容</w:t>
            </w:r>
            <w:r>
              <w:rPr>
                <w:rFonts w:hint="eastAsia" w:ascii="宋体" w:hAnsi="宋体" w:eastAsia="宋体" w:cs="宋体"/>
                <w:kern w:val="0"/>
                <w:sz w:val="24"/>
                <w:szCs w:val="24"/>
                <w:highlight w:val="none"/>
                <w:lang w:val="en-US" w:eastAsia="zh-CN"/>
              </w:rPr>
              <w:t>与招标公告同媒介</w:t>
            </w:r>
            <w:r>
              <w:rPr>
                <w:rFonts w:hint="eastAsia" w:ascii="宋体" w:hAnsi="宋体" w:eastAsia="宋体" w:cs="宋体"/>
                <w:kern w:val="0"/>
                <w:sz w:val="24"/>
                <w:szCs w:val="24"/>
                <w:highlight w:val="none"/>
              </w:rPr>
              <w:t>发布，作为招标文件的组成部分，对所有投标人具有约束力</w:t>
            </w:r>
            <w:r>
              <w:rPr>
                <w:rFonts w:hint="eastAsia" w:ascii="宋体" w:hAnsi="宋体" w:eastAsia="宋体" w:cs="宋体"/>
                <w:kern w:val="0"/>
                <w:sz w:val="24"/>
                <w:szCs w:val="24"/>
                <w:highlight w:val="none"/>
                <w:lang w:eastAsia="zh-CN"/>
              </w:rPr>
              <w:t>。</w:t>
            </w:r>
          </w:p>
        </w:tc>
      </w:tr>
      <w:tr w14:paraId="5D5030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37863BE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2.2.3</w:t>
            </w:r>
          </w:p>
        </w:tc>
        <w:tc>
          <w:tcPr>
            <w:tcW w:w="1968" w:type="dxa"/>
            <w:gridSpan w:val="2"/>
            <w:shd w:val="clear" w:color="auto" w:fill="auto"/>
            <w:vAlign w:val="center"/>
          </w:tcPr>
          <w:p w14:paraId="21E473A1">
            <w:pPr>
              <w:keepNext w:val="0"/>
              <w:keepLines w:val="0"/>
              <w:pageBreakBefore w:val="0"/>
              <w:kinsoku/>
              <w:wordWrap/>
              <w:overflowPunct/>
              <w:topLinePunct w:val="0"/>
              <w:bidi w:val="0"/>
              <w:adjustRightInd/>
              <w:snapToGrid/>
              <w:spacing w:line="5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投标人要求澄清</w:t>
            </w:r>
          </w:p>
          <w:p w14:paraId="3D37A900">
            <w:pPr>
              <w:keepNext w:val="0"/>
              <w:keepLines w:val="0"/>
              <w:pageBreakBefore w:val="0"/>
              <w:kinsoku/>
              <w:wordWrap/>
              <w:overflowPunct/>
              <w:topLinePunct w:val="0"/>
              <w:bidi w:val="0"/>
              <w:adjustRightInd/>
              <w:snapToGrid/>
              <w:spacing w:line="52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rPr>
              <w:t>招标文件的截止时间</w:t>
            </w:r>
          </w:p>
        </w:tc>
        <w:tc>
          <w:tcPr>
            <w:tcW w:w="6246" w:type="dxa"/>
            <w:gridSpan w:val="2"/>
            <w:shd w:val="clear" w:color="auto" w:fill="auto"/>
            <w:vAlign w:val="center"/>
          </w:tcPr>
          <w:p w14:paraId="5651C9C9">
            <w:pPr>
              <w:keepNext w:val="0"/>
              <w:keepLines w:val="0"/>
              <w:pageBreakBefore w:val="0"/>
              <w:kinsoku/>
              <w:wordWrap/>
              <w:overflowPunct/>
              <w:topLinePunct w:val="0"/>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招标人对招标文件必须修改的内容，如影响到投标文件编制，从澄清或者修改的发出时间到投标截止时间不得少于15 日，澄清或者修改内容</w:t>
            </w:r>
            <w:r>
              <w:rPr>
                <w:rFonts w:hint="eastAsia" w:ascii="宋体" w:hAnsi="宋体" w:eastAsia="宋体" w:cs="宋体"/>
                <w:kern w:val="0"/>
                <w:sz w:val="24"/>
                <w:szCs w:val="24"/>
                <w:highlight w:val="none"/>
                <w:lang w:val="en-US" w:eastAsia="zh-CN"/>
              </w:rPr>
              <w:t>与招标公告同媒介</w:t>
            </w:r>
            <w:r>
              <w:rPr>
                <w:rFonts w:hint="eastAsia" w:ascii="宋体" w:hAnsi="宋体" w:eastAsia="宋体" w:cs="宋体"/>
                <w:kern w:val="0"/>
                <w:sz w:val="24"/>
                <w:szCs w:val="24"/>
                <w:highlight w:val="none"/>
              </w:rPr>
              <w:t>发布，作为招标文件的组成部分，对所有投标人具有约束力</w:t>
            </w:r>
            <w:r>
              <w:rPr>
                <w:rFonts w:hint="eastAsia" w:ascii="宋体" w:hAnsi="宋体" w:eastAsia="宋体" w:cs="宋体"/>
                <w:kern w:val="0"/>
                <w:sz w:val="24"/>
                <w:szCs w:val="24"/>
                <w:highlight w:val="none"/>
                <w:lang w:eastAsia="zh-CN"/>
              </w:rPr>
              <w:t>。</w:t>
            </w:r>
          </w:p>
        </w:tc>
      </w:tr>
      <w:tr w14:paraId="2CE3AA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47CC5A89">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3.3.1</w:t>
            </w:r>
          </w:p>
        </w:tc>
        <w:tc>
          <w:tcPr>
            <w:tcW w:w="1968" w:type="dxa"/>
            <w:gridSpan w:val="2"/>
            <w:shd w:val="clear" w:color="auto" w:fill="auto"/>
            <w:vAlign w:val="center"/>
          </w:tcPr>
          <w:p w14:paraId="16AB59D3">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246" w:type="dxa"/>
            <w:gridSpan w:val="2"/>
            <w:shd w:val="clear" w:color="auto" w:fill="auto"/>
            <w:vAlign w:val="center"/>
          </w:tcPr>
          <w:p w14:paraId="05B46053">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90日历天（从提交投标文件截止之日算起）</w:t>
            </w:r>
          </w:p>
        </w:tc>
      </w:tr>
      <w:tr w14:paraId="73901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7B8C2C3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3.4</w:t>
            </w:r>
          </w:p>
        </w:tc>
        <w:tc>
          <w:tcPr>
            <w:tcW w:w="1968" w:type="dxa"/>
            <w:gridSpan w:val="2"/>
            <w:shd w:val="clear" w:color="auto" w:fill="auto"/>
            <w:vAlign w:val="center"/>
          </w:tcPr>
          <w:p w14:paraId="2FC46B4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246" w:type="dxa"/>
            <w:gridSpan w:val="2"/>
            <w:shd w:val="clear" w:color="auto" w:fill="auto"/>
            <w:vAlign w:val="center"/>
          </w:tcPr>
          <w:p w14:paraId="7FAC243B">
            <w:pPr>
              <w:spacing w:line="36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本标段不要求缴纳</w:t>
            </w:r>
          </w:p>
        </w:tc>
      </w:tr>
      <w:tr w14:paraId="2BEFB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47A6C2F8">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3.6.3</w:t>
            </w:r>
          </w:p>
        </w:tc>
        <w:tc>
          <w:tcPr>
            <w:tcW w:w="1968" w:type="dxa"/>
            <w:gridSpan w:val="2"/>
            <w:shd w:val="clear" w:color="auto" w:fill="auto"/>
            <w:vAlign w:val="center"/>
          </w:tcPr>
          <w:p w14:paraId="0621DD29">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签字或盖章要求</w:t>
            </w:r>
          </w:p>
        </w:tc>
        <w:tc>
          <w:tcPr>
            <w:tcW w:w="6246" w:type="dxa"/>
            <w:gridSpan w:val="2"/>
            <w:shd w:val="clear" w:color="auto" w:fill="auto"/>
            <w:vAlign w:val="center"/>
          </w:tcPr>
          <w:p w14:paraId="12A67D77">
            <w:pPr>
              <w:spacing w:line="360" w:lineRule="exact"/>
              <w:rPr>
                <w:rFonts w:hint="eastAsia" w:ascii="宋体" w:hAnsi="宋体" w:eastAsia="宋体" w:cs="宋体"/>
                <w:sz w:val="24"/>
                <w:szCs w:val="24"/>
                <w:highlight w:val="none"/>
                <w:lang w:val="zh-CN" w:bidi="zh-CN"/>
              </w:rPr>
            </w:pPr>
            <w:r>
              <w:rPr>
                <w:rFonts w:hint="eastAsia" w:ascii="宋体" w:hAnsi="宋体" w:eastAsia="宋体" w:cs="宋体"/>
                <w:kern w:val="0"/>
                <w:sz w:val="24"/>
                <w:szCs w:val="24"/>
                <w:highlight w:val="none"/>
              </w:rPr>
              <w:t>法定代表人或法定代表授权委托人签字或盖章，加盖单位公章</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可采用电子签章</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w:t>
            </w:r>
          </w:p>
        </w:tc>
      </w:tr>
      <w:tr w14:paraId="7758E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2E500327">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3.7.4</w:t>
            </w:r>
          </w:p>
        </w:tc>
        <w:tc>
          <w:tcPr>
            <w:tcW w:w="1968" w:type="dxa"/>
            <w:gridSpan w:val="2"/>
            <w:shd w:val="clear" w:color="auto" w:fill="auto"/>
            <w:vAlign w:val="center"/>
          </w:tcPr>
          <w:p w14:paraId="4C8D752D">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投标文件份数</w:t>
            </w:r>
          </w:p>
        </w:tc>
        <w:tc>
          <w:tcPr>
            <w:tcW w:w="6246" w:type="dxa"/>
            <w:gridSpan w:val="2"/>
            <w:shd w:val="clear" w:color="auto" w:fill="auto"/>
            <w:vAlign w:val="center"/>
          </w:tcPr>
          <w:p w14:paraId="607CD1E0">
            <w:pPr>
              <w:spacing w:line="360" w:lineRule="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电子加密文件</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份，需在递交截止时间前在电子招投标交易平台上传；</w:t>
            </w:r>
          </w:p>
          <w:p w14:paraId="6F84D458">
            <w:pPr>
              <w:spacing w:line="360" w:lineRule="exact"/>
              <w:rPr>
                <w:rFonts w:hint="eastAsia" w:ascii="宋体" w:hAnsi="宋体" w:eastAsia="宋体" w:cs="宋体"/>
                <w:sz w:val="24"/>
                <w:szCs w:val="24"/>
                <w:highlight w:val="none"/>
                <w:lang w:val="zh-CN" w:eastAsia="zh-CN"/>
              </w:rPr>
            </w:pPr>
            <w:r>
              <w:rPr>
                <w:rFonts w:hint="eastAsia" w:ascii="Times New Roman" w:hAnsi="Times New Roman" w:eastAsia="宋体" w:cs="Times New Roman"/>
                <w:sz w:val="24"/>
                <w:szCs w:val="24"/>
                <w:lang w:val="en-US" w:eastAsia="zh-CN"/>
              </w:rPr>
              <w:t>各候选人</w:t>
            </w:r>
            <w:r>
              <w:rPr>
                <w:rFonts w:hint="eastAsia" w:ascii="Times New Roman" w:hAnsi="Times New Roman" w:eastAsia="宋体" w:cs="Times New Roman"/>
                <w:sz w:val="24"/>
                <w:szCs w:val="24"/>
                <w:lang w:eastAsia="zh-CN"/>
              </w:rPr>
              <w:t>须按招标人要求提供与电子版文件一致的纸质版文件</w:t>
            </w:r>
            <w:r>
              <w:rPr>
                <w:rFonts w:hint="eastAsia" w:ascii="Times New Roman" w:hAnsi="Times New Roman" w:eastAsia="宋体" w:cs="Times New Roman"/>
                <w:sz w:val="24"/>
                <w:szCs w:val="24"/>
                <w:lang w:val="en-US" w:eastAsia="zh-CN"/>
              </w:rPr>
              <w:t>一正四副</w:t>
            </w:r>
            <w:r>
              <w:rPr>
                <w:rFonts w:hint="eastAsia" w:ascii="Times New Roman" w:hAnsi="Times New Roman" w:eastAsia="宋体" w:cs="Times New Roman"/>
                <w:sz w:val="24"/>
                <w:szCs w:val="24"/>
                <w:lang w:eastAsia="zh-CN"/>
              </w:rPr>
              <w:t>。</w:t>
            </w:r>
          </w:p>
        </w:tc>
      </w:tr>
      <w:tr w14:paraId="26064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2" w:hRule="exact"/>
        </w:trPr>
        <w:tc>
          <w:tcPr>
            <w:tcW w:w="1011" w:type="dxa"/>
            <w:shd w:val="clear" w:color="auto" w:fill="auto"/>
            <w:vAlign w:val="center"/>
          </w:tcPr>
          <w:p w14:paraId="54E5B8A9">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4.2</w:t>
            </w:r>
          </w:p>
        </w:tc>
        <w:tc>
          <w:tcPr>
            <w:tcW w:w="1968" w:type="dxa"/>
            <w:gridSpan w:val="2"/>
            <w:shd w:val="clear" w:color="auto" w:fill="auto"/>
            <w:vAlign w:val="center"/>
          </w:tcPr>
          <w:p w14:paraId="462DB08C">
            <w:pPr>
              <w:pStyle w:val="88"/>
              <w:autoSpaceDE w:val="0"/>
              <w:autoSpaceDN w:val="0"/>
              <w:spacing w:before="201" w:line="312" w:lineRule="auto"/>
              <w:ind w:right="98" w:right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递交电子投标文件的截止时间、地点</w:t>
            </w:r>
          </w:p>
        </w:tc>
        <w:tc>
          <w:tcPr>
            <w:tcW w:w="6246" w:type="dxa"/>
            <w:gridSpan w:val="2"/>
            <w:shd w:val="clear" w:color="auto" w:fill="auto"/>
            <w:vAlign w:val="top"/>
          </w:tcPr>
          <w:p w14:paraId="0ED64D52">
            <w:pPr>
              <w:pStyle w:val="88"/>
              <w:keepNext w:val="0"/>
              <w:keepLines w:val="0"/>
              <w:pageBreakBefore w:val="0"/>
              <w:widowControl w:val="0"/>
              <w:kinsoku/>
              <w:wordWrap/>
              <w:overflowPunct/>
              <w:topLinePunct w:val="0"/>
              <w:autoSpaceDE w:val="0"/>
              <w:autoSpaceDN w:val="0"/>
              <w:bidi w:val="0"/>
              <w:adjustRightInd/>
              <w:snapToGrid/>
              <w:spacing w:line="312" w:lineRule="auto"/>
              <w:ind w:right="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截止时间：详见招标公告</w:t>
            </w:r>
          </w:p>
          <w:p w14:paraId="4127C56F">
            <w:pPr>
              <w:pStyle w:val="53"/>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sz w:val="24"/>
                <w:szCs w:val="24"/>
                <w:highlight w:val="none"/>
                <w:lang w:val="en-US" w:eastAsia="zh-CN"/>
              </w:rPr>
              <w:t>地点：在赢标·电子招标采购交易平台（菏泽专区）加密上传</w:t>
            </w:r>
            <w:r>
              <w:rPr>
                <w:rFonts w:hint="eastAsia" w:ascii="宋体" w:hAnsi="宋体" w:eastAsia="宋体" w:cs="宋体"/>
                <w:sz w:val="24"/>
                <w:szCs w:val="24"/>
                <w:highlight w:val="none"/>
                <w:lang w:val="en-US"/>
              </w:rPr>
              <w:t>。</w:t>
            </w:r>
          </w:p>
        </w:tc>
      </w:tr>
      <w:tr w14:paraId="654D4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1A7CDEC5">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5.1</w:t>
            </w:r>
          </w:p>
        </w:tc>
        <w:tc>
          <w:tcPr>
            <w:tcW w:w="1968" w:type="dxa"/>
            <w:gridSpan w:val="2"/>
            <w:shd w:val="clear" w:color="auto" w:fill="auto"/>
            <w:vAlign w:val="center"/>
          </w:tcPr>
          <w:p w14:paraId="150E0AD6">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开标时间和地点</w:t>
            </w:r>
          </w:p>
        </w:tc>
        <w:tc>
          <w:tcPr>
            <w:tcW w:w="6246" w:type="dxa"/>
            <w:gridSpan w:val="2"/>
            <w:shd w:val="clear" w:color="auto" w:fill="auto"/>
            <w:vAlign w:val="center"/>
          </w:tcPr>
          <w:p w14:paraId="3BD98257">
            <w:pPr>
              <w:keepNext w:val="0"/>
              <w:keepLines w:val="0"/>
              <w:pageBreakBefore w:val="0"/>
              <w:kinsoku/>
              <w:wordWrap/>
              <w:overflowPunct/>
              <w:topLinePunct w:val="0"/>
              <w:bidi w:val="0"/>
              <w:adjustRightInd/>
              <w:snapToGrid/>
              <w:spacing w:line="312" w:lineRule="auto"/>
              <w:ind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时间：详见</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437BBE4B">
            <w:pPr>
              <w:keepNext w:val="0"/>
              <w:keepLines w:val="0"/>
              <w:pageBreakBefore w:val="0"/>
              <w:kinsoku/>
              <w:wordWrap/>
              <w:overflowPunct/>
              <w:topLinePunct w:val="0"/>
              <w:bidi w:val="0"/>
              <w:adjustRightInd/>
              <w:snapToGrid/>
              <w:spacing w:line="312" w:lineRule="auto"/>
              <w:ind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地点：详见</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682BB474">
            <w:pPr>
              <w:spacing w:line="360" w:lineRule="exact"/>
              <w:rPr>
                <w:rFonts w:hint="eastAsia" w:ascii="宋体" w:hAnsi="宋体" w:eastAsia="宋体" w:cs="宋体"/>
                <w:color w:val="000000"/>
                <w:sz w:val="24"/>
                <w:szCs w:val="24"/>
              </w:rPr>
            </w:pPr>
            <w:r>
              <w:rPr>
                <w:rFonts w:hint="eastAsia" w:ascii="宋体" w:hAnsi="宋体" w:eastAsia="宋体" w:cs="宋体"/>
                <w:sz w:val="24"/>
                <w:szCs w:val="24"/>
                <w:highlight w:val="none"/>
              </w:rPr>
              <w:t>本次开标为网上交易，</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无需到达开标现场，须准时在线参加开标并签到。</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人按</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文件中规定的时间公开报价，</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必须准时在线参加开标并网上签到，解密时间规定为30分钟，</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需使用CA在规定的时间内自行完成解密，解密结束后对开标记录进行电子签名。若</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在解密规定时间内未完成电子标解密操作，视为放弃该项目报价。电子交易过程出现故障时，按相关部门的规定处理。报价活动数据以电文为准，由于电脑或操作不当造成文件解密、报价延误等一切后果由</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自负。</w:t>
            </w:r>
          </w:p>
        </w:tc>
      </w:tr>
      <w:tr w14:paraId="58F50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05B05985">
            <w:pPr>
              <w:spacing w:line="470" w:lineRule="exact"/>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6.1.1</w:t>
            </w:r>
          </w:p>
        </w:tc>
        <w:tc>
          <w:tcPr>
            <w:tcW w:w="1968" w:type="dxa"/>
            <w:gridSpan w:val="2"/>
            <w:shd w:val="clear" w:color="auto" w:fill="auto"/>
            <w:vAlign w:val="center"/>
          </w:tcPr>
          <w:p w14:paraId="5100F8E4">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评标委员会的组建</w:t>
            </w:r>
          </w:p>
        </w:tc>
        <w:tc>
          <w:tcPr>
            <w:tcW w:w="6246" w:type="dxa"/>
            <w:gridSpan w:val="2"/>
            <w:shd w:val="clear" w:color="auto" w:fill="auto"/>
            <w:vAlign w:val="center"/>
          </w:tcPr>
          <w:p w14:paraId="07CB780B">
            <w:pPr>
              <w:spacing w:line="360" w:lineRule="exac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评标委员会由招标人依法组建，5人</w:t>
            </w:r>
            <w:r>
              <w:rPr>
                <w:rFonts w:hint="eastAsia" w:ascii="宋体" w:hAnsi="宋体" w:cs="宋体"/>
                <w:kern w:val="0"/>
                <w:sz w:val="24"/>
                <w:szCs w:val="24"/>
                <w:highlight w:val="none"/>
                <w:lang w:val="en-US" w:eastAsia="zh-CN"/>
              </w:rPr>
              <w:t>及</w:t>
            </w:r>
            <w:r>
              <w:rPr>
                <w:rFonts w:hint="eastAsia" w:ascii="宋体" w:hAnsi="宋体" w:eastAsia="宋体" w:cs="宋体"/>
                <w:kern w:val="0"/>
                <w:sz w:val="24"/>
                <w:szCs w:val="24"/>
                <w:highlight w:val="none"/>
              </w:rPr>
              <w:t>以上单数</w:t>
            </w:r>
            <w:r>
              <w:rPr>
                <w:rFonts w:hint="eastAsia" w:ascii="宋体" w:hAnsi="宋体" w:eastAsia="宋体" w:cs="宋体"/>
                <w:kern w:val="0"/>
                <w:sz w:val="24"/>
                <w:szCs w:val="24"/>
                <w:highlight w:val="none"/>
                <w:lang w:eastAsia="zh-CN"/>
              </w:rPr>
              <w:t>。</w:t>
            </w:r>
          </w:p>
        </w:tc>
      </w:tr>
      <w:tr w14:paraId="0BC3E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346B5115">
            <w:pPr>
              <w:spacing w:line="340" w:lineRule="exact"/>
              <w:jc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rPr>
              <w:t>6.3.2</w:t>
            </w:r>
          </w:p>
        </w:tc>
        <w:tc>
          <w:tcPr>
            <w:tcW w:w="1968" w:type="dxa"/>
            <w:gridSpan w:val="2"/>
            <w:shd w:val="clear" w:color="auto" w:fill="auto"/>
            <w:vAlign w:val="center"/>
          </w:tcPr>
          <w:p w14:paraId="2602F01D">
            <w:pPr>
              <w:spacing w:line="340" w:lineRule="exact"/>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评标委员会推荐</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定标候选人的数量</w:t>
            </w:r>
          </w:p>
        </w:tc>
        <w:tc>
          <w:tcPr>
            <w:tcW w:w="6246" w:type="dxa"/>
            <w:gridSpan w:val="2"/>
            <w:shd w:val="clear" w:color="auto" w:fill="auto"/>
            <w:vAlign w:val="center"/>
          </w:tcPr>
          <w:p w14:paraId="45981133">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本项目采用评定分离：</w:t>
            </w:r>
          </w:p>
          <w:p w14:paraId="5FF8EE02">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1、评标委员会按照招标文件确定的评标方法和评标细则进行评审,完成评标后,择优推荐出不排序的定标侯选人。</w:t>
            </w:r>
          </w:p>
          <w:p w14:paraId="609C9F8B">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2、经评标委员会评审,当有效投标人为3-5名时,推荐3名定标候选人;当有效投标人为6-10名时,推荐5名定标候选人;当有效投标人为11名及以上时,推荐7名定标候选人；</w:t>
            </w:r>
          </w:p>
          <w:p w14:paraId="0720C7D5">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宋体" w:hAnsi="宋体" w:eastAsia="宋体" w:cs="宋体"/>
                <w:color w:val="FF0000"/>
                <w:sz w:val="24"/>
                <w:szCs w:val="24"/>
                <w:highlight w:val="none"/>
              </w:rPr>
            </w:pPr>
            <w:r>
              <w:rPr>
                <w:rFonts w:hint="eastAsia" w:ascii="宋体" w:hAnsi="宋体" w:eastAsia="宋体" w:cs="宋体"/>
                <w:kern w:val="0"/>
                <w:sz w:val="24"/>
                <w:szCs w:val="24"/>
                <w:highlight w:val="none"/>
                <w:lang w:val="en-US" w:eastAsia="zh-CN"/>
              </w:rPr>
              <w:t>3、评标委员会完成评标后，应当向招标人提出书面评标报告。书面评标报告应当由评标委员会全体成员签字。评标报告在现有要求基础上,还应包括定标侯选人名单、各定标侯选人投标文件优点和缺点、签订合同前应注意和澄清的事项等内容。</w:t>
            </w:r>
          </w:p>
        </w:tc>
      </w:tr>
      <w:tr w14:paraId="6E259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6EE32BB9">
            <w:pPr>
              <w:spacing w:line="340" w:lineRule="exact"/>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6.3.3</w:t>
            </w:r>
          </w:p>
        </w:tc>
        <w:tc>
          <w:tcPr>
            <w:tcW w:w="1968" w:type="dxa"/>
            <w:gridSpan w:val="2"/>
            <w:shd w:val="clear" w:color="auto" w:fill="auto"/>
            <w:vAlign w:val="center"/>
          </w:tcPr>
          <w:p w14:paraId="69F9DCF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评标委员会成员的参加定标会议</w:t>
            </w:r>
          </w:p>
        </w:tc>
        <w:tc>
          <w:tcPr>
            <w:tcW w:w="6246" w:type="dxa"/>
            <w:gridSpan w:val="2"/>
            <w:shd w:val="clear" w:color="auto" w:fill="auto"/>
            <w:vAlign w:val="center"/>
          </w:tcPr>
          <w:p w14:paraId="1536CE22">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评委组长及其他任意1名评委代表后期须参加项目定标会议，评委组长须在会议现场以书面形式汇报项目评标情况。</w:t>
            </w:r>
          </w:p>
        </w:tc>
      </w:tr>
      <w:tr w14:paraId="3FD03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trPr>
        <w:tc>
          <w:tcPr>
            <w:tcW w:w="1011" w:type="dxa"/>
            <w:shd w:val="clear" w:color="auto" w:fill="auto"/>
            <w:vAlign w:val="center"/>
          </w:tcPr>
          <w:p w14:paraId="10882B68">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6.4</w:t>
            </w:r>
          </w:p>
        </w:tc>
        <w:tc>
          <w:tcPr>
            <w:tcW w:w="1968" w:type="dxa"/>
            <w:gridSpan w:val="2"/>
            <w:shd w:val="clear" w:color="auto" w:fill="auto"/>
            <w:vAlign w:val="center"/>
          </w:tcPr>
          <w:p w14:paraId="600A62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定标候选人公示媒介、期限</w:t>
            </w:r>
          </w:p>
        </w:tc>
        <w:tc>
          <w:tcPr>
            <w:tcW w:w="6246" w:type="dxa"/>
            <w:gridSpan w:val="2"/>
            <w:shd w:val="clear" w:color="auto" w:fill="auto"/>
            <w:vAlign w:val="center"/>
          </w:tcPr>
          <w:p w14:paraId="6832961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（1）公示媒介：同招标公告发布媒介</w:t>
            </w:r>
          </w:p>
          <w:p w14:paraId="5506D3F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kern w:val="0"/>
                <w:sz w:val="24"/>
                <w:szCs w:val="24"/>
                <w:highlight w:val="none"/>
              </w:rPr>
              <w:t>（2）公示期限：</w:t>
            </w:r>
            <w:r>
              <w:rPr>
                <w:rFonts w:hint="eastAsia" w:ascii="宋体" w:hAnsi="宋体" w:eastAsia="宋体" w:cs="宋体"/>
                <w:kern w:val="0"/>
                <w:sz w:val="24"/>
                <w:szCs w:val="24"/>
                <w:highlight w:val="none"/>
                <w:u w:val="single"/>
                <w:lang w:val="en-US" w:eastAsia="zh-CN"/>
              </w:rPr>
              <w:t>3</w:t>
            </w:r>
            <w:r>
              <w:rPr>
                <w:rFonts w:hint="eastAsia" w:ascii="宋体" w:hAnsi="宋体" w:eastAsia="宋体" w:cs="宋体"/>
                <w:kern w:val="0"/>
                <w:sz w:val="24"/>
                <w:szCs w:val="24"/>
                <w:highlight w:val="none"/>
              </w:rPr>
              <w:t>日（公示期截止时间在法定休息日的应顺延至首个工作日）</w:t>
            </w:r>
          </w:p>
        </w:tc>
      </w:tr>
      <w:tr w14:paraId="596A3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5102F3AC">
            <w:pPr>
              <w:spacing w:line="340" w:lineRule="exact"/>
              <w:jc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rPr>
              <w:t>6.7</w:t>
            </w:r>
          </w:p>
        </w:tc>
        <w:tc>
          <w:tcPr>
            <w:tcW w:w="1968" w:type="dxa"/>
            <w:gridSpan w:val="2"/>
            <w:shd w:val="clear" w:color="auto" w:fill="auto"/>
            <w:vAlign w:val="center"/>
          </w:tcPr>
          <w:p w14:paraId="3229457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是否递补定标候选人</w:t>
            </w:r>
          </w:p>
        </w:tc>
        <w:tc>
          <w:tcPr>
            <w:tcW w:w="6246" w:type="dxa"/>
            <w:gridSpan w:val="2"/>
            <w:shd w:val="clear" w:color="auto" w:fill="auto"/>
            <w:vAlign w:val="center"/>
          </w:tcPr>
          <w:p w14:paraId="643E66CC">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sym w:font="Wingdings 2" w:char="0052"/>
            </w:r>
            <w:r>
              <w:rPr>
                <w:rFonts w:hint="eastAsia" w:ascii="宋体" w:hAnsi="宋体" w:eastAsia="宋体" w:cs="宋体"/>
                <w:color w:val="000000"/>
                <w:sz w:val="24"/>
                <w:szCs w:val="24"/>
                <w:highlight w:val="none"/>
                <w:lang w:val="en-US" w:eastAsia="zh-CN"/>
              </w:rPr>
              <w:t>不递补：继续定标或重新招标；</w:t>
            </w:r>
          </w:p>
          <w:p w14:paraId="297BDE7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color w:val="000000"/>
                <w:sz w:val="24"/>
                <w:szCs w:val="24"/>
                <w:highlight w:val="none"/>
              </w:rPr>
              <w:sym w:font="Wingdings 2" w:char="00A3"/>
            </w:r>
            <w:r>
              <w:rPr>
                <w:rFonts w:hint="eastAsia" w:ascii="宋体" w:hAnsi="宋体" w:eastAsia="宋体" w:cs="宋体"/>
                <w:color w:val="000000"/>
                <w:sz w:val="24"/>
                <w:szCs w:val="24"/>
                <w:highlight w:val="none"/>
                <w:lang w:val="en-US" w:eastAsia="zh-CN"/>
              </w:rPr>
              <w:t>递补：按照得分由高到低的顺序从其他有效投标人中依次递补；</w:t>
            </w:r>
          </w:p>
        </w:tc>
      </w:tr>
      <w:tr w14:paraId="0BF44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73B30826">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7.2</w:t>
            </w:r>
          </w:p>
        </w:tc>
        <w:tc>
          <w:tcPr>
            <w:tcW w:w="1968" w:type="dxa"/>
            <w:gridSpan w:val="2"/>
            <w:shd w:val="clear" w:color="auto" w:fill="auto"/>
            <w:vAlign w:val="center"/>
          </w:tcPr>
          <w:p w14:paraId="257016A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定标委员会</w:t>
            </w:r>
          </w:p>
          <w:p w14:paraId="174B356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bCs/>
                <w:color w:val="000000"/>
                <w:sz w:val="24"/>
                <w:szCs w:val="24"/>
                <w:highlight w:val="none"/>
              </w:rPr>
              <w:t>组建</w:t>
            </w:r>
          </w:p>
        </w:tc>
        <w:tc>
          <w:tcPr>
            <w:tcW w:w="6246" w:type="dxa"/>
            <w:gridSpan w:val="2"/>
            <w:shd w:val="clear" w:color="auto" w:fill="auto"/>
            <w:vAlign w:val="center"/>
          </w:tcPr>
          <w:p w14:paraId="1C4913DC">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FF0000"/>
                <w:sz w:val="24"/>
                <w:szCs w:val="24"/>
                <w:highlight w:val="none"/>
              </w:rPr>
            </w:pPr>
            <w:r>
              <w:rPr>
                <w:rFonts w:hint="eastAsia" w:ascii="宋体" w:hAnsi="宋体" w:eastAsia="宋体" w:cs="宋体"/>
                <w:color w:val="000000"/>
                <w:sz w:val="24"/>
                <w:szCs w:val="24"/>
                <w:highlight w:val="none"/>
              </w:rPr>
              <w:t>由招标人按规定组建，成员数量为5人及以上单数；</w:t>
            </w:r>
          </w:p>
        </w:tc>
      </w:tr>
      <w:tr w14:paraId="477B1D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798D385F">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7.3</w:t>
            </w:r>
          </w:p>
        </w:tc>
        <w:tc>
          <w:tcPr>
            <w:tcW w:w="1968" w:type="dxa"/>
            <w:gridSpan w:val="2"/>
            <w:shd w:val="clear" w:color="auto" w:fill="auto"/>
            <w:vAlign w:val="center"/>
          </w:tcPr>
          <w:p w14:paraId="2D637CB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bCs/>
                <w:color w:val="000000"/>
                <w:sz w:val="24"/>
                <w:szCs w:val="24"/>
                <w:highlight w:val="none"/>
              </w:rPr>
              <w:t>考察定标候选人情况</w:t>
            </w:r>
          </w:p>
        </w:tc>
        <w:tc>
          <w:tcPr>
            <w:tcW w:w="6246" w:type="dxa"/>
            <w:gridSpan w:val="2"/>
            <w:shd w:val="clear" w:color="auto" w:fill="auto"/>
            <w:vAlign w:val="center"/>
          </w:tcPr>
          <w:p w14:paraId="1524214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是否考察定标候选人：</w:t>
            </w:r>
          </w:p>
          <w:p w14:paraId="08D3697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sym w:font="Wingdings 2" w:char="0052"/>
            </w:r>
            <w:r>
              <w:rPr>
                <w:rFonts w:hint="eastAsia" w:ascii="宋体" w:hAnsi="宋体" w:eastAsia="宋体" w:cs="宋体"/>
                <w:color w:val="000000"/>
                <w:sz w:val="24"/>
                <w:szCs w:val="24"/>
                <w:highlight w:val="none"/>
                <w:lang w:val="en-US" w:eastAsia="zh-CN"/>
              </w:rPr>
              <w:t>不考察；</w:t>
            </w:r>
          </w:p>
          <w:p w14:paraId="7B95C18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color w:val="000000"/>
                <w:sz w:val="24"/>
                <w:szCs w:val="24"/>
                <w:highlight w:val="none"/>
                <w:lang w:val="en-US" w:eastAsia="zh-CN"/>
              </w:rPr>
              <w:sym w:font="Wingdings 2" w:char="00A3"/>
            </w:r>
            <w:r>
              <w:rPr>
                <w:rFonts w:hint="eastAsia" w:ascii="宋体" w:hAnsi="宋体" w:eastAsia="宋体" w:cs="宋体"/>
                <w:color w:val="000000"/>
                <w:sz w:val="24"/>
                <w:szCs w:val="24"/>
                <w:highlight w:val="none"/>
                <w:lang w:val="en-US" w:eastAsia="zh-CN"/>
              </w:rPr>
              <w:t>考察：考察小组人员由招标人确定；考察小组在定标会议召开前需要对中标候选人进行考察、质询，并出具考察报告作为定标辅助。考察报告中不得有明示或暗示中标单位的内容。考察时，对所有定标候选人进行考察；</w:t>
            </w:r>
          </w:p>
        </w:tc>
      </w:tr>
      <w:tr w14:paraId="4B5D93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5856A6D8">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7.4</w:t>
            </w:r>
          </w:p>
        </w:tc>
        <w:tc>
          <w:tcPr>
            <w:tcW w:w="1968" w:type="dxa"/>
            <w:gridSpan w:val="2"/>
            <w:shd w:val="clear" w:color="auto" w:fill="auto"/>
            <w:vAlign w:val="center"/>
          </w:tcPr>
          <w:p w14:paraId="32278B9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定标方法</w:t>
            </w:r>
          </w:p>
        </w:tc>
        <w:tc>
          <w:tcPr>
            <w:tcW w:w="6246" w:type="dxa"/>
            <w:gridSpan w:val="2"/>
            <w:shd w:val="clear" w:color="auto" w:fill="auto"/>
            <w:vAlign w:val="center"/>
          </w:tcPr>
          <w:p w14:paraId="55C5B86C">
            <w:pPr>
              <w:keepNext w:val="0"/>
              <w:keepLines w:val="0"/>
              <w:pageBreakBefore w:val="0"/>
              <w:widowControl w:val="0"/>
              <w:kinsoku/>
              <w:wordWrap/>
              <w:overflowPunct/>
              <w:topLinePunct w:val="0"/>
              <w:autoSpaceDE/>
              <w:autoSpaceDN/>
              <w:bidi w:val="0"/>
              <w:adjustRightInd/>
              <w:snapToGrid/>
              <w:spacing w:line="480" w:lineRule="exact"/>
              <w:ind w:right="105" w:rightChars="5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集体议事法</w:t>
            </w:r>
          </w:p>
          <w:p w14:paraId="0EC582E0">
            <w:pPr>
              <w:keepNext w:val="0"/>
              <w:keepLines w:val="0"/>
              <w:pageBreakBefore w:val="0"/>
              <w:widowControl w:val="0"/>
              <w:kinsoku/>
              <w:wordWrap/>
              <w:overflowPunct/>
              <w:topLinePunct w:val="0"/>
              <w:autoSpaceDE/>
              <w:autoSpaceDN/>
              <w:bidi w:val="0"/>
              <w:adjustRightInd/>
              <w:snapToGrid/>
              <w:spacing w:line="480" w:lineRule="exact"/>
              <w:ind w:right="105" w:rightChars="5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票决定标法</w:t>
            </w:r>
          </w:p>
          <w:p w14:paraId="1EB1A0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 xml:space="preserve">□低中选优定标法  </w:t>
            </w:r>
          </w:p>
          <w:p w14:paraId="7FD3CDF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shd w:val="clear" w:color="auto" w:fill="auto"/>
                <w:lang w:val="en-US" w:eastAsia="zh-CN"/>
              </w:rPr>
              <w:t>具体程序按菏政办字【2023】53号文件执行</w:t>
            </w:r>
          </w:p>
        </w:tc>
      </w:tr>
      <w:tr w14:paraId="41F6C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1011" w:type="dxa"/>
            <w:shd w:val="clear" w:color="auto" w:fill="auto"/>
            <w:vAlign w:val="center"/>
          </w:tcPr>
          <w:p w14:paraId="741D632B">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7.4.4</w:t>
            </w:r>
          </w:p>
        </w:tc>
        <w:tc>
          <w:tcPr>
            <w:tcW w:w="1968" w:type="dxa"/>
            <w:gridSpan w:val="2"/>
            <w:shd w:val="clear" w:color="auto" w:fill="auto"/>
            <w:vAlign w:val="center"/>
          </w:tcPr>
          <w:p w14:paraId="5CBEE9C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pacing w:val="-2"/>
                <w:kern w:val="2"/>
                <w:sz w:val="24"/>
                <w:szCs w:val="24"/>
                <w:highlight w:val="none"/>
                <w:lang w:val="en-US" w:eastAsia="zh-CN" w:bidi="ar-SA"/>
              </w:rPr>
              <w:t>是否由定标候选人向定标委员会进行答辩</w:t>
            </w:r>
          </w:p>
        </w:tc>
        <w:tc>
          <w:tcPr>
            <w:tcW w:w="6246" w:type="dxa"/>
            <w:gridSpan w:val="2"/>
            <w:shd w:val="clear" w:color="auto" w:fill="auto"/>
            <w:vAlign w:val="center"/>
          </w:tcPr>
          <w:p w14:paraId="28457BA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shd w:val="clear" w:color="auto" w:fill="auto"/>
                <w:lang w:val="en-US" w:eastAsia="zh-CN"/>
              </w:rPr>
              <w:t>否</w:t>
            </w:r>
          </w:p>
        </w:tc>
      </w:tr>
      <w:tr w14:paraId="75017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03C6D2D7">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8</w:t>
            </w:r>
          </w:p>
        </w:tc>
        <w:tc>
          <w:tcPr>
            <w:tcW w:w="1968" w:type="dxa"/>
            <w:gridSpan w:val="2"/>
            <w:shd w:val="clear" w:color="auto" w:fill="auto"/>
            <w:vAlign w:val="center"/>
          </w:tcPr>
          <w:p w14:paraId="0B7B4FE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履约担保</w:t>
            </w:r>
          </w:p>
        </w:tc>
        <w:tc>
          <w:tcPr>
            <w:tcW w:w="6246" w:type="dxa"/>
            <w:gridSpan w:val="2"/>
            <w:shd w:val="clear" w:color="auto" w:fill="auto"/>
            <w:vAlign w:val="center"/>
          </w:tcPr>
          <w:p w14:paraId="6CEF88E1">
            <w:pPr>
              <w:pStyle w:val="17"/>
              <w:keepNext w:val="0"/>
              <w:keepLines w:val="0"/>
              <w:pageBreakBefore w:val="0"/>
              <w:widowControl w:val="0"/>
              <w:tabs>
                <w:tab w:val="left" w:pos="3630"/>
              </w:tabs>
              <w:kinsoku/>
              <w:wordWrap/>
              <w:overflowPunct/>
              <w:topLinePunct w:val="0"/>
              <w:autoSpaceDE/>
              <w:autoSpaceDN/>
              <w:bidi w:val="0"/>
              <w:adjustRightInd/>
              <w:snapToGrid/>
              <w:spacing w:line="48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是否要求中标人提交履约保证金：</w:t>
            </w:r>
          </w:p>
          <w:p w14:paraId="7F5563C6">
            <w:pPr>
              <w:pStyle w:val="17"/>
              <w:keepNext w:val="0"/>
              <w:keepLines w:val="0"/>
              <w:pageBreakBefore w:val="0"/>
              <w:widowControl w:val="0"/>
              <w:tabs>
                <w:tab w:val="left" w:pos="3630"/>
              </w:tabs>
              <w:kinsoku/>
              <w:wordWrap/>
              <w:overflowPunct/>
              <w:topLinePunct w:val="0"/>
              <w:autoSpaceDE/>
              <w:autoSpaceDN/>
              <w:bidi w:val="0"/>
              <w:adjustRightInd/>
              <w:snapToGrid/>
              <w:spacing w:line="48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sym w:font="Wingdings" w:char="00A8"/>
            </w:r>
            <w:r>
              <w:rPr>
                <w:rFonts w:hint="eastAsia" w:ascii="宋体" w:hAnsi="宋体" w:eastAsia="宋体" w:cs="宋体"/>
                <w:kern w:val="2"/>
                <w:sz w:val="24"/>
                <w:szCs w:val="24"/>
                <w:highlight w:val="none"/>
                <w:lang w:val="en-US" w:eastAsia="zh-CN" w:bidi="ar-SA"/>
              </w:rPr>
              <w:t xml:space="preserve">要求，履约保证金的形式： </w:t>
            </w:r>
          </w:p>
          <w:p w14:paraId="11E2702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sym w:font="Wingdings 2" w:char="0052"/>
            </w:r>
            <w:r>
              <w:rPr>
                <w:rFonts w:hint="eastAsia" w:ascii="宋体" w:hAnsi="宋体" w:eastAsia="宋体" w:cs="宋体"/>
                <w:kern w:val="0"/>
                <w:sz w:val="24"/>
                <w:szCs w:val="24"/>
                <w:highlight w:val="none"/>
              </w:rPr>
              <w:t>不要求</w:t>
            </w:r>
          </w:p>
        </w:tc>
      </w:tr>
      <w:tr w14:paraId="7C4BB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9225" w:type="dxa"/>
            <w:gridSpan w:val="5"/>
            <w:shd w:val="clear" w:color="auto" w:fill="auto"/>
            <w:vAlign w:val="center"/>
          </w:tcPr>
          <w:p w14:paraId="693EFA5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10、需要补充的其他内容</w:t>
            </w:r>
          </w:p>
        </w:tc>
      </w:tr>
      <w:tr w14:paraId="3CF31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9225" w:type="dxa"/>
            <w:gridSpan w:val="5"/>
            <w:shd w:val="clear" w:color="auto" w:fill="auto"/>
            <w:vAlign w:val="center"/>
          </w:tcPr>
          <w:p w14:paraId="487E6C5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10.1 词语定义</w:t>
            </w:r>
          </w:p>
        </w:tc>
      </w:tr>
      <w:tr w14:paraId="082D9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9225" w:type="dxa"/>
            <w:gridSpan w:val="5"/>
            <w:shd w:val="clear" w:color="auto" w:fill="auto"/>
            <w:vAlign w:val="center"/>
          </w:tcPr>
          <w:p w14:paraId="1100B14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10.2.1“暗标”评审</w:t>
            </w:r>
          </w:p>
        </w:tc>
      </w:tr>
      <w:tr w14:paraId="07E0D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819" w:type="dxa"/>
            <w:gridSpan w:val="4"/>
            <w:shd w:val="clear" w:color="auto" w:fill="auto"/>
            <w:vAlign w:val="center"/>
          </w:tcPr>
          <w:p w14:paraId="526568F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技术部分</w:t>
            </w:r>
            <w:r>
              <w:rPr>
                <w:rFonts w:hint="eastAsia" w:ascii="宋体" w:hAnsi="宋体" w:eastAsia="宋体" w:cs="宋体"/>
                <w:sz w:val="24"/>
                <w:szCs w:val="24"/>
                <w:highlight w:val="none"/>
              </w:rPr>
              <w:t>是否采用“暗标”评审方式</w:t>
            </w:r>
          </w:p>
        </w:tc>
        <w:tc>
          <w:tcPr>
            <w:tcW w:w="4406" w:type="dxa"/>
            <w:shd w:val="clear" w:color="auto" w:fill="auto"/>
            <w:vAlign w:val="center"/>
          </w:tcPr>
          <w:p w14:paraId="74B8056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不采用</w:t>
            </w:r>
          </w:p>
        </w:tc>
      </w:tr>
      <w:tr w14:paraId="31D64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9225" w:type="dxa"/>
            <w:gridSpan w:val="5"/>
            <w:shd w:val="clear" w:color="auto" w:fill="auto"/>
            <w:vAlign w:val="center"/>
          </w:tcPr>
          <w:p w14:paraId="7588D19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知识产权</w:t>
            </w:r>
          </w:p>
        </w:tc>
      </w:tr>
      <w:tr w14:paraId="2A313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107EAA14">
            <w:pPr>
              <w:spacing w:line="47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w:t>
            </w:r>
          </w:p>
        </w:tc>
        <w:tc>
          <w:tcPr>
            <w:tcW w:w="8214" w:type="dxa"/>
            <w:gridSpan w:val="4"/>
            <w:shd w:val="clear" w:color="auto" w:fill="auto"/>
            <w:vAlign w:val="center"/>
          </w:tcPr>
          <w:p w14:paraId="46E088D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14:paraId="665EB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9225" w:type="dxa"/>
            <w:gridSpan w:val="5"/>
            <w:shd w:val="clear" w:color="auto" w:fill="auto"/>
            <w:vAlign w:val="center"/>
          </w:tcPr>
          <w:p w14:paraId="5D60B89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 重新招标的其他情形</w:t>
            </w:r>
          </w:p>
        </w:tc>
      </w:tr>
      <w:tr w14:paraId="72C27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1011" w:type="dxa"/>
            <w:shd w:val="clear" w:color="auto" w:fill="auto"/>
            <w:vAlign w:val="center"/>
          </w:tcPr>
          <w:p w14:paraId="57C1A47B">
            <w:pPr>
              <w:spacing w:line="47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.1</w:t>
            </w:r>
          </w:p>
        </w:tc>
        <w:tc>
          <w:tcPr>
            <w:tcW w:w="8214" w:type="dxa"/>
            <w:gridSpan w:val="4"/>
            <w:shd w:val="clear" w:color="auto" w:fill="auto"/>
            <w:vAlign w:val="center"/>
          </w:tcPr>
          <w:p w14:paraId="0E4EC7A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在投标人须知正文第8条规定的情形外，除非已经产生中标候选人，在投标有效期内同意延长投标有效期的投标人少于三个的，招标人应当依法重新招标。</w:t>
            </w:r>
          </w:p>
        </w:tc>
      </w:tr>
      <w:tr w14:paraId="434A6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225" w:type="dxa"/>
            <w:gridSpan w:val="5"/>
            <w:shd w:val="clear" w:color="auto" w:fill="auto"/>
            <w:vAlign w:val="center"/>
          </w:tcPr>
          <w:p w14:paraId="0619AF67">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 同义词语</w:t>
            </w:r>
          </w:p>
        </w:tc>
      </w:tr>
      <w:tr w14:paraId="180313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1011" w:type="dxa"/>
            <w:shd w:val="clear" w:color="auto" w:fill="auto"/>
            <w:vAlign w:val="center"/>
          </w:tcPr>
          <w:p w14:paraId="55ED66F1">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.1</w:t>
            </w:r>
          </w:p>
        </w:tc>
        <w:tc>
          <w:tcPr>
            <w:tcW w:w="8214" w:type="dxa"/>
            <w:gridSpan w:val="4"/>
            <w:shd w:val="clear" w:color="auto" w:fill="auto"/>
            <w:vAlign w:val="center"/>
          </w:tcPr>
          <w:p w14:paraId="1A1FEE3A">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构成招标文件组成部分的“通用合同条件”、“专用合同条件”等章节中出现的措辞“委托人”和“</w:t>
            </w:r>
            <w:r>
              <w:rPr>
                <w:rFonts w:hint="eastAsia" w:ascii="宋体" w:hAnsi="宋体" w:cs="宋体"/>
                <w:sz w:val="24"/>
                <w:szCs w:val="24"/>
                <w:highlight w:val="none"/>
                <w:lang w:val="en-US" w:eastAsia="zh-CN"/>
              </w:rPr>
              <w:t>跟踪审计</w:t>
            </w:r>
            <w:r>
              <w:rPr>
                <w:rFonts w:hint="eastAsia" w:ascii="宋体" w:hAnsi="宋体" w:eastAsia="宋体" w:cs="宋体"/>
                <w:sz w:val="24"/>
                <w:szCs w:val="24"/>
                <w:highlight w:val="none"/>
              </w:rPr>
              <w:t>人”，在招标投标阶段应当分别按“招标人”和“投标人”进行理解。</w:t>
            </w:r>
          </w:p>
        </w:tc>
      </w:tr>
      <w:tr w14:paraId="23DEFF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9225" w:type="dxa"/>
            <w:gridSpan w:val="5"/>
            <w:shd w:val="clear" w:color="auto" w:fill="auto"/>
            <w:vAlign w:val="center"/>
          </w:tcPr>
          <w:p w14:paraId="2E714928">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 监督</w:t>
            </w:r>
          </w:p>
        </w:tc>
      </w:tr>
      <w:tr w14:paraId="762F3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0" w:hRule="atLeast"/>
        </w:trPr>
        <w:tc>
          <w:tcPr>
            <w:tcW w:w="1011" w:type="dxa"/>
            <w:shd w:val="clear" w:color="auto" w:fill="auto"/>
            <w:vAlign w:val="center"/>
          </w:tcPr>
          <w:p w14:paraId="36BDAFD7">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.1</w:t>
            </w:r>
          </w:p>
        </w:tc>
        <w:tc>
          <w:tcPr>
            <w:tcW w:w="8214" w:type="dxa"/>
            <w:gridSpan w:val="4"/>
            <w:shd w:val="clear" w:color="auto" w:fill="auto"/>
            <w:vAlign w:val="center"/>
          </w:tcPr>
          <w:p w14:paraId="3BD470CE">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本项目的招标投标活动及其相关当事人应当接受有管辖权的建设工程招标投标行政监督部门依法实施的监督。</w:t>
            </w:r>
          </w:p>
        </w:tc>
      </w:tr>
      <w:tr w14:paraId="56110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9225" w:type="dxa"/>
            <w:gridSpan w:val="5"/>
            <w:shd w:val="clear" w:color="auto" w:fill="auto"/>
            <w:vAlign w:val="center"/>
          </w:tcPr>
          <w:p w14:paraId="5D075C3D">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解释权</w:t>
            </w:r>
          </w:p>
        </w:tc>
      </w:tr>
      <w:tr w14:paraId="47344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7" w:hRule="atLeast"/>
        </w:trPr>
        <w:tc>
          <w:tcPr>
            <w:tcW w:w="1040" w:type="dxa"/>
            <w:gridSpan w:val="2"/>
            <w:shd w:val="clear" w:color="auto" w:fill="auto"/>
            <w:vAlign w:val="center"/>
          </w:tcPr>
          <w:p w14:paraId="57E4BD47">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.1</w:t>
            </w:r>
          </w:p>
        </w:tc>
        <w:tc>
          <w:tcPr>
            <w:tcW w:w="8185" w:type="dxa"/>
            <w:gridSpan w:val="3"/>
            <w:shd w:val="clear" w:color="auto" w:fill="auto"/>
            <w:vAlign w:val="center"/>
          </w:tcPr>
          <w:p w14:paraId="637DA61D">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构成本招标文件的各个组成文件应互为解释，互为说明；如有不明确或不一致，构成合同文件组成内容，以合同文件约定内容为准，且以专用合同条款约定的合同文件优先顺序解释：除非招标文件中有特别规定外，仅适用于招标投标阶段的规定，按招标公告（投标邀请书）、投标人须知、评标办法、投标文件格式的先后顺序解释：</w:t>
            </w:r>
            <w:r>
              <w:rPr>
                <w:rFonts w:hint="eastAsia" w:ascii="宋体" w:hAnsi="宋体" w:eastAsia="宋体" w:cs="宋体"/>
                <w:bCs/>
                <w:sz w:val="24"/>
                <w:szCs w:val="24"/>
                <w:highlight w:val="none"/>
              </w:rPr>
              <w:t>同一组成文件中就同一事项的规定或约定不一致的，以编排顺序在后者为准：同一组成文件不同版本之间有不一致的，以形成时间在后者为准。按本款前述规定仍不能形成结论的，由招标人负责解释。</w:t>
            </w:r>
          </w:p>
        </w:tc>
      </w:tr>
      <w:tr w14:paraId="64F36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0" w:hRule="atLeast"/>
        </w:trPr>
        <w:tc>
          <w:tcPr>
            <w:tcW w:w="9225" w:type="dxa"/>
            <w:gridSpan w:val="5"/>
            <w:shd w:val="clear" w:color="auto" w:fill="auto"/>
            <w:vAlign w:val="center"/>
          </w:tcPr>
          <w:p w14:paraId="6D937C2A">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 招标人补充的其他内容</w:t>
            </w:r>
          </w:p>
        </w:tc>
      </w:tr>
      <w:tr w14:paraId="6ACDD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exact"/>
        </w:trPr>
        <w:tc>
          <w:tcPr>
            <w:tcW w:w="1011" w:type="dxa"/>
            <w:shd w:val="clear" w:color="auto" w:fill="auto"/>
            <w:vAlign w:val="center"/>
          </w:tcPr>
          <w:p w14:paraId="115B121C">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w:t>
            </w:r>
          </w:p>
        </w:tc>
        <w:tc>
          <w:tcPr>
            <w:tcW w:w="8214" w:type="dxa"/>
            <w:gridSpan w:val="4"/>
            <w:shd w:val="clear" w:color="auto" w:fill="auto"/>
            <w:vAlign w:val="center"/>
          </w:tcPr>
          <w:p w14:paraId="59966B7D">
            <w:pPr>
              <w:keepNext w:val="0"/>
              <w:keepLines w:val="0"/>
              <w:pageBreakBefore w:val="0"/>
              <w:kinsoku/>
              <w:overflowPunct/>
              <w:topLinePunct w:val="0"/>
              <w:autoSpaceDE/>
              <w:autoSpaceDN/>
              <w:bidi w:val="0"/>
              <w:adjustRightInd/>
              <w:snapToGrid/>
              <w:spacing w:line="48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付款方式：</w:t>
            </w:r>
            <w:r>
              <w:rPr>
                <w:rFonts w:hint="eastAsia" w:ascii="宋体" w:hAnsi="宋体" w:eastAsia="宋体" w:cs="宋体"/>
                <w:b/>
                <w:bCs/>
                <w:color w:val="000000" w:themeColor="text1"/>
                <w:sz w:val="24"/>
                <w:szCs w:val="24"/>
                <w:highlight w:val="yellow"/>
                <w:lang w:val="en-US" w:eastAsia="zh-CN"/>
                <w14:textFill>
                  <w14:solidFill>
                    <w14:schemeClr w14:val="tx1"/>
                  </w14:solidFill>
                </w14:textFill>
              </w:rPr>
              <w:t>工程验收合格并出具相应报告后，一次性付清</w:t>
            </w:r>
            <w:r>
              <w:rPr>
                <w:rFonts w:hint="eastAsia" w:ascii="宋体" w:hAnsi="宋体" w:cs="宋体"/>
                <w:b/>
                <w:bCs/>
                <w:color w:val="000000" w:themeColor="text1"/>
                <w:sz w:val="24"/>
                <w:szCs w:val="24"/>
                <w:highlight w:val="yellow"/>
                <w:lang w:val="en-US" w:eastAsia="zh-CN"/>
                <w14:textFill>
                  <w14:solidFill>
                    <w14:schemeClr w14:val="tx1"/>
                  </w14:solidFill>
                </w14:textFill>
              </w:rPr>
              <w:t>。</w:t>
            </w:r>
          </w:p>
        </w:tc>
      </w:tr>
      <w:tr w14:paraId="0E5D81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atLeast"/>
        </w:trPr>
        <w:tc>
          <w:tcPr>
            <w:tcW w:w="1011" w:type="dxa"/>
            <w:shd w:val="clear" w:color="auto" w:fill="auto"/>
            <w:vAlign w:val="center"/>
          </w:tcPr>
          <w:p w14:paraId="7657EAFA">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w:t>
            </w:r>
          </w:p>
        </w:tc>
        <w:tc>
          <w:tcPr>
            <w:tcW w:w="8214" w:type="dxa"/>
            <w:gridSpan w:val="4"/>
            <w:shd w:val="clear" w:color="auto" w:fill="auto"/>
          </w:tcPr>
          <w:p w14:paraId="2DF8908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color w:val="auto"/>
                <w:sz w:val="24"/>
                <w:szCs w:val="24"/>
                <w:highlight w:val="none"/>
                <w:u w:val="single"/>
              </w:rPr>
            </w:pPr>
            <w:r>
              <w:rPr>
                <w:rFonts w:hint="eastAsia" w:ascii="宋体" w:hAnsi="宋体" w:cs="宋体"/>
                <w:b/>
                <w:color w:val="auto"/>
                <w:sz w:val="24"/>
                <w:szCs w:val="24"/>
                <w:highlight w:val="none"/>
                <w:u w:val="single"/>
                <w:lang w:val="en-US" w:eastAsia="zh-CN"/>
              </w:rPr>
              <w:t>招标</w:t>
            </w:r>
            <w:r>
              <w:rPr>
                <w:rFonts w:hint="eastAsia" w:ascii="宋体" w:hAnsi="宋体" w:eastAsia="宋体" w:cs="宋体"/>
                <w:b/>
                <w:color w:val="auto"/>
                <w:sz w:val="24"/>
                <w:szCs w:val="24"/>
                <w:highlight w:val="none"/>
                <w:u w:val="single"/>
                <w:lang w:eastAsia="zh-CN"/>
              </w:rPr>
              <w:t>控制价：</w:t>
            </w:r>
            <w:r>
              <w:rPr>
                <w:rFonts w:hint="eastAsia" w:ascii="宋体" w:hAnsi="宋体" w:cs="宋体"/>
                <w:b/>
                <w:color w:val="auto"/>
                <w:sz w:val="24"/>
                <w:szCs w:val="24"/>
                <w:highlight w:val="none"/>
                <w:u w:val="single"/>
                <w:lang w:val="en-US" w:eastAsia="zh-CN"/>
              </w:rPr>
              <w:t>85000.00元</w:t>
            </w:r>
            <w:r>
              <w:rPr>
                <w:rFonts w:hint="eastAsia" w:ascii="宋体" w:hAnsi="宋体" w:eastAsia="宋体" w:cs="宋体"/>
                <w:b/>
                <w:color w:val="auto"/>
                <w:sz w:val="24"/>
                <w:szCs w:val="24"/>
                <w:highlight w:val="none"/>
                <w:u w:val="single"/>
              </w:rPr>
              <w:t>；</w:t>
            </w:r>
          </w:p>
          <w:p w14:paraId="53D3911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auto"/>
                <w:sz w:val="24"/>
                <w:szCs w:val="24"/>
                <w:highlight w:val="none"/>
                <w:u w:val="single"/>
              </w:rPr>
              <w:t>投标人报价不得高于</w:t>
            </w:r>
            <w:r>
              <w:rPr>
                <w:rFonts w:hint="eastAsia" w:ascii="宋体" w:hAnsi="宋体" w:cs="宋体"/>
                <w:b/>
                <w:color w:val="auto"/>
                <w:sz w:val="24"/>
                <w:szCs w:val="24"/>
                <w:highlight w:val="none"/>
                <w:u w:val="single"/>
                <w:lang w:eastAsia="zh-CN"/>
              </w:rPr>
              <w:t>招标控制价</w:t>
            </w:r>
            <w:r>
              <w:rPr>
                <w:rFonts w:hint="eastAsia" w:ascii="宋体" w:hAnsi="宋体" w:eastAsia="宋体" w:cs="宋体"/>
                <w:b/>
                <w:color w:val="auto"/>
                <w:sz w:val="24"/>
                <w:szCs w:val="24"/>
                <w:highlight w:val="none"/>
                <w:u w:val="single"/>
              </w:rPr>
              <w:t>，且不得低于企业成本，否则按无效标处理。</w:t>
            </w:r>
          </w:p>
        </w:tc>
      </w:tr>
      <w:tr w14:paraId="0FAB46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38A4C59A">
            <w:pPr>
              <w:keepNext w:val="0"/>
              <w:keepLines w:val="0"/>
              <w:pageBreakBefore w:val="0"/>
              <w:kinsoku/>
              <w:overflowPunct/>
              <w:topLinePunct w:val="0"/>
              <w:autoSpaceDE/>
              <w:autoSpaceDN/>
              <w:bidi w:val="0"/>
              <w:adjustRightInd/>
              <w:snapToGrid/>
              <w:spacing w:line="480" w:lineRule="exact"/>
              <w:ind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中标人未履行相关义务的</w:t>
            </w:r>
          </w:p>
          <w:p w14:paraId="37B93B6D">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bCs/>
                <w:kern w:val="0"/>
                <w:sz w:val="24"/>
                <w:szCs w:val="24"/>
                <w:highlight w:val="none"/>
              </w:rPr>
            </w:pPr>
            <w:r>
              <w:rPr>
                <w:rFonts w:hint="eastAsia" w:ascii="宋体" w:hAnsi="宋体" w:eastAsia="宋体" w:cs="宋体"/>
                <w:color w:val="000000"/>
                <w:sz w:val="24"/>
                <w:szCs w:val="24"/>
                <w:highlight w:val="none"/>
              </w:rPr>
              <w:t>责任</w:t>
            </w:r>
          </w:p>
        </w:tc>
        <w:tc>
          <w:tcPr>
            <w:tcW w:w="8214" w:type="dxa"/>
            <w:gridSpan w:val="4"/>
            <w:shd w:val="clear" w:color="auto" w:fill="auto"/>
            <w:vAlign w:val="center"/>
          </w:tcPr>
          <w:p w14:paraId="26931AEC">
            <w:pPr>
              <w:keepNext w:val="0"/>
              <w:keepLines w:val="0"/>
              <w:pageBreakBefore w:val="0"/>
              <w:widowControl/>
              <w:kinsoku/>
              <w:overflowPunct/>
              <w:topLinePunct w:val="0"/>
              <w:autoSpaceDE/>
              <w:autoSpaceDN/>
              <w:bidi w:val="0"/>
              <w:adjustRightInd/>
              <w:snapToGrid/>
              <w:spacing w:line="480" w:lineRule="exact"/>
              <w:ind w:firstLine="0" w:firstLineChars="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中标人未履行相关义务的，</w:t>
            </w:r>
            <w:r>
              <w:rPr>
                <w:rFonts w:hint="eastAsia" w:ascii="宋体" w:hAnsi="宋体" w:cs="宋体"/>
                <w:bCs/>
                <w:color w:val="000000"/>
                <w:sz w:val="24"/>
                <w:szCs w:val="24"/>
                <w:highlight w:val="none"/>
                <w:lang w:val="en-US" w:eastAsia="zh-CN"/>
              </w:rPr>
              <w:t>相关</w:t>
            </w:r>
            <w:r>
              <w:rPr>
                <w:rFonts w:hint="eastAsia" w:ascii="宋体" w:hAnsi="宋体" w:eastAsia="宋体" w:cs="宋体"/>
                <w:bCs/>
                <w:color w:val="000000"/>
                <w:sz w:val="24"/>
                <w:szCs w:val="24"/>
                <w:highlight w:val="none"/>
              </w:rPr>
              <w:t>监督管理部门将依法对中标人进行处理，追究相关责任：</w:t>
            </w:r>
          </w:p>
          <w:p w14:paraId="73E60DFA">
            <w:pPr>
              <w:keepNext w:val="0"/>
              <w:keepLines w:val="0"/>
              <w:pageBreakBefore w:val="0"/>
              <w:widowControl/>
              <w:kinsoku/>
              <w:overflowPunct/>
              <w:topLinePunct w:val="0"/>
              <w:autoSpaceDE/>
              <w:autoSpaceDN/>
              <w:bidi w:val="0"/>
              <w:adjustRightInd/>
              <w:snapToGrid/>
              <w:spacing w:line="480" w:lineRule="exact"/>
              <w:ind w:firstLine="0" w:firstLineChars="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（1）中标后，中标人被</w:t>
            </w:r>
            <w:r>
              <w:rPr>
                <w:rFonts w:hint="eastAsia" w:ascii="宋体" w:hAnsi="宋体" w:cs="宋体"/>
                <w:bCs/>
                <w:color w:val="000000"/>
                <w:sz w:val="24"/>
                <w:szCs w:val="24"/>
                <w:highlight w:val="none"/>
                <w:lang w:val="en-US" w:eastAsia="zh-CN"/>
              </w:rPr>
              <w:t>相关</w:t>
            </w:r>
            <w:r>
              <w:rPr>
                <w:rFonts w:hint="eastAsia" w:ascii="宋体" w:hAnsi="宋体" w:eastAsia="宋体" w:cs="宋体"/>
                <w:bCs/>
                <w:color w:val="000000"/>
                <w:sz w:val="24"/>
                <w:szCs w:val="24"/>
                <w:highlight w:val="none"/>
              </w:rPr>
              <w:t>监督管理部门查实存在违法行为，不满足中标条件的，由招标人取消其中标资格，并做好项目后续工作；</w:t>
            </w:r>
          </w:p>
          <w:p w14:paraId="46E389F6">
            <w:pPr>
              <w:keepNext w:val="0"/>
              <w:keepLines w:val="0"/>
              <w:pageBreakBefore w:val="0"/>
              <w:widowControl/>
              <w:kinsoku/>
              <w:overflowPunct/>
              <w:topLinePunct w:val="0"/>
              <w:autoSpaceDE/>
              <w:autoSpaceDN/>
              <w:bidi w:val="0"/>
              <w:adjustRightInd/>
              <w:snapToGrid/>
              <w:spacing w:line="480" w:lineRule="exact"/>
              <w:ind w:firstLine="0" w:firstLineChars="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（2）中标人应在规定期限内提交履约保证金并与招标人签订合同，若中标人未能在规定期限内提交履约保证金或签订合同，招标人有权取消其中标资格，并报</w:t>
            </w:r>
            <w:r>
              <w:rPr>
                <w:rFonts w:hint="eastAsia" w:ascii="宋体" w:hAnsi="宋体" w:cs="宋体"/>
                <w:bCs/>
                <w:color w:val="000000"/>
                <w:sz w:val="24"/>
                <w:szCs w:val="24"/>
                <w:highlight w:val="none"/>
                <w:lang w:val="en-US" w:eastAsia="zh-CN"/>
              </w:rPr>
              <w:t>相关</w:t>
            </w:r>
            <w:r>
              <w:rPr>
                <w:rFonts w:hint="eastAsia" w:ascii="宋体" w:hAnsi="宋体" w:eastAsia="宋体" w:cs="宋体"/>
                <w:bCs/>
                <w:color w:val="000000"/>
                <w:sz w:val="24"/>
                <w:szCs w:val="24"/>
                <w:highlight w:val="none"/>
              </w:rPr>
              <w:t>监督管理部门；</w:t>
            </w:r>
          </w:p>
          <w:p w14:paraId="4005C2CF">
            <w:pPr>
              <w:keepNext w:val="0"/>
              <w:keepLines w:val="0"/>
              <w:pageBreakBefore w:val="0"/>
              <w:kinsoku/>
              <w:overflowPunct/>
              <w:topLinePunct w:val="0"/>
              <w:autoSpaceDE/>
              <w:autoSpaceDN/>
              <w:bidi w:val="0"/>
              <w:adjustRightInd/>
              <w:snapToGrid/>
              <w:spacing w:line="480" w:lineRule="exact"/>
              <w:jc w:val="left"/>
              <w:textAlignment w:val="auto"/>
              <w:rPr>
                <w:rFonts w:hint="eastAsia" w:ascii="宋体" w:hAnsi="宋体" w:eastAsia="宋体" w:cs="宋体"/>
                <w:sz w:val="24"/>
                <w:szCs w:val="24"/>
                <w:highlight w:val="none"/>
              </w:rPr>
            </w:pPr>
            <w:r>
              <w:rPr>
                <w:rFonts w:hint="eastAsia" w:ascii="宋体" w:hAnsi="宋体" w:eastAsia="宋体" w:cs="宋体"/>
                <w:bCs/>
                <w:color w:val="000000"/>
                <w:sz w:val="24"/>
                <w:szCs w:val="24"/>
                <w:highlight w:val="none"/>
              </w:rPr>
              <w:t>（3）合同签订后，中标人存在规定时间内不组织人员进场开工、不履行合同义务等情况，招标人有权解除合同，追究其违约责任，并报</w:t>
            </w:r>
            <w:r>
              <w:rPr>
                <w:rFonts w:hint="eastAsia" w:ascii="宋体" w:hAnsi="宋体" w:cs="宋体"/>
                <w:bCs/>
                <w:color w:val="000000"/>
                <w:sz w:val="24"/>
                <w:szCs w:val="24"/>
                <w:highlight w:val="none"/>
                <w:lang w:val="en-US" w:eastAsia="zh-CN"/>
              </w:rPr>
              <w:t>相关</w:t>
            </w:r>
            <w:r>
              <w:rPr>
                <w:rFonts w:hint="eastAsia" w:ascii="宋体" w:hAnsi="宋体" w:eastAsia="宋体" w:cs="宋体"/>
                <w:bCs/>
                <w:color w:val="000000"/>
                <w:sz w:val="24"/>
                <w:szCs w:val="24"/>
                <w:highlight w:val="none"/>
              </w:rPr>
              <w:t>监督管理部门。</w:t>
            </w:r>
          </w:p>
        </w:tc>
      </w:tr>
      <w:tr w14:paraId="22885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1BD4EBCA">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rPr>
              <w:t>有下列情形之一的，评标委员会应当否决其投标</w:t>
            </w:r>
          </w:p>
        </w:tc>
        <w:tc>
          <w:tcPr>
            <w:tcW w:w="8214" w:type="dxa"/>
            <w:gridSpan w:val="4"/>
            <w:shd w:val="clear" w:color="auto" w:fill="auto"/>
            <w:vAlign w:val="center"/>
          </w:tcPr>
          <w:p w14:paraId="6A62AC52">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（一）投标文件未经投标单位盖章和单位负责人或委托代理人签字；</w:t>
            </w:r>
          </w:p>
          <w:p w14:paraId="1692618C">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（二）投标人不符合国家或者招标文件规定的资格条件；</w:t>
            </w:r>
          </w:p>
          <w:p w14:paraId="58FF9C9F">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（三）同一投标人提交两个以上不同的投标文件或者投标报价，但招标文件要求提交备选投标的除外；</w:t>
            </w:r>
          </w:p>
          <w:p w14:paraId="0B8D7AD6">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（四）投标报价低于成本或者高于招标文件设定的最高投标限价；</w:t>
            </w:r>
          </w:p>
          <w:p w14:paraId="5B41F5DB">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（五）投标文件没有对招标文件的实质性要求和条件作出响应；</w:t>
            </w:r>
          </w:p>
          <w:p w14:paraId="5EBDCE17">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b w:val="0"/>
                <w:bCs w:val="0"/>
                <w:kern w:val="0"/>
                <w:sz w:val="24"/>
                <w:szCs w:val="24"/>
                <w:highlight w:val="none"/>
              </w:rPr>
              <w:t>（六）投标人有串通投标、弄虚作假、行贿等违法行为。</w:t>
            </w:r>
          </w:p>
        </w:tc>
      </w:tr>
      <w:tr w14:paraId="583F9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07C4321D">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bCs/>
                <w:kern w:val="0"/>
                <w:sz w:val="24"/>
                <w:szCs w:val="24"/>
                <w:highlight w:val="none"/>
              </w:rPr>
            </w:pPr>
            <w:r>
              <w:rPr>
                <w:rFonts w:hint="eastAsia" w:ascii="宋体" w:hAnsi="宋体" w:eastAsia="宋体" w:cs="宋体"/>
                <w:sz w:val="24"/>
                <w:szCs w:val="24"/>
                <w:highlight w:val="none"/>
              </w:rPr>
              <w:t>说明</w:t>
            </w:r>
          </w:p>
        </w:tc>
        <w:tc>
          <w:tcPr>
            <w:tcW w:w="8214" w:type="dxa"/>
            <w:gridSpan w:val="4"/>
            <w:shd w:val="clear" w:color="auto" w:fill="auto"/>
            <w:vAlign w:val="center"/>
          </w:tcPr>
          <w:p w14:paraId="70FECC9A">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因本项目实行网上投标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如项目发布澄清、补充、修改信息，将在</w:t>
            </w:r>
            <w:r>
              <w:rPr>
                <w:rFonts w:hint="eastAsia" w:ascii="宋体" w:hAnsi="宋体" w:eastAsia="宋体" w:cs="宋体"/>
                <w:sz w:val="24"/>
                <w:szCs w:val="24"/>
                <w:highlight w:val="none"/>
                <w:lang w:val="en-US" w:eastAsia="zh-CN"/>
              </w:rPr>
              <w:t>发布招标公告的同媒介发布</w:t>
            </w:r>
            <w:r>
              <w:rPr>
                <w:rFonts w:hint="eastAsia" w:ascii="宋体" w:hAnsi="宋体" w:eastAsia="宋体" w:cs="宋体"/>
                <w:sz w:val="24"/>
                <w:szCs w:val="24"/>
                <w:highlight w:val="none"/>
              </w:rPr>
              <w:t>。公告自发布之日起即视为通知到潜在投标人。</w:t>
            </w:r>
          </w:p>
        </w:tc>
      </w:tr>
      <w:tr w14:paraId="39CB7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29B9AFEB">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定标监督委员会</w:t>
            </w:r>
          </w:p>
        </w:tc>
        <w:tc>
          <w:tcPr>
            <w:tcW w:w="8214" w:type="dxa"/>
            <w:gridSpan w:val="4"/>
            <w:shd w:val="clear" w:color="auto" w:fill="auto"/>
            <w:vAlign w:val="center"/>
          </w:tcPr>
          <w:p w14:paraId="574920BF">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定标监督委员会负责对定标委员会组建、定标前的定标人员资格及中标侯选人考察、定标活动等全过程进行监督,及时指出、制止违反程序及纪律的行为,但不得就定标涉及的实质内容发表意见或者参与定标委员会的讨论,泄露定标内容及结果等。发现定标无法继续进行的、相关人员存在违反程序及纪律的行为被指出后仍拒绝纠正的、定标活动存在其他违反相关规定行为的,定标监督委员会应当及时通报招标投标行政监督部门。</w:t>
            </w:r>
          </w:p>
        </w:tc>
      </w:tr>
      <w:tr w14:paraId="731E1E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7B3A9DCE">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电子招投标须知</w:t>
            </w:r>
          </w:p>
        </w:tc>
        <w:tc>
          <w:tcPr>
            <w:tcW w:w="8214" w:type="dxa"/>
            <w:gridSpan w:val="4"/>
            <w:shd w:val="clear" w:color="auto" w:fill="auto"/>
            <w:vAlign w:val="center"/>
          </w:tcPr>
          <w:p w14:paraId="3373876E">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招标文件中其他章节与电子投标人须知有不一致的内容，以电子投标人须知内容为准。</w:t>
            </w:r>
          </w:p>
          <w:p w14:paraId="0C288373">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1.本次采购为电子招投标,投标人应通过赢标平台菏泽专区http://hz.fzbidding.com/上传经CA加密的电子投标文件。</w:t>
            </w:r>
          </w:p>
          <w:p w14:paraId="68B403E7">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2.在线递交电子投标文件前，投标人应当使用投标客户端及及CA为投标文件加密，加密时所用投标文件均只能使用同一把企业CA证书进行加密，否则引起的解密失败的责任由投标人自行承担。加密后请使用投标客户端软件验证解密，以确保电子投标文件未在加密过程中损坏。投标人未按规定加密的投标文件，赢标平台菏泽专区http://hz.fzbidding.com/将拒绝接收。</w:t>
            </w:r>
          </w:p>
          <w:p w14:paraId="11F63BDA">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投标人须在报价截止时间前，通过投标客户端生成FWTB或HWTB结尾的加密文件，并在招标文件规定的投标截止时间前登陆赢标平台菏泽专区http://hz.fzbidding.com/递交电子投标文件。</w:t>
            </w:r>
          </w:p>
          <w:p w14:paraId="3571B462">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3.投标人在递交投标文件之后、在规定的投标截止时间之前，可随时登陆赢标平台菏泽专区http://hz.fzbidding.com/撤回投标文件。需要补充或者修改投标文件时，必须先撤回投标文件，修改后重新递交。重新递交的投标文件应按招标文件的规定编制、加密和CA签名。在报价截止时间后，不能修改或撤回投标文件。</w:t>
            </w:r>
          </w:p>
          <w:p w14:paraId="23384BF4">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4.招标人按招标文件中规定的时间和地点公开开标，投标人必须自带电脑、CA准时在线参加开标，解密时间规定为30分钟，投标人需使用CA在规定的时间内自行完成解密，解密结束后对开标记录进行电子签名。若投标人在解密规定时间内未完成电子标解密操作，视为放弃该项目报价。电子开标过程出现故障时，按相关部门的规定处理。</w:t>
            </w:r>
          </w:p>
          <w:p w14:paraId="438BA127">
            <w:pPr>
              <w:keepNext w:val="0"/>
              <w:keepLines w:val="0"/>
              <w:pageBreakBefore w:val="0"/>
              <w:widowControl w:val="0"/>
              <w:kinsoku/>
              <w:wordWrap w:val="0"/>
              <w:overflowPunct/>
              <w:topLinePunct w:val="0"/>
              <w:autoSpaceDE/>
              <w:autoSpaceDN/>
              <w:bidi w:val="0"/>
              <w:adjustRightInd/>
              <w:snapToGrid/>
              <w:spacing w:line="480" w:lineRule="exact"/>
              <w:ind w:left="0"/>
              <w:textAlignment w:val="auto"/>
              <w:rPr>
                <w:rFonts w:hint="eastAsia" w:ascii="宋体" w:hAnsi="宋体" w:eastAsia="宋体" w:cs="宋体"/>
                <w:sz w:val="24"/>
                <w:szCs w:val="24"/>
                <w:highlight w:val="none"/>
              </w:rPr>
            </w:pPr>
            <w:r>
              <w:rPr>
                <w:rFonts w:hint="eastAsia" w:ascii="Cambria Math" w:hAnsi="Cambria Math" w:eastAsia="宋体" w:cs="Cambria Math"/>
                <w:color w:val="000000"/>
                <w:sz w:val="24"/>
                <w:szCs w:val="24"/>
                <w:highlight w:val="none"/>
                <w:lang w:val="en-US" w:eastAsia="zh-CN"/>
              </w:rPr>
              <w:t>5.《操作手册》赢标平台菏泽专区http://hz.fzbidding.com/“下载中心”栏目进行下载。投标人在使用电子招标投标平台时，如有任何疑问，请拨打客服电话：15898683755、15552513997。</w:t>
            </w:r>
          </w:p>
        </w:tc>
      </w:tr>
      <w:tr w14:paraId="01A9E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9225" w:type="dxa"/>
            <w:gridSpan w:val="5"/>
            <w:shd w:val="clear" w:color="auto" w:fill="auto"/>
            <w:vAlign w:val="center"/>
          </w:tcPr>
          <w:p w14:paraId="49C139E8">
            <w:pPr>
              <w:keepNext w:val="0"/>
              <w:keepLines w:val="0"/>
              <w:pageBreakBefore w:val="0"/>
              <w:widowControl w:val="0"/>
              <w:kinsoku/>
              <w:wordWrap w:val="0"/>
              <w:overflowPunct/>
              <w:topLinePunct w:val="0"/>
              <w:autoSpaceDE/>
              <w:autoSpaceDN/>
              <w:bidi w:val="0"/>
              <w:adjustRightInd/>
              <w:snapToGrid/>
              <w:spacing w:line="480" w:lineRule="exact"/>
              <w:ind w:left="0"/>
              <w:textAlignment w:val="auto"/>
              <w:rPr>
                <w:rFonts w:hint="eastAsia" w:ascii="宋体" w:hAnsi="宋体" w:eastAsia="宋体" w:cs="宋体"/>
                <w:color w:val="000000"/>
                <w:kern w:val="0"/>
                <w:sz w:val="24"/>
                <w:szCs w:val="24"/>
                <w:highlight w:val="none"/>
              </w:rPr>
            </w:pPr>
            <w:r>
              <w:rPr>
                <w:rFonts w:hint="eastAsia" w:ascii="宋体" w:hAnsi="宋体" w:eastAsia="宋体" w:cs="宋体"/>
                <w:b/>
                <w:bCs/>
                <w:sz w:val="24"/>
                <w:szCs w:val="24"/>
                <w:highlight w:val="none"/>
                <w:lang w:val="en-US"/>
              </w:rPr>
              <w:t>本项目</w:t>
            </w:r>
            <w:r>
              <w:rPr>
                <w:rFonts w:hint="eastAsia" w:ascii="宋体" w:hAnsi="宋体" w:cs="宋体"/>
                <w:b/>
                <w:bCs/>
                <w:sz w:val="24"/>
                <w:szCs w:val="24"/>
                <w:highlight w:val="none"/>
                <w:lang w:val="en-US" w:eastAsia="zh-CN"/>
              </w:rPr>
              <w:t>五标段</w:t>
            </w:r>
            <w:r>
              <w:rPr>
                <w:rFonts w:hint="eastAsia" w:ascii="宋体" w:hAnsi="宋体" w:eastAsia="宋体" w:cs="宋体"/>
                <w:b/>
                <w:bCs/>
                <w:sz w:val="24"/>
                <w:szCs w:val="24"/>
                <w:highlight w:val="none"/>
                <w:lang w:val="en-US" w:eastAsia="zh-CN"/>
              </w:rPr>
              <w:t>标的</w:t>
            </w:r>
            <w:r>
              <w:rPr>
                <w:rFonts w:hint="eastAsia" w:ascii="宋体" w:hAnsi="宋体" w:eastAsia="宋体" w:cs="宋体"/>
                <w:b/>
                <w:bCs/>
                <w:sz w:val="24"/>
                <w:szCs w:val="24"/>
                <w:highlight w:val="none"/>
                <w:lang w:val="en-US"/>
              </w:rPr>
              <w:t>所属行业：</w:t>
            </w:r>
            <w:r>
              <w:rPr>
                <w:rFonts w:hint="eastAsia" w:ascii="宋体" w:hAnsi="宋体" w:eastAsia="宋体" w:cs="宋体"/>
                <w:b/>
                <w:bCs/>
                <w:sz w:val="24"/>
                <w:szCs w:val="24"/>
                <w:highlight w:val="none"/>
                <w:lang w:val="en-US" w:eastAsia="zh-CN"/>
              </w:rPr>
              <w:t>其他未列明行业</w:t>
            </w:r>
            <w:r>
              <w:rPr>
                <w:rFonts w:hint="eastAsia" w:ascii="宋体" w:hAnsi="宋体" w:eastAsia="宋体" w:cs="宋体"/>
                <w:b/>
                <w:bCs/>
                <w:sz w:val="24"/>
                <w:szCs w:val="24"/>
                <w:highlight w:val="none"/>
                <w:lang w:val="en-US"/>
              </w:rPr>
              <w:t>。</w:t>
            </w:r>
          </w:p>
        </w:tc>
      </w:tr>
      <w:tr w14:paraId="4D39C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9225" w:type="dxa"/>
            <w:gridSpan w:val="5"/>
            <w:shd w:val="clear" w:color="auto" w:fill="auto"/>
            <w:vAlign w:val="center"/>
          </w:tcPr>
          <w:p w14:paraId="42C60113">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rPr>
              <w:t>本招标文件的最终解释权归招标人所有。</w:t>
            </w:r>
          </w:p>
        </w:tc>
      </w:tr>
    </w:tbl>
    <w:p w14:paraId="1837A9D8">
      <w:pPr>
        <w:pStyle w:val="5"/>
        <w:rPr>
          <w:highlight w:val="none"/>
        </w:rPr>
        <w:sectPr>
          <w:pgSz w:w="11906" w:h="16838"/>
          <w:pgMar w:top="1354" w:right="1361" w:bottom="1644" w:left="1361" w:header="737" w:footer="737" w:gutter="0"/>
          <w:pgNumType w:fmt="decimal" w:start="1"/>
          <w:cols w:space="0" w:num="1"/>
          <w:docGrid w:linePitch="312" w:charSpace="0"/>
        </w:sectPr>
      </w:pPr>
    </w:p>
    <w:p w14:paraId="799092B7">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32" w:name="_Toc4007"/>
      <w:bookmarkStart w:id="33" w:name="_Toc15258"/>
      <w:bookmarkStart w:id="34" w:name="_Toc13101"/>
      <w:bookmarkStart w:id="35" w:name="_Toc21306"/>
      <w:r>
        <w:rPr>
          <w:rStyle w:val="42"/>
          <w:rFonts w:hint="eastAsia" w:ascii="宋体" w:hAnsi="宋体" w:eastAsia="宋体" w:cs="宋体"/>
          <w:b/>
          <w:bCs/>
          <w:sz w:val="24"/>
          <w:szCs w:val="24"/>
          <w:highlight w:val="none"/>
        </w:rPr>
        <w:t>1、总则</w:t>
      </w:r>
      <w:bookmarkEnd w:id="31"/>
      <w:bookmarkEnd w:id="32"/>
      <w:bookmarkEnd w:id="33"/>
      <w:bookmarkEnd w:id="34"/>
      <w:bookmarkEnd w:id="35"/>
    </w:p>
    <w:p w14:paraId="68C4A572">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36" w:name="_Toc309377184"/>
      <w:r>
        <w:rPr>
          <w:rFonts w:hint="eastAsia" w:ascii="宋体" w:hAnsi="宋体" w:eastAsia="宋体" w:cs="宋体"/>
          <w:sz w:val="24"/>
          <w:szCs w:val="24"/>
          <w:highlight w:val="none"/>
        </w:rPr>
        <w:t xml:space="preserve">1.1 </w:t>
      </w:r>
      <w:bookmarkEnd w:id="36"/>
      <w:r>
        <w:rPr>
          <w:rFonts w:hint="eastAsia" w:ascii="宋体" w:hAnsi="宋体" w:eastAsia="宋体" w:cs="宋体"/>
          <w:sz w:val="24"/>
          <w:szCs w:val="24"/>
          <w:highlight w:val="none"/>
        </w:rPr>
        <w:t>项目概况</w:t>
      </w:r>
    </w:p>
    <w:p w14:paraId="08BDFE69">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1.1.1根据《中华人民共和国招标投标法》</w:t>
      </w:r>
      <w:r>
        <w:rPr>
          <w:rFonts w:hint="eastAsia" w:ascii="宋体" w:hAnsi="宋体" w:cs="宋体"/>
          <w:sz w:val="24"/>
          <w:szCs w:val="24"/>
          <w:highlight w:val="none"/>
          <w:lang w:eastAsia="zh-CN"/>
        </w:rPr>
        <w:t>、</w:t>
      </w:r>
      <w:r>
        <w:rPr>
          <w:rFonts w:hint="eastAsia" w:ascii="宋体" w:hAnsi="宋体" w:eastAsia="宋体" w:cs="宋体"/>
          <w:kern w:val="0"/>
          <w:sz w:val="24"/>
          <w:szCs w:val="24"/>
        </w:rPr>
        <w:t>《中华人民共和国招标投标法实施条例》</w:t>
      </w:r>
      <w:r>
        <w:rPr>
          <w:rFonts w:hint="eastAsia" w:ascii="宋体" w:hAnsi="宋体" w:eastAsia="宋体" w:cs="宋体"/>
          <w:sz w:val="24"/>
          <w:szCs w:val="24"/>
          <w:highlight w:val="none"/>
        </w:rPr>
        <w:t>等有关法律、法规和规章的规定，本招标项目已具备招标条件，现对本</w:t>
      </w:r>
      <w:r>
        <w:rPr>
          <w:rFonts w:hint="eastAsia" w:ascii="宋体" w:hAnsi="宋体" w:eastAsia="宋体" w:cs="宋体"/>
          <w:sz w:val="24"/>
          <w:szCs w:val="24"/>
          <w:highlight w:val="none"/>
          <w:lang w:eastAsia="zh-CN"/>
        </w:rPr>
        <w:t>项目跟踪审计</w:t>
      </w:r>
      <w:r>
        <w:rPr>
          <w:rFonts w:hint="eastAsia" w:ascii="宋体" w:hAnsi="宋体" w:eastAsia="宋体" w:cs="宋体"/>
          <w:sz w:val="24"/>
          <w:szCs w:val="24"/>
          <w:highlight w:val="none"/>
        </w:rPr>
        <w:t>进行招标。</w:t>
      </w:r>
    </w:p>
    <w:p w14:paraId="39036B1B">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1.1.2本招标项目招标人：见投标人须知前附表。</w:t>
      </w:r>
    </w:p>
    <w:p w14:paraId="4E3CD89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1.1.3本工程招标代理机构：见投标人须知前附表。</w:t>
      </w:r>
    </w:p>
    <w:p w14:paraId="3D75A1F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1.1.4本招标项目名称：见投标人须知前附表。</w:t>
      </w:r>
    </w:p>
    <w:p w14:paraId="4691F6F5">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1.1.5本工程项目详细情况：见投标人须知前附表。</w:t>
      </w:r>
    </w:p>
    <w:p w14:paraId="5C3430AE">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37" w:name="_Toc309377185"/>
      <w:r>
        <w:rPr>
          <w:rFonts w:hint="eastAsia" w:ascii="宋体" w:hAnsi="宋体" w:eastAsia="宋体" w:cs="宋体"/>
          <w:sz w:val="24"/>
          <w:szCs w:val="24"/>
          <w:highlight w:val="none"/>
        </w:rPr>
        <w:t xml:space="preserve">1.2 </w:t>
      </w:r>
      <w:bookmarkEnd w:id="37"/>
      <w:r>
        <w:rPr>
          <w:rFonts w:hint="eastAsia" w:ascii="宋体" w:hAnsi="宋体" w:eastAsia="宋体" w:cs="宋体"/>
          <w:sz w:val="24"/>
          <w:szCs w:val="24"/>
          <w:highlight w:val="none"/>
        </w:rPr>
        <w:t>资金来源和落实情况</w:t>
      </w:r>
    </w:p>
    <w:p w14:paraId="4F1314F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1.2.1本招标项目的资金来源：见投标人须知前附表</w:t>
      </w:r>
    </w:p>
    <w:p w14:paraId="116731C2">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1.2.2本招标项目的资金落实情况：见投标人须知前附表</w:t>
      </w:r>
    </w:p>
    <w:p w14:paraId="002D4952">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38" w:name="_Toc309377186"/>
      <w:r>
        <w:rPr>
          <w:rFonts w:hint="eastAsia" w:ascii="宋体" w:hAnsi="宋体" w:eastAsia="宋体" w:cs="宋体"/>
          <w:sz w:val="24"/>
          <w:szCs w:val="24"/>
          <w:highlight w:val="none"/>
        </w:rPr>
        <w:t xml:space="preserve">1.3 </w:t>
      </w:r>
      <w:bookmarkEnd w:id="38"/>
      <w:r>
        <w:rPr>
          <w:rFonts w:hint="eastAsia" w:ascii="宋体" w:hAnsi="宋体" w:eastAsia="宋体" w:cs="宋体"/>
          <w:sz w:val="24"/>
          <w:szCs w:val="24"/>
          <w:highlight w:val="none"/>
        </w:rPr>
        <w:t>招标范围、</w:t>
      </w:r>
      <w:r>
        <w:rPr>
          <w:rFonts w:hint="eastAsia" w:ascii="宋体" w:hAnsi="宋体" w:cs="宋体"/>
          <w:sz w:val="24"/>
          <w:szCs w:val="24"/>
          <w:highlight w:val="none"/>
          <w:lang w:eastAsia="zh-CN"/>
        </w:rPr>
        <w:t>服务期</w:t>
      </w:r>
      <w:r>
        <w:rPr>
          <w:rFonts w:hint="eastAsia" w:ascii="宋体" w:hAnsi="宋体" w:eastAsia="宋体" w:cs="宋体"/>
          <w:sz w:val="24"/>
          <w:szCs w:val="24"/>
          <w:highlight w:val="none"/>
        </w:rPr>
        <w:t>和质量要求</w:t>
      </w:r>
    </w:p>
    <w:p w14:paraId="0ABA5EE8">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1.3.1本次招标范围：见投标人须知前附表</w:t>
      </w:r>
    </w:p>
    <w:p w14:paraId="4D68D71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1.3.2本</w:t>
      </w:r>
      <w:r>
        <w:rPr>
          <w:rFonts w:hint="eastAsia" w:ascii="宋体" w:hAnsi="宋体" w:cs="宋体"/>
          <w:sz w:val="24"/>
          <w:szCs w:val="24"/>
          <w:highlight w:val="none"/>
          <w:lang w:eastAsia="zh-CN"/>
        </w:rPr>
        <w:t>项目</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服务期</w:t>
      </w:r>
      <w:r>
        <w:rPr>
          <w:rFonts w:hint="eastAsia" w:ascii="宋体" w:hAnsi="宋体" w:eastAsia="宋体" w:cs="宋体"/>
          <w:sz w:val="24"/>
          <w:szCs w:val="24"/>
          <w:highlight w:val="none"/>
        </w:rPr>
        <w:t>：见投标人须知前附表</w:t>
      </w:r>
    </w:p>
    <w:p w14:paraId="3DECB02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1.3.3本</w:t>
      </w:r>
      <w:r>
        <w:rPr>
          <w:rFonts w:hint="eastAsia" w:ascii="宋体" w:hAnsi="宋体" w:cs="宋体"/>
          <w:sz w:val="24"/>
          <w:szCs w:val="24"/>
          <w:highlight w:val="none"/>
          <w:lang w:eastAsia="zh-CN"/>
        </w:rPr>
        <w:t>项目</w:t>
      </w:r>
      <w:r>
        <w:rPr>
          <w:rFonts w:hint="eastAsia" w:ascii="宋体" w:hAnsi="宋体" w:eastAsia="宋体" w:cs="宋体"/>
          <w:sz w:val="24"/>
          <w:szCs w:val="24"/>
          <w:highlight w:val="none"/>
        </w:rPr>
        <w:t>的质量要求：见投标人须知前附表</w:t>
      </w:r>
    </w:p>
    <w:p w14:paraId="016715DA">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r>
        <w:rPr>
          <w:rFonts w:hint="eastAsia" w:ascii="宋体" w:hAnsi="宋体" w:eastAsia="宋体" w:cs="宋体"/>
          <w:sz w:val="24"/>
          <w:szCs w:val="24"/>
          <w:highlight w:val="none"/>
        </w:rPr>
        <w:t>1.4投标人资格审查方式</w:t>
      </w:r>
    </w:p>
    <w:p w14:paraId="14A82E4D">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1.4.1投标人资质条件、能力和信誉：见投标人须知前附表</w:t>
      </w:r>
    </w:p>
    <w:p w14:paraId="00AFA78B">
      <w:pPr>
        <w:pageBreakBefore w:val="0"/>
        <w:kinsoku/>
        <w:wordWrap/>
        <w:overflowPunct/>
        <w:topLinePunct w:val="0"/>
        <w:autoSpaceDE/>
        <w:autoSpaceDN/>
        <w:bidi w:val="0"/>
        <w:spacing w:line="520" w:lineRule="exact"/>
        <w:ind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其他要求：见投标人须知前附表</w:t>
      </w:r>
    </w:p>
    <w:p w14:paraId="234BDC5D">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1.4.2本</w:t>
      </w:r>
      <w:r>
        <w:rPr>
          <w:rFonts w:hint="eastAsia" w:ascii="宋体" w:hAnsi="宋体" w:cs="宋体"/>
          <w:sz w:val="24"/>
          <w:szCs w:val="24"/>
          <w:highlight w:val="none"/>
          <w:lang w:eastAsia="zh-CN"/>
        </w:rPr>
        <w:t>标段</w:t>
      </w:r>
      <w:r>
        <w:rPr>
          <w:rFonts w:hint="eastAsia" w:ascii="宋体" w:hAnsi="宋体" w:eastAsia="宋体" w:cs="宋体"/>
          <w:sz w:val="24"/>
          <w:szCs w:val="24"/>
          <w:highlight w:val="none"/>
        </w:rPr>
        <w:t>不接受联合体投标申请。</w:t>
      </w:r>
    </w:p>
    <w:p w14:paraId="6360D112">
      <w:pPr>
        <w:pageBreakBefore w:val="0"/>
        <w:tabs>
          <w:tab w:val="left" w:pos="7784"/>
        </w:tabs>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1.4.3投标人不得存在下列情形之一：</w:t>
      </w:r>
      <w:r>
        <w:rPr>
          <w:rFonts w:hint="eastAsia" w:ascii="宋体" w:hAnsi="宋体" w:cs="宋体"/>
          <w:sz w:val="24"/>
          <w:szCs w:val="24"/>
          <w:highlight w:val="none"/>
          <w:lang w:eastAsia="zh-CN"/>
        </w:rPr>
        <w:tab/>
      </w:r>
    </w:p>
    <w:p w14:paraId="1D30A882">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（1）为招标人不具有独立法人资格的附属机构（单位）；</w:t>
      </w:r>
    </w:p>
    <w:p w14:paraId="4600C745">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（2）为本招标项目的代建人或者项目管理单位； </w:t>
      </w:r>
    </w:p>
    <w:p w14:paraId="05C79FE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（3）为本招标项目提供招标代理服务的；</w:t>
      </w:r>
    </w:p>
    <w:p w14:paraId="62C5D3AA">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（4）与本工程的施工单位或代建人或项目管理单位或招标代理机构同为一个法定代表人的；</w:t>
      </w:r>
    </w:p>
    <w:p w14:paraId="1216F68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（5）与本工程的施工单位或代建人或项目管理单位或招标代理机构相互控股或参股的；</w:t>
      </w:r>
    </w:p>
    <w:p w14:paraId="0B72826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（6）与本工程的施工单位或代建人或项目管理单位或招标代理机构相互任职或工作的；</w:t>
      </w:r>
    </w:p>
    <w:p w14:paraId="216C9D3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（7）被责令停业的； </w:t>
      </w:r>
    </w:p>
    <w:p w14:paraId="26AB500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（8）被暂停或取消投标资格的； </w:t>
      </w:r>
    </w:p>
    <w:p w14:paraId="6811BC5F">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（9）财产被接管或冻结的；</w:t>
      </w:r>
    </w:p>
    <w:p w14:paraId="0763299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（10）在最近三年内有骗取中标或严重违约或重大工程质量责任事故的。</w:t>
      </w:r>
    </w:p>
    <w:p w14:paraId="5DFDBC1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39" w:name="_Toc309377189"/>
      <w:r>
        <w:rPr>
          <w:rFonts w:hint="eastAsia" w:ascii="宋体" w:hAnsi="宋体" w:eastAsia="宋体" w:cs="宋体"/>
          <w:sz w:val="24"/>
          <w:szCs w:val="24"/>
          <w:highlight w:val="none"/>
        </w:rPr>
        <w:t xml:space="preserve">1.5 </w:t>
      </w:r>
      <w:bookmarkEnd w:id="39"/>
      <w:r>
        <w:rPr>
          <w:rFonts w:hint="eastAsia" w:ascii="宋体" w:hAnsi="宋体" w:eastAsia="宋体" w:cs="宋体"/>
          <w:sz w:val="24"/>
          <w:szCs w:val="24"/>
          <w:highlight w:val="none"/>
        </w:rPr>
        <w:t>投标费用</w:t>
      </w:r>
    </w:p>
    <w:p w14:paraId="3313FB94">
      <w:pPr>
        <w:pageBreakBefore w:val="0"/>
        <w:kinsoku/>
        <w:wordWrap/>
        <w:overflowPunct/>
        <w:topLinePunct w:val="0"/>
        <w:autoSpaceDE/>
        <w:autoSpaceDN/>
        <w:bidi w:val="0"/>
        <w:spacing w:line="520" w:lineRule="exact"/>
        <w:ind w:firstLine="482" w:firstLineChars="200"/>
        <w:rPr>
          <w:rFonts w:hint="eastAsia" w:ascii="宋体" w:hAnsi="宋体" w:eastAsia="宋体" w:cs="宋体"/>
          <w:b/>
          <w:bCs/>
          <w:sz w:val="24"/>
          <w:szCs w:val="24"/>
          <w:highlight w:val="none"/>
        </w:rPr>
      </w:pPr>
      <w:bookmarkStart w:id="40" w:name="_Toc309377190"/>
      <w:r>
        <w:rPr>
          <w:rFonts w:hint="eastAsia" w:ascii="宋体" w:hAnsi="宋体" w:eastAsia="宋体" w:cs="宋体"/>
          <w:b/>
          <w:bCs/>
          <w:sz w:val="24"/>
          <w:szCs w:val="24"/>
          <w:highlight w:val="none"/>
        </w:rPr>
        <w:t>投标人准备和参加投标活动发生的费用自理。</w:t>
      </w:r>
    </w:p>
    <w:p w14:paraId="71960F7D">
      <w:pPr>
        <w:pageBreakBefore w:val="0"/>
        <w:kinsoku/>
        <w:wordWrap/>
        <w:overflowPunct/>
        <w:topLinePunct w:val="0"/>
        <w:autoSpaceDE/>
        <w:autoSpaceDN/>
        <w:bidi w:val="0"/>
        <w:spacing w:line="520" w:lineRule="exact"/>
        <w:ind w:firstLine="480" w:firstLineChars="200"/>
        <w:rPr>
          <w:rFonts w:hint="eastAsia" w:ascii="宋体" w:hAnsi="宋体" w:eastAsia="宋体" w:cs="宋体"/>
          <w:b w:val="0"/>
          <w:bCs w:val="0"/>
          <w:color w:val="000000"/>
          <w:kern w:val="0"/>
          <w:sz w:val="24"/>
          <w:szCs w:val="24"/>
          <w:highlight w:val="none"/>
        </w:rPr>
      </w:pPr>
      <w:r>
        <w:rPr>
          <w:rFonts w:hint="eastAsia" w:ascii="宋体" w:hAnsi="宋体" w:cs="宋体"/>
          <w:b w:val="0"/>
          <w:bCs w:val="0"/>
          <w:sz w:val="24"/>
          <w:szCs w:val="24"/>
          <w:highlight w:val="none"/>
          <w:lang w:val="en-US" w:eastAsia="zh-CN"/>
        </w:rPr>
        <w:t>①</w:t>
      </w:r>
      <w:r>
        <w:rPr>
          <w:rFonts w:hint="eastAsia" w:ascii="宋体" w:hAnsi="宋体" w:eastAsia="宋体" w:cs="宋体"/>
          <w:b w:val="0"/>
          <w:bCs w:val="0"/>
          <w:color w:val="000000"/>
          <w:kern w:val="0"/>
          <w:sz w:val="24"/>
          <w:szCs w:val="24"/>
          <w:highlight w:val="none"/>
        </w:rPr>
        <w:t>本项目</w:t>
      </w:r>
      <w:r>
        <w:rPr>
          <w:rFonts w:hint="eastAsia" w:ascii="宋体" w:hAnsi="宋体" w:cs="宋体"/>
          <w:b w:val="0"/>
          <w:bCs w:val="0"/>
          <w:color w:val="000000"/>
          <w:kern w:val="0"/>
          <w:sz w:val="24"/>
          <w:szCs w:val="24"/>
          <w:highlight w:val="none"/>
          <w:lang w:val="en-US" w:eastAsia="zh-CN"/>
        </w:rPr>
        <w:t>第五标段</w:t>
      </w:r>
      <w:r>
        <w:rPr>
          <w:rFonts w:hint="eastAsia" w:ascii="宋体" w:hAnsi="宋体" w:eastAsia="宋体" w:cs="宋体"/>
          <w:b w:val="0"/>
          <w:bCs w:val="0"/>
          <w:color w:val="000000"/>
          <w:kern w:val="0"/>
          <w:sz w:val="24"/>
          <w:szCs w:val="24"/>
          <w:highlight w:val="none"/>
          <w:lang w:val="en-US" w:eastAsia="zh-CN"/>
        </w:rPr>
        <w:t>招标代理</w:t>
      </w:r>
      <w:r>
        <w:rPr>
          <w:rFonts w:hint="eastAsia" w:ascii="宋体" w:hAnsi="宋体" w:eastAsia="宋体" w:cs="宋体"/>
          <w:b w:val="0"/>
          <w:bCs w:val="0"/>
          <w:color w:val="000000"/>
          <w:kern w:val="0"/>
          <w:sz w:val="24"/>
          <w:szCs w:val="24"/>
          <w:highlight w:val="none"/>
        </w:rPr>
        <w:t>服务费</w:t>
      </w:r>
      <w:r>
        <w:rPr>
          <w:rFonts w:hint="eastAsia" w:ascii="宋体" w:hAnsi="宋体" w:cs="宋体"/>
          <w:b w:val="0"/>
          <w:bCs w:val="0"/>
          <w:color w:val="000000"/>
          <w:kern w:val="0"/>
          <w:sz w:val="24"/>
          <w:szCs w:val="24"/>
          <w:highlight w:val="none"/>
          <w:lang w:val="en-US" w:eastAsia="zh-CN"/>
        </w:rPr>
        <w:t>8000元</w:t>
      </w:r>
      <w:r>
        <w:rPr>
          <w:rFonts w:hint="eastAsia" w:ascii="宋体" w:hAnsi="宋体" w:eastAsia="宋体" w:cs="宋体"/>
          <w:b w:val="0"/>
          <w:bCs w:val="0"/>
          <w:color w:val="000000"/>
          <w:kern w:val="0"/>
          <w:sz w:val="24"/>
          <w:szCs w:val="24"/>
          <w:highlight w:val="none"/>
        </w:rPr>
        <w:t>，</w:t>
      </w:r>
      <w:r>
        <w:rPr>
          <w:rFonts w:hint="eastAsia" w:ascii="宋体" w:hAnsi="宋体" w:eastAsia="宋体" w:cs="宋体"/>
          <w:b w:val="0"/>
          <w:bCs w:val="0"/>
          <w:color w:val="000000"/>
          <w:kern w:val="0"/>
          <w:sz w:val="24"/>
          <w:szCs w:val="24"/>
          <w:highlight w:val="none"/>
          <w:lang w:val="en-US" w:eastAsia="zh-CN"/>
        </w:rPr>
        <w:t>由中标人支付，</w:t>
      </w:r>
      <w:r>
        <w:rPr>
          <w:rFonts w:hint="eastAsia" w:ascii="宋体" w:hAnsi="宋体" w:eastAsia="宋体" w:cs="宋体"/>
          <w:b w:val="0"/>
          <w:bCs w:val="0"/>
          <w:color w:val="000000"/>
          <w:kern w:val="0"/>
          <w:sz w:val="24"/>
          <w:szCs w:val="24"/>
          <w:highlight w:val="none"/>
        </w:rPr>
        <w:t>中标人在领取中标通知书前一次性向代理机构缴纳。</w:t>
      </w:r>
    </w:p>
    <w:p w14:paraId="041CA4A2">
      <w:pPr>
        <w:pStyle w:val="11"/>
        <w:ind w:firstLine="480" w:firstLineChars="200"/>
        <w:rPr>
          <w:rFonts w:hint="eastAsia"/>
          <w:b w:val="0"/>
          <w:bCs w:val="0"/>
        </w:rPr>
      </w:pPr>
      <w:r>
        <w:rPr>
          <w:rFonts w:hint="eastAsia"/>
          <w:b w:val="0"/>
          <w:bCs w:val="0"/>
          <w:lang w:val="en-US" w:eastAsia="zh-CN"/>
        </w:rPr>
        <w:t>②</w:t>
      </w:r>
      <w:r>
        <w:rPr>
          <w:rFonts w:hint="eastAsia"/>
          <w:b w:val="0"/>
          <w:bCs w:val="0"/>
        </w:rPr>
        <w:t>交易平台使用费: 按照菏泽市公共资源（国有产权）交易中心的规定，由中标人在领取中标通知书前交纳。</w:t>
      </w:r>
    </w:p>
    <w:p w14:paraId="4147B465">
      <w:pPr>
        <w:pStyle w:val="11"/>
        <w:ind w:firstLine="480" w:firstLineChars="200"/>
        <w:rPr>
          <w:rFonts w:hint="eastAsia" w:ascii="宋体" w:hAnsi="宋体" w:eastAsia="宋体" w:cs="宋体"/>
          <w:b/>
          <w:bCs/>
          <w:sz w:val="24"/>
          <w:szCs w:val="24"/>
          <w:highlight w:val="none"/>
        </w:rPr>
      </w:pPr>
      <w:r>
        <w:rPr>
          <w:rFonts w:hint="eastAsia"/>
          <w:b w:val="0"/>
          <w:bCs w:val="0"/>
          <w:lang w:val="en-US" w:eastAsia="zh-CN"/>
        </w:rPr>
        <w:t>③</w:t>
      </w:r>
      <w:r>
        <w:rPr>
          <w:rFonts w:hint="eastAsia"/>
          <w:b w:val="0"/>
          <w:bCs w:val="0"/>
        </w:rPr>
        <w:t>赢标平台服务费：按照赢标平台收费标准交纳。</w:t>
      </w:r>
    </w:p>
    <w:p w14:paraId="3009575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1.6 保密</w:t>
      </w:r>
      <w:bookmarkEnd w:id="40"/>
    </w:p>
    <w:p w14:paraId="4CF6703F">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参与招标投标活动的各方应对招标文件和投标文件中的商业和技术等秘密保密，违者应对由此造成的后果承担法律责任。</w:t>
      </w:r>
    </w:p>
    <w:p w14:paraId="495FDA1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1" w:name="_Toc309377191"/>
      <w:r>
        <w:rPr>
          <w:rFonts w:hint="eastAsia" w:ascii="宋体" w:hAnsi="宋体" w:eastAsia="宋体" w:cs="宋体"/>
          <w:sz w:val="24"/>
          <w:szCs w:val="24"/>
          <w:highlight w:val="none"/>
        </w:rPr>
        <w:t xml:space="preserve">1.7 </w:t>
      </w:r>
      <w:bookmarkEnd w:id="41"/>
      <w:r>
        <w:rPr>
          <w:rFonts w:hint="eastAsia" w:ascii="宋体" w:hAnsi="宋体" w:eastAsia="宋体" w:cs="宋体"/>
          <w:sz w:val="24"/>
          <w:szCs w:val="24"/>
          <w:highlight w:val="none"/>
        </w:rPr>
        <w:t>语言文字</w:t>
      </w:r>
    </w:p>
    <w:p w14:paraId="4EB7DA95">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除专用术语外，与招标投标有关的语言均使用中文。必要时专用术语应附有中文注释。</w:t>
      </w:r>
    </w:p>
    <w:p w14:paraId="235D3BD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2" w:name="_Toc309377192"/>
      <w:r>
        <w:rPr>
          <w:rFonts w:hint="eastAsia" w:ascii="宋体" w:hAnsi="宋体" w:eastAsia="宋体" w:cs="宋体"/>
          <w:sz w:val="24"/>
          <w:szCs w:val="24"/>
          <w:highlight w:val="none"/>
        </w:rPr>
        <w:t xml:space="preserve">1.8 </w:t>
      </w:r>
      <w:bookmarkEnd w:id="42"/>
      <w:r>
        <w:rPr>
          <w:rFonts w:hint="eastAsia" w:ascii="宋体" w:hAnsi="宋体" w:eastAsia="宋体" w:cs="宋体"/>
          <w:sz w:val="24"/>
          <w:szCs w:val="24"/>
          <w:highlight w:val="none"/>
        </w:rPr>
        <w:t>计量单位</w:t>
      </w:r>
    </w:p>
    <w:p w14:paraId="5FF5178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所有计量均采用中华人民共和国法定计量单位。</w:t>
      </w:r>
    </w:p>
    <w:p w14:paraId="43723A8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3" w:name="_Toc309377193"/>
      <w:r>
        <w:rPr>
          <w:rFonts w:hint="eastAsia" w:ascii="宋体" w:hAnsi="宋体" w:eastAsia="宋体" w:cs="宋体"/>
          <w:sz w:val="24"/>
          <w:szCs w:val="24"/>
          <w:highlight w:val="none"/>
        </w:rPr>
        <w:t>1.</w:t>
      </w:r>
      <w:bookmarkEnd w:id="43"/>
      <w:r>
        <w:rPr>
          <w:rFonts w:hint="eastAsia" w:ascii="宋体" w:hAnsi="宋体" w:eastAsia="宋体" w:cs="宋体"/>
          <w:sz w:val="24"/>
          <w:szCs w:val="24"/>
          <w:highlight w:val="none"/>
        </w:rPr>
        <w:t>9踏勘现场</w:t>
      </w:r>
    </w:p>
    <w:p w14:paraId="105F693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1.9.1投标人须知前附表规定组织踏勘现场的，招标人按投标人须知前附表规定的时间、地点组织投标人踏勘项目现场。</w:t>
      </w:r>
    </w:p>
    <w:p w14:paraId="6EB032D7">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1.9.2投标人踏勘现场发生的费用自理。</w:t>
      </w:r>
    </w:p>
    <w:p w14:paraId="24F55FA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1.9.3除招标人的原因外，投标人自行负责在踏勘现场中所发生的人员伤亡和财产损失。</w:t>
      </w:r>
    </w:p>
    <w:p w14:paraId="2B669E6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1.9.4招标人在踏勘现场中介绍的工程场地和相关的周边环境情况，供投标人在编制投标文件时参考，招标人不对投标人据此作出的判断和决策负责。</w:t>
      </w:r>
    </w:p>
    <w:p w14:paraId="34CD2DF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4" w:name="_Toc309377194"/>
      <w:r>
        <w:rPr>
          <w:rFonts w:hint="eastAsia" w:ascii="宋体" w:hAnsi="宋体" w:eastAsia="宋体" w:cs="宋体"/>
          <w:sz w:val="24"/>
          <w:szCs w:val="24"/>
          <w:highlight w:val="none"/>
        </w:rPr>
        <w:t xml:space="preserve">1.10 </w:t>
      </w:r>
      <w:bookmarkEnd w:id="44"/>
      <w:r>
        <w:rPr>
          <w:rFonts w:hint="eastAsia" w:ascii="宋体" w:hAnsi="宋体" w:eastAsia="宋体" w:cs="宋体"/>
          <w:sz w:val="24"/>
          <w:szCs w:val="24"/>
          <w:highlight w:val="none"/>
        </w:rPr>
        <w:t>投标预备会</w:t>
      </w:r>
    </w:p>
    <w:p w14:paraId="4725810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本工程不召开投标预备会。</w:t>
      </w:r>
    </w:p>
    <w:p w14:paraId="780128A7">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5" w:name="_Toc309377195"/>
      <w:r>
        <w:rPr>
          <w:rFonts w:hint="eastAsia" w:ascii="宋体" w:hAnsi="宋体" w:eastAsia="宋体" w:cs="宋体"/>
          <w:sz w:val="24"/>
          <w:szCs w:val="24"/>
          <w:highlight w:val="none"/>
        </w:rPr>
        <w:t xml:space="preserve">1.11 </w:t>
      </w:r>
      <w:bookmarkEnd w:id="45"/>
      <w:r>
        <w:rPr>
          <w:rFonts w:hint="eastAsia" w:ascii="宋体" w:hAnsi="宋体" w:eastAsia="宋体" w:cs="宋体"/>
          <w:sz w:val="24"/>
          <w:szCs w:val="24"/>
          <w:highlight w:val="none"/>
        </w:rPr>
        <w:t>偏离</w:t>
      </w:r>
    </w:p>
    <w:p w14:paraId="40BF129A">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6" w:name="_Toc309377196"/>
      <w:bookmarkStart w:id="47" w:name="_Toc366167582"/>
      <w:r>
        <w:rPr>
          <w:rFonts w:hint="eastAsia" w:ascii="宋体" w:hAnsi="宋体" w:eastAsia="宋体" w:cs="宋体"/>
          <w:sz w:val="24"/>
          <w:szCs w:val="24"/>
          <w:highlight w:val="none"/>
        </w:rPr>
        <w:t>本工程不允许实质性负偏离。</w:t>
      </w:r>
    </w:p>
    <w:p w14:paraId="7A192C02">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48" w:name="_Toc8348"/>
      <w:bookmarkStart w:id="49" w:name="_Toc18058"/>
      <w:bookmarkStart w:id="50" w:name="_Toc19864"/>
      <w:bookmarkStart w:id="51" w:name="_Toc32171"/>
      <w:r>
        <w:rPr>
          <w:rStyle w:val="42"/>
          <w:rFonts w:hint="eastAsia" w:ascii="宋体" w:hAnsi="宋体" w:eastAsia="宋体" w:cs="宋体"/>
          <w:b/>
          <w:bCs/>
          <w:sz w:val="24"/>
          <w:szCs w:val="24"/>
          <w:highlight w:val="none"/>
        </w:rPr>
        <w:t>2</w:t>
      </w:r>
      <w:bookmarkEnd w:id="46"/>
      <w:r>
        <w:rPr>
          <w:rStyle w:val="42"/>
          <w:rFonts w:hint="eastAsia" w:ascii="宋体" w:hAnsi="宋体" w:eastAsia="宋体" w:cs="宋体"/>
          <w:b/>
          <w:bCs/>
          <w:sz w:val="24"/>
          <w:szCs w:val="24"/>
          <w:highlight w:val="none"/>
        </w:rPr>
        <w:t>、招标文件</w:t>
      </w:r>
      <w:bookmarkEnd w:id="47"/>
      <w:bookmarkEnd w:id="48"/>
      <w:bookmarkEnd w:id="49"/>
      <w:bookmarkEnd w:id="50"/>
      <w:bookmarkEnd w:id="51"/>
    </w:p>
    <w:p w14:paraId="0211E20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52" w:name="_Toc309377197"/>
      <w:r>
        <w:rPr>
          <w:rFonts w:hint="eastAsia" w:ascii="宋体" w:hAnsi="宋体" w:eastAsia="宋体" w:cs="宋体"/>
          <w:sz w:val="24"/>
          <w:szCs w:val="24"/>
          <w:highlight w:val="none"/>
        </w:rPr>
        <w:t xml:space="preserve">2.1 </w:t>
      </w:r>
      <w:bookmarkEnd w:id="52"/>
      <w:r>
        <w:rPr>
          <w:rFonts w:hint="eastAsia" w:ascii="宋体" w:hAnsi="宋体" w:eastAsia="宋体" w:cs="宋体"/>
          <w:sz w:val="24"/>
          <w:szCs w:val="24"/>
          <w:highlight w:val="none"/>
        </w:rPr>
        <w:t>招标文件的组成</w:t>
      </w:r>
    </w:p>
    <w:p w14:paraId="5EE3E9C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本招标文件包括：</w:t>
      </w:r>
    </w:p>
    <w:p w14:paraId="2D62D657">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53" w:name="_Toc309377198"/>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招标公告</w:t>
      </w:r>
    </w:p>
    <w:p w14:paraId="6E4B5A7D">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投标人须知</w:t>
      </w:r>
    </w:p>
    <w:p w14:paraId="03FBB8C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评标办法</w:t>
      </w:r>
    </w:p>
    <w:p w14:paraId="57483B3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定标方法</w:t>
      </w:r>
    </w:p>
    <w:p w14:paraId="33F6273B">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合同条款及格式</w:t>
      </w:r>
    </w:p>
    <w:p w14:paraId="43CEFBAF">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工作内容及技术标准</w:t>
      </w:r>
    </w:p>
    <w:p w14:paraId="68769386">
      <w:pPr>
        <w:pageBreakBefore w:val="0"/>
        <w:kinsoku/>
        <w:wordWrap/>
        <w:overflowPunct/>
        <w:topLinePunct w:val="0"/>
        <w:autoSpaceDE/>
        <w:autoSpaceDN/>
        <w:bidi w:val="0"/>
        <w:spacing w:line="520" w:lineRule="exact"/>
        <w:ind w:firstLine="480" w:firstLineChars="200"/>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投标文件格式</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TOC \o "1-3" \h  \u </w:instrText>
      </w:r>
      <w:r>
        <w:rPr>
          <w:rFonts w:hint="eastAsia" w:ascii="宋体" w:hAnsi="宋体" w:eastAsia="宋体" w:cs="宋体"/>
          <w:sz w:val="24"/>
          <w:szCs w:val="24"/>
          <w:highlight w:val="none"/>
        </w:rPr>
        <w:fldChar w:fldCharType="separate"/>
      </w:r>
    </w:p>
    <w:p w14:paraId="2D77D420">
      <w:pPr>
        <w:pageBreakBefore w:val="0"/>
        <w:kinsoku/>
        <w:wordWrap/>
        <w:overflowPunct/>
        <w:topLinePunct w:val="0"/>
        <w:autoSpaceDE/>
        <w:autoSpaceDN/>
        <w:bidi w:val="0"/>
        <w:spacing w:line="520" w:lineRule="exact"/>
        <w:ind w:firstLine="420" w:firstLineChars="200"/>
        <w:rPr>
          <w:rFonts w:hint="eastAsia" w:ascii="宋体" w:hAnsi="宋体" w:eastAsia="宋体" w:cs="宋体"/>
          <w:sz w:val="24"/>
          <w:szCs w:val="24"/>
          <w:highlight w:val="none"/>
          <w:lang w:eastAsia="zh-CN"/>
        </w:rPr>
      </w:pPr>
      <w:r>
        <w:rPr>
          <w:rFonts w:hint="eastAsia" w:ascii="宋体" w:hAnsi="宋体" w:eastAsia="宋体" w:cs="宋体"/>
          <w:szCs w:val="24"/>
          <w:highlight w:val="none"/>
        </w:rPr>
        <w:fldChar w:fldCharType="end"/>
      </w:r>
      <w:r>
        <w:rPr>
          <w:rFonts w:hint="eastAsia" w:ascii="宋体" w:hAnsi="宋体" w:eastAsia="宋体" w:cs="宋体"/>
          <w:sz w:val="24"/>
          <w:szCs w:val="24"/>
          <w:highlight w:val="none"/>
        </w:rPr>
        <w:t xml:space="preserve">2.2 </w:t>
      </w:r>
      <w:bookmarkEnd w:id="53"/>
      <w:r>
        <w:rPr>
          <w:rFonts w:hint="eastAsia" w:ascii="宋体" w:hAnsi="宋体" w:eastAsia="宋体" w:cs="宋体"/>
          <w:sz w:val="24"/>
          <w:szCs w:val="24"/>
          <w:highlight w:val="none"/>
        </w:rPr>
        <w:t>招标文件的澄清</w:t>
      </w:r>
      <w:r>
        <w:rPr>
          <w:rFonts w:hint="eastAsia" w:ascii="宋体" w:hAnsi="宋体" w:cs="宋体"/>
          <w:sz w:val="24"/>
          <w:szCs w:val="24"/>
          <w:highlight w:val="none"/>
          <w:lang w:eastAsia="zh-CN"/>
        </w:rPr>
        <w:t>：见投标人须知前附表</w:t>
      </w:r>
    </w:p>
    <w:p w14:paraId="3AAC118D">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eastAsia="zh-CN"/>
        </w:rPr>
      </w:pPr>
      <w:bookmarkStart w:id="54" w:name="_Toc309377199"/>
      <w:r>
        <w:rPr>
          <w:rFonts w:hint="eastAsia" w:ascii="宋体" w:hAnsi="宋体" w:eastAsia="宋体" w:cs="宋体"/>
          <w:sz w:val="24"/>
          <w:szCs w:val="24"/>
          <w:highlight w:val="none"/>
        </w:rPr>
        <w:t xml:space="preserve">2.3 </w:t>
      </w:r>
      <w:bookmarkEnd w:id="54"/>
      <w:r>
        <w:rPr>
          <w:rFonts w:hint="eastAsia" w:ascii="宋体" w:hAnsi="宋体" w:eastAsia="宋体" w:cs="宋体"/>
          <w:sz w:val="24"/>
          <w:szCs w:val="24"/>
          <w:highlight w:val="none"/>
        </w:rPr>
        <w:t>招标文件的修改</w:t>
      </w:r>
      <w:r>
        <w:rPr>
          <w:rFonts w:hint="eastAsia" w:ascii="宋体" w:hAnsi="宋体" w:cs="宋体"/>
          <w:sz w:val="24"/>
          <w:szCs w:val="24"/>
          <w:highlight w:val="none"/>
          <w:lang w:eastAsia="zh-CN"/>
        </w:rPr>
        <w:t>：见投标人须知前附表</w:t>
      </w:r>
    </w:p>
    <w:p w14:paraId="355277F8">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sz w:val="24"/>
          <w:szCs w:val="24"/>
          <w:highlight w:val="none"/>
        </w:rPr>
      </w:pPr>
      <w:bookmarkStart w:id="55" w:name="_Toc309377200"/>
      <w:bookmarkStart w:id="56" w:name="_Toc7299"/>
      <w:bookmarkStart w:id="57" w:name="_Toc23071"/>
      <w:bookmarkStart w:id="58" w:name="_Toc29699"/>
      <w:bookmarkStart w:id="59" w:name="_Toc21352"/>
      <w:r>
        <w:rPr>
          <w:rStyle w:val="42"/>
          <w:rFonts w:hint="eastAsia" w:ascii="宋体" w:hAnsi="宋体" w:eastAsia="宋体" w:cs="宋体"/>
          <w:b/>
          <w:bCs/>
          <w:sz w:val="24"/>
          <w:szCs w:val="24"/>
          <w:highlight w:val="none"/>
        </w:rPr>
        <w:t>3</w:t>
      </w:r>
      <w:bookmarkEnd w:id="55"/>
      <w:r>
        <w:rPr>
          <w:rStyle w:val="42"/>
          <w:rFonts w:hint="eastAsia" w:ascii="宋体" w:hAnsi="宋体" w:eastAsia="宋体" w:cs="宋体"/>
          <w:b/>
          <w:bCs/>
          <w:sz w:val="24"/>
          <w:szCs w:val="24"/>
          <w:highlight w:val="none"/>
        </w:rPr>
        <w:t>、投标文件</w:t>
      </w:r>
      <w:bookmarkEnd w:id="56"/>
      <w:bookmarkEnd w:id="57"/>
      <w:bookmarkEnd w:id="58"/>
      <w:bookmarkEnd w:id="59"/>
    </w:p>
    <w:p w14:paraId="069DB99A">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kern w:val="2"/>
          <w:sz w:val="24"/>
          <w:szCs w:val="24"/>
          <w:highlight w:val="none"/>
        </w:rPr>
      </w:pPr>
      <w:bookmarkStart w:id="60" w:name="_Toc309377202"/>
      <w:r>
        <w:rPr>
          <w:rFonts w:hint="eastAsia" w:ascii="宋体" w:hAnsi="宋体" w:eastAsia="宋体" w:cs="宋体"/>
          <w:spacing w:val="0"/>
          <w:kern w:val="2"/>
          <w:sz w:val="24"/>
          <w:szCs w:val="24"/>
          <w:highlight w:val="none"/>
        </w:rPr>
        <w:t>3.1投标文件的组成</w:t>
      </w:r>
    </w:p>
    <w:p w14:paraId="7B74C25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kern w:val="2"/>
          <w:sz w:val="24"/>
          <w:szCs w:val="24"/>
          <w:highlight w:val="none"/>
        </w:rPr>
      </w:pPr>
      <w:r>
        <w:rPr>
          <w:rFonts w:hint="eastAsia" w:ascii="宋体" w:hAnsi="宋体" w:eastAsia="宋体" w:cs="宋体"/>
          <w:spacing w:val="0"/>
          <w:kern w:val="2"/>
          <w:sz w:val="24"/>
          <w:szCs w:val="24"/>
          <w:highlight w:val="none"/>
        </w:rPr>
        <w:t>投标人应按招标文件的要求编写投标文件，提交证明其有资格进行投标和有能力履行合同的文件。</w:t>
      </w:r>
    </w:p>
    <w:p w14:paraId="709D66D4">
      <w:pPr>
        <w:pStyle w:val="58"/>
        <w:keepNext w:val="0"/>
        <w:keepLines w:val="0"/>
        <w:pageBreakBefore w:val="0"/>
        <w:widowControl/>
        <w:kinsoku/>
        <w:wordWrap/>
        <w:overflowPunct/>
        <w:topLinePunct w:val="0"/>
        <w:autoSpaceDE/>
        <w:autoSpaceDN/>
        <w:bidi w:val="0"/>
        <w:adjustRightInd/>
        <w:snapToGrid/>
        <w:spacing w:line="520" w:lineRule="exact"/>
        <w:ind w:firstLine="506" w:firstLineChars="20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投标文件应包括下列内容：</w:t>
      </w:r>
    </w:p>
    <w:p w14:paraId="504899B7">
      <w:pPr>
        <w:pStyle w:val="1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 xml:space="preserve">（1）投标函、报价一览表 </w:t>
      </w:r>
    </w:p>
    <w:p w14:paraId="6AD2099A">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bCs/>
          <w:color w:val="auto"/>
          <w:kern w:val="2"/>
          <w:sz w:val="24"/>
          <w:szCs w:val="24"/>
          <w:lang w:val="zh-CN" w:eastAsia="zh-CN" w:bidi="ar-SA"/>
        </w:rPr>
      </w:pPr>
      <w:r>
        <w:rPr>
          <w:rFonts w:hint="eastAsia" w:ascii="宋体" w:hAnsi="宋体" w:eastAsia="宋体" w:cs="宋体"/>
          <w:bCs/>
          <w:color w:val="auto"/>
          <w:kern w:val="2"/>
          <w:sz w:val="24"/>
          <w:szCs w:val="24"/>
          <w:lang w:val="zh-CN" w:eastAsia="zh-CN" w:bidi="ar-SA"/>
        </w:rPr>
        <w:t>（</w:t>
      </w:r>
      <w:r>
        <w:rPr>
          <w:rFonts w:hint="eastAsia" w:ascii="宋体" w:hAnsi="宋体" w:eastAsia="宋体" w:cs="宋体"/>
          <w:bCs/>
          <w:color w:val="auto"/>
          <w:kern w:val="2"/>
          <w:sz w:val="24"/>
          <w:szCs w:val="24"/>
          <w:lang w:val="en-US" w:eastAsia="zh-CN" w:bidi="ar-SA"/>
        </w:rPr>
        <w:t>2</w:t>
      </w:r>
      <w:r>
        <w:rPr>
          <w:rFonts w:hint="eastAsia" w:ascii="宋体" w:hAnsi="宋体" w:eastAsia="宋体" w:cs="宋体"/>
          <w:bCs/>
          <w:color w:val="auto"/>
          <w:kern w:val="2"/>
          <w:sz w:val="24"/>
          <w:szCs w:val="24"/>
          <w:lang w:val="zh-CN" w:eastAsia="zh-CN" w:bidi="ar-SA"/>
        </w:rPr>
        <w:t xml:space="preserve">）跟踪审计服务费报价明细单（格式自拟） </w:t>
      </w:r>
    </w:p>
    <w:p w14:paraId="06FD9EB9">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bCs/>
          <w:color w:val="auto"/>
          <w:kern w:val="2"/>
          <w:sz w:val="24"/>
          <w:szCs w:val="24"/>
          <w:lang w:val="zh-CN" w:eastAsia="zh-CN" w:bidi="ar-SA"/>
        </w:rPr>
      </w:pPr>
      <w:r>
        <w:rPr>
          <w:rFonts w:hint="eastAsia" w:ascii="宋体" w:hAnsi="宋体" w:eastAsia="宋体" w:cs="宋体"/>
          <w:bCs/>
          <w:color w:val="auto"/>
          <w:kern w:val="2"/>
          <w:sz w:val="24"/>
          <w:szCs w:val="24"/>
          <w:lang w:val="zh-CN" w:eastAsia="zh-CN" w:bidi="ar-SA"/>
        </w:rPr>
        <w:t>（</w:t>
      </w:r>
      <w:r>
        <w:rPr>
          <w:rFonts w:hint="eastAsia" w:ascii="宋体" w:hAnsi="宋体" w:eastAsia="宋体" w:cs="宋体"/>
          <w:bCs/>
          <w:color w:val="auto"/>
          <w:kern w:val="2"/>
          <w:sz w:val="24"/>
          <w:szCs w:val="24"/>
          <w:lang w:val="en-US" w:eastAsia="zh-CN" w:bidi="ar-SA"/>
        </w:rPr>
        <w:t>3</w:t>
      </w:r>
      <w:r>
        <w:rPr>
          <w:rFonts w:hint="eastAsia" w:ascii="宋体" w:hAnsi="宋体" w:eastAsia="宋体" w:cs="宋体"/>
          <w:bCs/>
          <w:color w:val="auto"/>
          <w:kern w:val="2"/>
          <w:sz w:val="24"/>
          <w:szCs w:val="24"/>
          <w:lang w:val="zh-CN" w:eastAsia="zh-CN" w:bidi="ar-SA"/>
        </w:rPr>
        <w:t>）</w:t>
      </w:r>
      <w:r>
        <w:rPr>
          <w:rFonts w:hint="eastAsia" w:ascii="宋体" w:hAnsi="宋体" w:eastAsia="宋体" w:cs="宋体"/>
          <w:bCs/>
          <w:color w:val="auto"/>
          <w:kern w:val="2"/>
          <w:sz w:val="24"/>
          <w:szCs w:val="24"/>
          <w:lang w:val="en-US" w:eastAsia="zh-CN" w:bidi="ar-SA"/>
        </w:rPr>
        <w:t>法定代表人身份证明或法人授权委托书</w:t>
      </w:r>
    </w:p>
    <w:p w14:paraId="2FE0F113">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bCs/>
          <w:color w:val="auto"/>
          <w:kern w:val="2"/>
          <w:sz w:val="24"/>
          <w:szCs w:val="24"/>
          <w:lang w:val="zh-CN" w:eastAsia="zh-CN" w:bidi="ar-SA"/>
        </w:rPr>
      </w:pPr>
      <w:r>
        <w:rPr>
          <w:rFonts w:hint="eastAsia" w:ascii="宋体" w:hAnsi="宋体" w:eastAsia="宋体" w:cs="宋体"/>
          <w:bCs/>
          <w:color w:val="auto"/>
          <w:kern w:val="2"/>
          <w:sz w:val="24"/>
          <w:szCs w:val="24"/>
          <w:lang w:val="zh-CN" w:eastAsia="zh-CN" w:bidi="ar-SA"/>
        </w:rPr>
        <w:t>（</w:t>
      </w:r>
      <w:r>
        <w:rPr>
          <w:rFonts w:hint="eastAsia" w:ascii="宋体" w:hAnsi="宋体" w:eastAsia="宋体" w:cs="宋体"/>
          <w:bCs/>
          <w:color w:val="auto"/>
          <w:kern w:val="2"/>
          <w:sz w:val="24"/>
          <w:szCs w:val="24"/>
          <w:lang w:val="en-US" w:eastAsia="zh-CN" w:bidi="ar-SA"/>
        </w:rPr>
        <w:t>4</w:t>
      </w:r>
      <w:r>
        <w:rPr>
          <w:rFonts w:hint="eastAsia" w:ascii="宋体" w:hAnsi="宋体" w:eastAsia="宋体" w:cs="宋体"/>
          <w:bCs/>
          <w:color w:val="auto"/>
          <w:kern w:val="2"/>
          <w:sz w:val="24"/>
          <w:szCs w:val="24"/>
          <w:lang w:val="zh-CN" w:eastAsia="zh-CN" w:bidi="ar-SA"/>
        </w:rPr>
        <w:t>）服务方案</w:t>
      </w:r>
    </w:p>
    <w:p w14:paraId="684F418A">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bCs/>
          <w:color w:val="auto"/>
          <w:kern w:val="2"/>
          <w:sz w:val="24"/>
          <w:szCs w:val="24"/>
          <w:lang w:val="zh-CN" w:eastAsia="zh-CN" w:bidi="ar-SA"/>
        </w:rPr>
      </w:pPr>
      <w:r>
        <w:rPr>
          <w:rFonts w:hint="eastAsia" w:ascii="宋体" w:hAnsi="宋体" w:eastAsia="宋体" w:cs="宋体"/>
          <w:bCs/>
          <w:color w:val="auto"/>
          <w:kern w:val="2"/>
          <w:sz w:val="24"/>
          <w:szCs w:val="24"/>
          <w:lang w:val="zh-CN" w:eastAsia="zh-CN" w:bidi="ar-SA"/>
        </w:rPr>
        <w:t>（</w:t>
      </w:r>
      <w:r>
        <w:rPr>
          <w:rFonts w:hint="eastAsia" w:ascii="宋体" w:hAnsi="宋体" w:eastAsia="宋体" w:cs="宋体"/>
          <w:bCs/>
          <w:color w:val="auto"/>
          <w:kern w:val="2"/>
          <w:sz w:val="24"/>
          <w:szCs w:val="24"/>
          <w:lang w:val="en-US" w:eastAsia="zh-CN" w:bidi="ar-SA"/>
        </w:rPr>
        <w:t>5</w:t>
      </w:r>
      <w:r>
        <w:rPr>
          <w:rFonts w:hint="eastAsia" w:ascii="宋体" w:hAnsi="宋体" w:eastAsia="宋体" w:cs="宋体"/>
          <w:bCs/>
          <w:color w:val="auto"/>
          <w:kern w:val="2"/>
          <w:sz w:val="24"/>
          <w:szCs w:val="24"/>
          <w:lang w:val="zh-CN" w:eastAsia="zh-CN" w:bidi="ar-SA"/>
        </w:rPr>
        <w:t>）资格审查资料</w:t>
      </w:r>
    </w:p>
    <w:p w14:paraId="36487A0F">
      <w:pPr>
        <w:pStyle w:val="14"/>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bCs/>
          <w:color w:val="auto"/>
          <w:kern w:val="2"/>
          <w:sz w:val="24"/>
          <w:szCs w:val="24"/>
          <w:lang w:val="zh-CN" w:eastAsia="zh-CN" w:bidi="ar-SA"/>
        </w:rPr>
      </w:pPr>
      <w:r>
        <w:rPr>
          <w:rFonts w:hint="eastAsia" w:ascii="宋体" w:hAnsi="宋体" w:eastAsia="宋体" w:cs="宋体"/>
          <w:bCs/>
          <w:color w:val="auto"/>
          <w:kern w:val="2"/>
          <w:sz w:val="24"/>
          <w:szCs w:val="24"/>
          <w:lang w:val="en-US" w:eastAsia="zh-CN" w:bidi="ar-SA"/>
        </w:rPr>
        <w:t>（6）对招标文件的认同程度的声明</w:t>
      </w:r>
    </w:p>
    <w:p w14:paraId="59801CBD">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bCs/>
          <w:color w:val="auto"/>
          <w:kern w:val="2"/>
          <w:sz w:val="24"/>
          <w:szCs w:val="24"/>
          <w:lang w:val="zh-CN" w:eastAsia="zh-CN" w:bidi="ar-SA"/>
        </w:rPr>
      </w:pPr>
      <w:r>
        <w:rPr>
          <w:rFonts w:hint="eastAsia" w:ascii="宋体" w:hAnsi="宋体" w:eastAsia="宋体" w:cs="宋体"/>
          <w:bCs/>
          <w:color w:val="auto"/>
          <w:kern w:val="2"/>
          <w:sz w:val="24"/>
          <w:szCs w:val="24"/>
          <w:lang w:val="zh-CN" w:eastAsia="zh-CN" w:bidi="ar-SA"/>
        </w:rPr>
        <w:t>（</w:t>
      </w:r>
      <w:r>
        <w:rPr>
          <w:rFonts w:hint="eastAsia" w:ascii="宋体" w:hAnsi="宋体" w:eastAsia="宋体" w:cs="宋体"/>
          <w:bCs/>
          <w:color w:val="auto"/>
          <w:kern w:val="2"/>
          <w:sz w:val="24"/>
          <w:szCs w:val="24"/>
          <w:lang w:val="en-US" w:eastAsia="zh-CN" w:bidi="ar-SA"/>
        </w:rPr>
        <w:t>7</w:t>
      </w:r>
      <w:r>
        <w:rPr>
          <w:rFonts w:hint="eastAsia" w:ascii="宋体" w:hAnsi="宋体" w:eastAsia="宋体" w:cs="宋体"/>
          <w:bCs/>
          <w:color w:val="auto"/>
          <w:kern w:val="2"/>
          <w:sz w:val="24"/>
          <w:szCs w:val="24"/>
          <w:lang w:val="zh-CN" w:eastAsia="zh-CN" w:bidi="ar-SA"/>
        </w:rPr>
        <w:t>）投标人认为需要提供的其他资料</w:t>
      </w:r>
    </w:p>
    <w:p w14:paraId="6FB41542">
      <w:pPr>
        <w:pageBreakBefore w:val="0"/>
        <w:kinsoku/>
        <w:wordWrap/>
        <w:topLinePunct w:val="0"/>
        <w:bidi w:val="0"/>
        <w:spacing w:line="520" w:lineRule="exact"/>
        <w:ind w:firstLine="480" w:firstLineChars="200"/>
        <w:rPr>
          <w:rFonts w:hint="eastAsia" w:ascii="宋体" w:hAnsi="宋体" w:cs="宋体"/>
          <w:bCs/>
          <w:color w:val="auto"/>
          <w:sz w:val="24"/>
          <w:szCs w:val="24"/>
        </w:rPr>
      </w:pPr>
      <w:r>
        <w:rPr>
          <w:rFonts w:hint="eastAsia" w:ascii="宋体" w:hAnsi="宋体" w:cs="宋体"/>
          <w:bCs/>
          <w:color w:val="auto"/>
          <w:sz w:val="24"/>
          <w:szCs w:val="24"/>
        </w:rPr>
        <w:t>投标人应认真审阅招标文件中所有的投标人须知、合同条款和规定格式。如果投标人编制的投标文件实质上不响应招标文件要求，其投标文件将被拒绝。</w:t>
      </w:r>
    </w:p>
    <w:p w14:paraId="7421F86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3.2 </w:t>
      </w:r>
      <w:bookmarkEnd w:id="60"/>
      <w:r>
        <w:rPr>
          <w:rFonts w:hint="eastAsia" w:asciiTheme="majorEastAsia" w:hAnsiTheme="majorEastAsia" w:eastAsiaTheme="majorEastAsia" w:cstheme="majorEastAsia"/>
          <w:sz w:val="24"/>
          <w:highlight w:val="none"/>
        </w:rPr>
        <w:t>投标报价</w:t>
      </w:r>
    </w:p>
    <w:p w14:paraId="31A7489B">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3.2.1本次投标报价为一次性报价，币种为人民币。</w:t>
      </w:r>
    </w:p>
    <w:p w14:paraId="765C4EF9">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b w:val="0"/>
          <w:bCs w:val="0"/>
          <w:color w:val="auto"/>
          <w:kern w:val="0"/>
          <w:sz w:val="24"/>
          <w:szCs w:val="24"/>
          <w:highlight w:val="none"/>
          <w:lang w:val="en-US" w:eastAsia="zh-CN" w:bidi="ar"/>
        </w:rPr>
        <w:t>3.2.2 投标人应参照国家现行有关文件和规定，结合本单位及本合同实际情况，充分考虑市场因素，在确保</w:t>
      </w:r>
      <w:r>
        <w:rPr>
          <w:rFonts w:hint="eastAsia" w:ascii="宋体" w:hAnsi="宋体" w:cs="宋体"/>
          <w:b w:val="0"/>
          <w:bCs w:val="0"/>
          <w:color w:val="auto"/>
          <w:kern w:val="0"/>
          <w:sz w:val="24"/>
          <w:szCs w:val="24"/>
          <w:highlight w:val="none"/>
          <w:lang w:val="en-US" w:eastAsia="zh-CN" w:bidi="ar"/>
        </w:rPr>
        <w:t>跟踪审计服务</w:t>
      </w:r>
      <w:r>
        <w:rPr>
          <w:rFonts w:hint="eastAsia" w:ascii="宋体" w:hAnsi="宋体" w:eastAsia="宋体" w:cs="宋体"/>
          <w:b w:val="0"/>
          <w:bCs w:val="0"/>
          <w:color w:val="auto"/>
          <w:kern w:val="0"/>
          <w:sz w:val="24"/>
          <w:szCs w:val="24"/>
          <w:highlight w:val="none"/>
          <w:lang w:val="en-US" w:eastAsia="zh-CN" w:bidi="ar"/>
        </w:rPr>
        <w:t>质量的前提下，针对本工程情况报出</w:t>
      </w:r>
      <w:r>
        <w:rPr>
          <w:rFonts w:hint="eastAsia" w:ascii="宋体" w:hAnsi="宋体" w:cs="宋体"/>
          <w:b w:val="0"/>
          <w:bCs w:val="0"/>
          <w:color w:val="auto"/>
          <w:kern w:val="0"/>
          <w:sz w:val="24"/>
          <w:szCs w:val="24"/>
          <w:highlight w:val="none"/>
          <w:lang w:val="en-US" w:eastAsia="zh-CN" w:bidi="ar"/>
        </w:rPr>
        <w:t>跟踪审计费</w:t>
      </w:r>
      <w:r>
        <w:rPr>
          <w:rFonts w:hint="eastAsia" w:ascii="宋体" w:hAnsi="宋体" w:eastAsia="宋体" w:cs="宋体"/>
          <w:b w:val="0"/>
          <w:bCs w:val="0"/>
          <w:color w:val="auto"/>
          <w:kern w:val="0"/>
          <w:sz w:val="24"/>
          <w:szCs w:val="24"/>
          <w:highlight w:val="none"/>
          <w:lang w:val="en-US" w:eastAsia="zh-CN" w:bidi="ar"/>
        </w:rPr>
        <w:t>。投标人所报跟踪审计费在合同实施期间不因市场和政策变化因素而变动。</w:t>
      </w:r>
    </w:p>
    <w:p w14:paraId="5ECB3C73">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rPr>
        <w:t>3.2.</w:t>
      </w:r>
      <w:r>
        <w:rPr>
          <w:rFonts w:hint="eastAsia" w:ascii="宋体" w:hAnsi="宋体" w:cs="宋体"/>
          <w:spacing w:val="0"/>
          <w:sz w:val="24"/>
          <w:szCs w:val="24"/>
          <w:highlight w:val="none"/>
          <w:lang w:val="en-US" w:eastAsia="zh-CN"/>
        </w:rPr>
        <w:t>3</w:t>
      </w:r>
      <w:r>
        <w:rPr>
          <w:rFonts w:hint="eastAsia" w:ascii="宋体" w:hAnsi="宋体" w:eastAsia="宋体" w:cs="宋体"/>
          <w:spacing w:val="0"/>
          <w:sz w:val="24"/>
          <w:szCs w:val="24"/>
          <w:highlight w:val="none"/>
        </w:rPr>
        <w:t>计价办法：</w:t>
      </w:r>
      <w:r>
        <w:rPr>
          <w:rFonts w:hint="eastAsia" w:ascii="宋体" w:hAnsi="宋体" w:eastAsia="宋体" w:cs="宋体"/>
          <w:spacing w:val="0"/>
          <w:sz w:val="24"/>
          <w:szCs w:val="24"/>
          <w:highlight w:val="none"/>
          <w:lang w:val="en-US" w:eastAsia="zh-CN"/>
        </w:rPr>
        <w:t xml:space="preserve">投标人的投标报价要包括以下费用：审计服务工作人员工资、保险费、办公费、差旅交通费、劳动保护费、通讯费、图书资料费、业务招待费、施工现场津贴、固定资产使用费、办公设备用具使用费、企业管理费以及利润、税金和其他费用开支。如果投标人在投标时未在报价表中列出、但项目执行过程中又必须发生的费用项目，招标人有权认为，此部分所产生的费用已经综合在本合同报价表的其他费用项目中投标人不得以任何理由提出索赔或增加费用项目。 </w:t>
      </w:r>
    </w:p>
    <w:p w14:paraId="27287F17">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投标人在投标截止时间前修改投标函中的投标报价，应同时修改</w:t>
      </w:r>
      <w:r>
        <w:rPr>
          <w:rFonts w:hint="eastAsia" w:ascii="宋体" w:hAnsi="宋体" w:cs="宋体"/>
          <w:sz w:val="24"/>
          <w:szCs w:val="24"/>
          <w:highlight w:val="none"/>
          <w:lang w:val="en-US" w:eastAsia="zh-CN"/>
        </w:rPr>
        <w:t>跟踪审计</w:t>
      </w:r>
      <w:r>
        <w:rPr>
          <w:rFonts w:hint="eastAsia" w:ascii="宋体" w:hAnsi="宋体" w:eastAsia="宋体" w:cs="宋体"/>
          <w:sz w:val="24"/>
          <w:szCs w:val="24"/>
          <w:highlight w:val="none"/>
        </w:rPr>
        <w:t>费报价明细单中的相应报价，此修改须符合本招标文件的有关要求。</w:t>
      </w:r>
    </w:p>
    <w:p w14:paraId="30B0E8EB">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61" w:name="_Toc309377203"/>
      <w:r>
        <w:rPr>
          <w:rStyle w:val="42"/>
          <w:rFonts w:hint="eastAsia" w:ascii="宋体" w:hAnsi="宋体" w:eastAsia="宋体" w:cs="宋体"/>
          <w:sz w:val="24"/>
          <w:szCs w:val="24"/>
          <w:highlight w:val="none"/>
        </w:rPr>
        <w:t xml:space="preserve">3.3 </w:t>
      </w:r>
      <w:bookmarkEnd w:id="61"/>
      <w:r>
        <w:rPr>
          <w:rStyle w:val="42"/>
          <w:rFonts w:hint="eastAsia" w:ascii="宋体" w:hAnsi="宋体" w:eastAsia="宋体" w:cs="宋体"/>
          <w:sz w:val="24"/>
          <w:szCs w:val="24"/>
          <w:highlight w:val="none"/>
        </w:rPr>
        <w:t>投标有效期</w:t>
      </w:r>
    </w:p>
    <w:p w14:paraId="6A87684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3.3.1在投标人须知前附表规定的投标有效期内，投标人不得要求撤销或修改其投标文件。</w:t>
      </w:r>
    </w:p>
    <w:p w14:paraId="004CC69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3.3.2出现特殊情况需要延长投标有效期的，招标人以书面形式通知所有投标人延长投标有效期。投标人同意延长的，但不得要求或被允许修改或撤销其投标文件；投标人拒绝延长的，其投标失效。</w:t>
      </w:r>
    </w:p>
    <w:p w14:paraId="13680587">
      <w:pPr>
        <w:pageBreakBefore w:val="0"/>
        <w:kinsoku/>
        <w:wordWrap/>
        <w:overflowPunct/>
        <w:topLinePunct w:val="0"/>
        <w:autoSpaceDE/>
        <w:autoSpaceDN/>
        <w:bidi w:val="0"/>
        <w:spacing w:line="520" w:lineRule="exact"/>
        <w:ind w:firstLine="480" w:firstLineChars="200"/>
        <w:rPr>
          <w:rStyle w:val="42"/>
          <w:rFonts w:hint="default" w:ascii="宋体" w:hAnsi="宋体" w:eastAsia="宋体" w:cs="宋体"/>
          <w:sz w:val="24"/>
          <w:szCs w:val="24"/>
          <w:highlight w:val="none"/>
          <w:lang w:val="en-US" w:eastAsia="zh-CN"/>
        </w:rPr>
      </w:pPr>
      <w:bookmarkStart w:id="62" w:name="_Toc309377204"/>
      <w:r>
        <w:rPr>
          <w:rStyle w:val="42"/>
          <w:rFonts w:hint="eastAsia" w:ascii="宋体" w:hAnsi="宋体" w:eastAsia="宋体" w:cs="宋体"/>
          <w:sz w:val="24"/>
          <w:szCs w:val="24"/>
          <w:highlight w:val="none"/>
        </w:rPr>
        <w:t xml:space="preserve">3.4 </w:t>
      </w:r>
      <w:bookmarkEnd w:id="62"/>
      <w:r>
        <w:rPr>
          <w:rStyle w:val="42"/>
          <w:rFonts w:hint="eastAsia" w:ascii="宋体" w:hAnsi="宋体" w:eastAsia="宋体" w:cs="宋体"/>
          <w:sz w:val="24"/>
          <w:szCs w:val="24"/>
          <w:highlight w:val="none"/>
        </w:rPr>
        <w:t>投标保证金</w:t>
      </w:r>
      <w:r>
        <w:rPr>
          <w:rStyle w:val="42"/>
          <w:rFonts w:hint="eastAsia" w:ascii="宋体" w:hAnsi="宋体" w:cs="宋体"/>
          <w:sz w:val="24"/>
          <w:szCs w:val="24"/>
          <w:highlight w:val="none"/>
          <w:lang w:val="en-US" w:eastAsia="zh-CN"/>
        </w:rPr>
        <w:t>:</w:t>
      </w:r>
      <w:r>
        <w:rPr>
          <w:rFonts w:hint="eastAsia" w:ascii="宋体" w:hAnsi="宋体" w:eastAsia="宋体" w:cs="宋体"/>
          <w:sz w:val="24"/>
          <w:szCs w:val="24"/>
        </w:rPr>
        <w:t>见投标人须知前附表。</w:t>
      </w:r>
    </w:p>
    <w:p w14:paraId="1DA551B4">
      <w:pPr>
        <w:pageBreakBefore w:val="0"/>
        <w:kinsoku/>
        <w:wordWrap/>
        <w:overflowPunct/>
        <w:topLinePunct w:val="0"/>
        <w:autoSpaceDE/>
        <w:autoSpaceDN/>
        <w:bidi w:val="0"/>
        <w:spacing w:line="520" w:lineRule="exact"/>
        <w:ind w:firstLine="480" w:firstLineChars="200"/>
        <w:rPr>
          <w:rStyle w:val="42"/>
          <w:rFonts w:hint="eastAsia" w:ascii="宋体" w:hAnsi="宋体" w:cs="宋体"/>
          <w:sz w:val="24"/>
          <w:szCs w:val="24"/>
          <w:highlight w:val="none"/>
          <w:lang w:eastAsia="zh-CN"/>
        </w:rPr>
      </w:pPr>
      <w:r>
        <w:rPr>
          <w:rStyle w:val="42"/>
          <w:rFonts w:hint="eastAsia" w:ascii="宋体" w:hAnsi="宋体" w:eastAsia="宋体" w:cs="宋体"/>
          <w:sz w:val="24"/>
          <w:szCs w:val="24"/>
          <w:highlight w:val="none"/>
        </w:rPr>
        <w:t>3.5资质审查资料</w:t>
      </w:r>
      <w:bookmarkStart w:id="63" w:name="_Toc309377205"/>
      <w:r>
        <w:rPr>
          <w:rStyle w:val="42"/>
          <w:rFonts w:hint="eastAsia" w:ascii="宋体" w:hAnsi="宋体" w:cs="宋体"/>
          <w:sz w:val="24"/>
          <w:szCs w:val="24"/>
          <w:highlight w:val="none"/>
          <w:lang w:eastAsia="zh-CN"/>
        </w:rPr>
        <w:t>：</w:t>
      </w:r>
      <w:r>
        <w:rPr>
          <w:rFonts w:hint="eastAsia" w:ascii="宋体" w:hAnsi="宋体" w:eastAsia="宋体" w:cs="宋体"/>
          <w:sz w:val="24"/>
          <w:szCs w:val="24"/>
        </w:rPr>
        <w:t>见投标人须知前附表。</w:t>
      </w:r>
    </w:p>
    <w:p w14:paraId="01E012B5">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 xml:space="preserve">3.6 </w:t>
      </w:r>
      <w:bookmarkEnd w:id="63"/>
      <w:r>
        <w:rPr>
          <w:rStyle w:val="42"/>
          <w:rFonts w:hint="eastAsia" w:ascii="宋体" w:hAnsi="宋体" w:eastAsia="宋体" w:cs="宋体"/>
          <w:sz w:val="24"/>
          <w:szCs w:val="24"/>
          <w:highlight w:val="none"/>
        </w:rPr>
        <w:t>投标文件的编制</w:t>
      </w:r>
    </w:p>
    <w:p w14:paraId="6F9443A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3.6.1投标文件应按第</w:t>
      </w:r>
      <w:r>
        <w:rPr>
          <w:rFonts w:hint="eastAsia" w:ascii="宋体" w:hAnsi="宋体" w:cs="宋体"/>
          <w:sz w:val="24"/>
          <w:szCs w:val="24"/>
          <w:highlight w:val="none"/>
          <w:lang w:val="en-US" w:eastAsia="zh-CN"/>
        </w:rPr>
        <w:t>七</w:t>
      </w:r>
      <w:r>
        <w:rPr>
          <w:rFonts w:hint="eastAsia" w:ascii="宋体" w:hAnsi="宋体" w:eastAsia="宋体" w:cs="宋体"/>
          <w:sz w:val="24"/>
          <w:szCs w:val="24"/>
          <w:highlight w:val="none"/>
        </w:rPr>
        <w:t>章“投标文件格式”进行编写，作为投标文件的组成部分，技术标部分不得大量摘抄规范内容，只需注明规范号和章节即可。</w:t>
      </w:r>
    </w:p>
    <w:p w14:paraId="32F852A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3.6.2投标文件应当对招标文件</w:t>
      </w:r>
      <w:r>
        <w:rPr>
          <w:rFonts w:hint="eastAsia" w:ascii="宋体" w:hAnsi="宋体" w:eastAsia="宋体" w:cs="宋体"/>
          <w:sz w:val="24"/>
          <w:szCs w:val="24"/>
          <w:highlight w:val="none"/>
          <w:lang w:eastAsia="zh-CN"/>
        </w:rPr>
        <w:t>中</w:t>
      </w:r>
      <w:r>
        <w:rPr>
          <w:rFonts w:hint="eastAsia" w:ascii="宋体" w:hAnsi="宋体" w:eastAsia="宋体" w:cs="宋体"/>
          <w:sz w:val="24"/>
          <w:szCs w:val="24"/>
          <w:highlight w:val="none"/>
        </w:rPr>
        <w:t>有关</w:t>
      </w:r>
      <w:r>
        <w:rPr>
          <w:rFonts w:hint="eastAsia" w:ascii="宋体" w:hAnsi="宋体" w:eastAsia="宋体" w:cs="宋体"/>
          <w:sz w:val="24"/>
          <w:szCs w:val="24"/>
          <w:highlight w:val="none"/>
          <w:lang w:eastAsia="zh-CN"/>
        </w:rPr>
        <w:t>服务期</w:t>
      </w:r>
      <w:r>
        <w:rPr>
          <w:rFonts w:hint="eastAsia" w:ascii="宋体" w:hAnsi="宋体" w:eastAsia="宋体" w:cs="宋体"/>
          <w:sz w:val="24"/>
          <w:szCs w:val="24"/>
          <w:highlight w:val="none"/>
        </w:rPr>
        <w:t>、投标有效期、质量要求、</w:t>
      </w:r>
      <w:r>
        <w:rPr>
          <w:rFonts w:hint="eastAsia" w:ascii="宋体" w:hAnsi="宋体" w:eastAsia="宋体" w:cs="宋体"/>
          <w:sz w:val="24"/>
          <w:szCs w:val="24"/>
          <w:highlight w:val="none"/>
          <w:lang w:eastAsia="zh-CN"/>
        </w:rPr>
        <w:t>跟踪审计</w:t>
      </w:r>
      <w:r>
        <w:rPr>
          <w:rFonts w:hint="eastAsia" w:ascii="宋体" w:hAnsi="宋体" w:eastAsia="宋体" w:cs="宋体"/>
          <w:sz w:val="24"/>
          <w:szCs w:val="24"/>
          <w:highlight w:val="none"/>
          <w:lang w:val="en-US" w:eastAsia="zh-CN"/>
        </w:rPr>
        <w:t>工作内容及技术标准</w:t>
      </w:r>
      <w:r>
        <w:rPr>
          <w:rFonts w:hint="eastAsia" w:ascii="宋体" w:hAnsi="宋体" w:eastAsia="宋体" w:cs="宋体"/>
          <w:sz w:val="24"/>
          <w:szCs w:val="24"/>
          <w:highlight w:val="none"/>
        </w:rPr>
        <w:t>、招标范围等实质性内容作出响应。</w:t>
      </w:r>
    </w:p>
    <w:p w14:paraId="2C16472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3.6.3投标文件应由投标人的法定代表人或授权委托人签字或盖章。</w:t>
      </w:r>
    </w:p>
    <w:p w14:paraId="4EF43E6A">
      <w:pPr>
        <w:pStyle w:val="9"/>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z w:val="24"/>
          <w:szCs w:val="24"/>
          <w:highlight w:val="none"/>
        </w:rPr>
      </w:pPr>
      <w:r>
        <w:rPr>
          <w:rStyle w:val="42"/>
          <w:rFonts w:hint="eastAsia" w:ascii="宋体" w:hAnsi="宋体" w:eastAsia="宋体" w:cs="宋体"/>
          <w:sz w:val="24"/>
          <w:szCs w:val="24"/>
          <w:highlight w:val="none"/>
        </w:rPr>
        <w:t>3.7无效投标</w:t>
      </w:r>
    </w:p>
    <w:p w14:paraId="2F383782">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（一）投标人有下列情况之一，其投标将被视为无效：</w:t>
      </w:r>
    </w:p>
    <w:p w14:paraId="36D6291C">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1.投标文件未按招标文件的规定签署的。</w:t>
      </w:r>
    </w:p>
    <w:p w14:paraId="0B4E7FA0">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w:t>
      </w:r>
      <w:r>
        <w:rPr>
          <w:rFonts w:hint="eastAsia" w:ascii="宋体" w:hAnsi="宋体" w:cs="宋体"/>
          <w:spacing w:val="0"/>
          <w:sz w:val="24"/>
          <w:szCs w:val="24"/>
          <w:highlight w:val="none"/>
          <w:lang w:eastAsia="zh-CN"/>
        </w:rPr>
        <w:t>跟踪审计</w:t>
      </w:r>
      <w:r>
        <w:rPr>
          <w:rFonts w:hint="eastAsia" w:ascii="宋体" w:hAnsi="宋体" w:eastAsia="宋体" w:cs="宋体"/>
          <w:spacing w:val="0"/>
          <w:sz w:val="24"/>
          <w:szCs w:val="24"/>
          <w:highlight w:val="none"/>
        </w:rPr>
        <w:t>费报价表未加盖本单位公章、法定代表人或授权代表未签字或盖章的。</w:t>
      </w:r>
    </w:p>
    <w:p w14:paraId="28B8801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3.投标人对招标文件的要求未做出实质性响应的。</w:t>
      </w:r>
    </w:p>
    <w:p w14:paraId="570E0289">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4.投标人资格不符合招标文件要求，未按招标文件要求提供资格、资质证明文件的。</w:t>
      </w:r>
    </w:p>
    <w:p w14:paraId="2EEA6DA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5.投标文件载明的付款方式不满足招标文件规定且不能被招标人接受。</w:t>
      </w:r>
    </w:p>
    <w:p w14:paraId="183C0426">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6.不符合招标文件中规定的其他实质性要求。</w:t>
      </w:r>
    </w:p>
    <w:p w14:paraId="7DE48E4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7.法律、法规规定的其他情况。</w:t>
      </w:r>
    </w:p>
    <w:p w14:paraId="324023DF">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（二）投标人有下列情况之一，其投标不仅被视为无效，而且招标人将严格按照相关法律、法规及规章制度的规定行使权利。投标人给招标人和招标代理机构造成损失的，应予以赔偿。</w:t>
      </w:r>
    </w:p>
    <w:p w14:paraId="1E31389E">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1.投标人在投标有效期内撤回投标。</w:t>
      </w:r>
    </w:p>
    <w:p w14:paraId="66012A1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2.投标人提供的有关资格、资质证明文件不真实或提供虚假投标材料的。</w:t>
      </w:r>
    </w:p>
    <w:p w14:paraId="6296C9C8">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3.以他人名义投标或者以其他方式弄虚作假，骗取中标的。</w:t>
      </w:r>
    </w:p>
    <w:p w14:paraId="4F2F8499">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4.在整个开标、评标过程中，投标人有企图影响评标结果公正性的任何活动或以任何方式诋毁其他投标人或串通投标的。</w:t>
      </w:r>
    </w:p>
    <w:p w14:paraId="67215E66">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5.中标人不按规定签订合同的。</w:t>
      </w:r>
    </w:p>
    <w:p w14:paraId="0CDE1A6F">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6.法律、法规规定的其他情况。</w:t>
      </w:r>
    </w:p>
    <w:p w14:paraId="34D19996">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禁止投标人相互串通投标。</w:t>
      </w:r>
    </w:p>
    <w:p w14:paraId="05B8F1C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（一）投标人有下列情况之一，属于投标人相互串通投标：</w:t>
      </w:r>
    </w:p>
    <w:p w14:paraId="4CB7F336">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1、投标人之间协商投标报价等投标文件的实质性内容；</w:t>
      </w:r>
    </w:p>
    <w:p w14:paraId="38D1EC63">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2、投标人之间约定中标人；</w:t>
      </w:r>
    </w:p>
    <w:p w14:paraId="6042FDEC">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3、投标人之间约定部分投标人放弃投标或者中标；</w:t>
      </w:r>
    </w:p>
    <w:p w14:paraId="755AACF3">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4、属于同一集团、协会、商会等组织成员的投标人按照该组织要求协同投标；</w:t>
      </w:r>
    </w:p>
    <w:p w14:paraId="45E9654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5、投标人之间为谋取中标或者排斥特定投标人而采取的其他联合行动；</w:t>
      </w:r>
    </w:p>
    <w:p w14:paraId="31C6528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（二）有下列情形之一的，视为投标人相互串通投标：</w:t>
      </w:r>
    </w:p>
    <w:p w14:paraId="2F396B4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1、不同投标人的投标文件由同一单位或者个人编制；</w:t>
      </w:r>
    </w:p>
    <w:p w14:paraId="51941AB3">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xml:space="preserve">  2、不同投标人委托同一单位或者个人办理投标事宜；</w:t>
      </w:r>
    </w:p>
    <w:p w14:paraId="6A137805">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3、不同投标人的投标文件载明的项目管理成员为同一人；</w:t>
      </w:r>
    </w:p>
    <w:p w14:paraId="133FEDC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4、不同投标人的投标文件异常一致或者投标报价呈规律性差异；</w:t>
      </w:r>
    </w:p>
    <w:p w14:paraId="65617D5F">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5、不同投标人的投标文件相互混装。</w:t>
      </w:r>
    </w:p>
    <w:p w14:paraId="47BD62BF">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投标人存在以上行为之一的，投标文件无效，招标人将严格按照相关法律、法规及规章制度的规定行使权利。投标人给招标人和招标代理机构造成损失的，应予以赔偿。</w:t>
      </w:r>
    </w:p>
    <w:p w14:paraId="6FA23AA1">
      <w:pPr>
        <w:pStyle w:val="58"/>
        <w:pageBreakBefore w:val="0"/>
        <w:kinsoku/>
        <w:wordWrap/>
        <w:overflowPunct/>
        <w:topLinePunct w:val="0"/>
        <w:autoSpaceDE/>
        <w:autoSpaceDN/>
        <w:bidi w:val="0"/>
        <w:spacing w:line="520" w:lineRule="exact"/>
        <w:ind w:firstLine="482" w:firstLineChars="200"/>
        <w:jc w:val="both"/>
        <w:outlineLvl w:val="1"/>
        <w:rPr>
          <w:rFonts w:hint="eastAsia" w:ascii="宋体" w:hAnsi="宋体" w:eastAsia="宋体" w:cs="宋体"/>
          <w:b/>
          <w:bCs/>
          <w:spacing w:val="0"/>
          <w:sz w:val="24"/>
          <w:szCs w:val="24"/>
          <w:highlight w:val="none"/>
        </w:rPr>
      </w:pPr>
      <w:bookmarkStart w:id="64" w:name="_Toc309377206"/>
      <w:bookmarkStart w:id="65" w:name="_Toc24931"/>
      <w:bookmarkStart w:id="66" w:name="_Toc12541"/>
      <w:bookmarkStart w:id="67" w:name="_Toc366167583"/>
      <w:bookmarkStart w:id="68" w:name="_Toc12190"/>
      <w:bookmarkStart w:id="69" w:name="_Toc15144"/>
      <w:r>
        <w:rPr>
          <w:rFonts w:hint="eastAsia" w:ascii="宋体" w:hAnsi="宋体" w:eastAsia="宋体" w:cs="宋体"/>
          <w:b/>
          <w:bCs/>
          <w:spacing w:val="0"/>
          <w:sz w:val="24"/>
          <w:szCs w:val="24"/>
          <w:highlight w:val="none"/>
        </w:rPr>
        <w:t>4</w:t>
      </w:r>
      <w:bookmarkEnd w:id="64"/>
      <w:r>
        <w:rPr>
          <w:rFonts w:hint="eastAsia" w:ascii="宋体" w:hAnsi="宋体" w:eastAsia="宋体" w:cs="宋体"/>
          <w:b/>
          <w:bCs/>
          <w:spacing w:val="0"/>
          <w:sz w:val="24"/>
          <w:szCs w:val="24"/>
          <w:highlight w:val="none"/>
        </w:rPr>
        <w:t>、投标</w:t>
      </w:r>
      <w:bookmarkEnd w:id="65"/>
      <w:bookmarkEnd w:id="66"/>
      <w:bookmarkEnd w:id="67"/>
      <w:bookmarkEnd w:id="68"/>
      <w:bookmarkEnd w:id="69"/>
    </w:p>
    <w:p w14:paraId="351183DE">
      <w:pPr>
        <w:pageBreakBefore w:val="0"/>
        <w:tabs>
          <w:tab w:val="left" w:pos="1758"/>
        </w:tabs>
        <w:kinsoku/>
        <w:wordWrap/>
        <w:overflowPunct/>
        <w:topLinePunct w:val="0"/>
        <w:autoSpaceDE/>
        <w:autoSpaceDN/>
        <w:bidi w:val="0"/>
        <w:spacing w:line="520" w:lineRule="exact"/>
        <w:ind w:firstLine="480" w:firstLineChars="200"/>
        <w:jc w:val="left"/>
        <w:rPr>
          <w:rFonts w:hint="eastAsia" w:ascii="宋体" w:hAnsi="宋体" w:eastAsia="宋体" w:cs="宋体"/>
          <w:sz w:val="24"/>
          <w:szCs w:val="24"/>
          <w:highlight w:val="none"/>
        </w:rPr>
      </w:pPr>
      <w:bookmarkStart w:id="70" w:name="_Toc3401"/>
      <w:bookmarkStart w:id="71" w:name="_Toc6345"/>
      <w:bookmarkStart w:id="72" w:name="_Toc309377213"/>
      <w:bookmarkStart w:id="73" w:name="_Toc27781"/>
      <w:r>
        <w:rPr>
          <w:rFonts w:hint="eastAsia" w:ascii="宋体" w:hAnsi="宋体" w:eastAsia="宋体" w:cs="宋体"/>
          <w:sz w:val="24"/>
          <w:szCs w:val="24"/>
          <w:highlight w:val="none"/>
        </w:rPr>
        <w:t>4.1投标人应在投标须知前附表规定的投标截止时间前递交投标文件，同时</w:t>
      </w:r>
      <w:r>
        <w:rPr>
          <w:rFonts w:hint="eastAsia" w:ascii="宋体" w:hAnsi="宋体" w:eastAsia="宋体" w:cs="宋体"/>
          <w:sz w:val="24"/>
          <w:szCs w:val="24"/>
          <w:highlight w:val="none"/>
          <w:lang w:val="en-US" w:eastAsia="zh-CN"/>
        </w:rPr>
        <w:t>提交</w:t>
      </w:r>
      <w:r>
        <w:rPr>
          <w:rFonts w:hint="eastAsia" w:ascii="宋体" w:hAnsi="宋体" w:eastAsia="宋体" w:cs="宋体"/>
          <w:sz w:val="24"/>
          <w:szCs w:val="24"/>
          <w:highlight w:val="none"/>
        </w:rPr>
        <w:t>评标办法所涉及到的有关证件、材料。</w:t>
      </w:r>
    </w:p>
    <w:p w14:paraId="75B56B66">
      <w:pPr>
        <w:pageBreakBefore w:val="0"/>
        <w:tabs>
          <w:tab w:val="left" w:pos="1758"/>
        </w:tabs>
        <w:kinsoku/>
        <w:wordWrap/>
        <w:overflowPunct/>
        <w:topLinePunct w:val="0"/>
        <w:autoSpaceDE/>
        <w:autoSpaceDN/>
        <w:bidi w:val="0"/>
        <w:spacing w:line="5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投标人递交投标文件的</w:t>
      </w:r>
      <w:r>
        <w:rPr>
          <w:rFonts w:hint="eastAsia" w:ascii="宋体" w:hAnsi="宋体" w:eastAsia="宋体" w:cs="宋体"/>
          <w:sz w:val="24"/>
          <w:szCs w:val="24"/>
          <w:highlight w:val="none"/>
          <w:lang w:val="en-US" w:eastAsia="zh-CN"/>
        </w:rPr>
        <w:t>截止时间、</w:t>
      </w:r>
      <w:r>
        <w:rPr>
          <w:rFonts w:hint="eastAsia" w:ascii="宋体" w:hAnsi="宋体" w:eastAsia="宋体" w:cs="宋体"/>
          <w:sz w:val="24"/>
          <w:szCs w:val="24"/>
          <w:highlight w:val="none"/>
        </w:rPr>
        <w:t xml:space="preserve">地点：见投标人须知前附表。 </w:t>
      </w:r>
    </w:p>
    <w:p w14:paraId="1C29C650">
      <w:pPr>
        <w:pageBreakBefore w:val="0"/>
        <w:tabs>
          <w:tab w:val="left" w:pos="1758"/>
        </w:tabs>
        <w:kinsoku/>
        <w:wordWrap/>
        <w:overflowPunct/>
        <w:topLinePunct w:val="0"/>
        <w:autoSpaceDE/>
        <w:autoSpaceDN/>
        <w:bidi w:val="0"/>
        <w:spacing w:line="520" w:lineRule="exact"/>
        <w:ind w:firstLine="464" w:firstLineChars="20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4.</w:t>
      </w:r>
      <w:r>
        <w:rPr>
          <w:rFonts w:hint="eastAsia" w:ascii="宋体" w:hAnsi="宋体" w:eastAsia="宋体" w:cs="宋体"/>
          <w:spacing w:val="-4"/>
          <w:sz w:val="24"/>
          <w:szCs w:val="24"/>
          <w:highlight w:val="none"/>
          <w:lang w:val="en-US" w:eastAsia="zh-CN"/>
        </w:rPr>
        <w:t>3</w:t>
      </w:r>
      <w:r>
        <w:rPr>
          <w:rFonts w:hint="eastAsia" w:ascii="宋体" w:hAnsi="宋体" w:eastAsia="宋体" w:cs="宋体"/>
          <w:spacing w:val="-4"/>
          <w:sz w:val="24"/>
          <w:szCs w:val="24"/>
          <w:highlight w:val="none"/>
        </w:rPr>
        <w:t>除投标人须知前附表另有规定外，投标人所递交的投标文件不予退还</w:t>
      </w:r>
      <w:r>
        <w:rPr>
          <w:rFonts w:hint="eastAsia" w:ascii="宋体" w:hAnsi="宋体" w:eastAsia="宋体" w:cs="宋体"/>
          <w:sz w:val="24"/>
          <w:szCs w:val="24"/>
          <w:highlight w:val="none"/>
        </w:rPr>
        <w:t>。</w:t>
      </w:r>
    </w:p>
    <w:p w14:paraId="25040110">
      <w:pPr>
        <w:pageBreakBefore w:val="0"/>
        <w:tabs>
          <w:tab w:val="left" w:pos="1758"/>
        </w:tabs>
        <w:kinsoku/>
        <w:wordWrap/>
        <w:overflowPunct/>
        <w:topLinePunct w:val="0"/>
        <w:autoSpaceDE/>
        <w:autoSpaceDN/>
        <w:bidi w:val="0"/>
        <w:spacing w:line="520" w:lineRule="exact"/>
        <w:ind w:firstLine="480" w:firstLineChars="200"/>
        <w:jc w:val="left"/>
        <w:rPr>
          <w:rFonts w:hint="eastAsia" w:ascii="宋体" w:hAnsi="宋体" w:eastAsia="宋体" w:cs="宋体"/>
          <w:spacing w:val="0"/>
          <w:sz w:val="24"/>
          <w:szCs w:val="24"/>
          <w:highlight w:val="none"/>
        </w:rPr>
      </w:pPr>
      <w:r>
        <w:rPr>
          <w:rFonts w:hint="eastAsia" w:ascii="宋体" w:hAnsi="宋体" w:eastAsia="宋体" w:cs="宋体"/>
          <w:bCs/>
          <w:sz w:val="24"/>
          <w:szCs w:val="24"/>
          <w:highlight w:val="none"/>
        </w:rPr>
        <w:t>注：超过投标文件截止时间，将拒收投标文件；到投标文件截止时间，招标人或招标代理机构收到的投标文件少于3家的，招标人将依法重新组织招标。</w:t>
      </w:r>
    </w:p>
    <w:p w14:paraId="00F0DA3E">
      <w:pPr>
        <w:pStyle w:val="84"/>
        <w:pageBreakBefore w:val="0"/>
        <w:kinsoku/>
        <w:wordWrap/>
        <w:overflowPunct/>
        <w:topLinePunct w:val="0"/>
        <w:autoSpaceDE/>
        <w:autoSpaceDN/>
        <w:bidi w:val="0"/>
        <w:spacing w:before="0" w:line="520" w:lineRule="exact"/>
        <w:ind w:firstLine="482" w:firstLineChars="200"/>
        <w:outlineLvl w:val="1"/>
        <w:rPr>
          <w:rFonts w:hint="eastAsia" w:ascii="宋体" w:hAnsi="宋体" w:eastAsia="宋体" w:cs="宋体"/>
          <w:b/>
          <w:bCs/>
          <w:kern w:val="0"/>
          <w:sz w:val="24"/>
          <w:szCs w:val="24"/>
          <w:highlight w:val="none"/>
        </w:rPr>
      </w:pPr>
      <w:bookmarkStart w:id="74" w:name="_Toc2273"/>
      <w:bookmarkStart w:id="75" w:name="_Toc25882"/>
      <w:bookmarkStart w:id="76" w:name="_Toc11046"/>
      <w:r>
        <w:rPr>
          <w:rFonts w:hint="eastAsia" w:ascii="宋体" w:hAnsi="宋体" w:eastAsia="宋体" w:cs="宋体"/>
          <w:b/>
          <w:bCs/>
          <w:kern w:val="0"/>
          <w:sz w:val="24"/>
          <w:szCs w:val="24"/>
          <w:highlight w:val="none"/>
        </w:rPr>
        <w:t>5. 开标</w:t>
      </w:r>
      <w:bookmarkEnd w:id="70"/>
      <w:bookmarkEnd w:id="74"/>
      <w:bookmarkEnd w:id="75"/>
      <w:bookmarkEnd w:id="76"/>
    </w:p>
    <w:bookmarkEnd w:id="71"/>
    <w:p w14:paraId="4FE73DCD">
      <w:pPr>
        <w:pageBreakBefore w:val="0"/>
        <w:tabs>
          <w:tab w:val="left" w:pos="1758"/>
        </w:tabs>
        <w:kinsoku/>
        <w:wordWrap/>
        <w:overflowPunct/>
        <w:topLinePunct w:val="0"/>
        <w:autoSpaceDE/>
        <w:autoSpaceDN/>
        <w:bidi w:val="0"/>
        <w:spacing w:line="52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5.1开标时间和地点 </w:t>
      </w:r>
    </w:p>
    <w:p w14:paraId="1DA41723">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 xml:space="preserve"> 招标人在规定的投标截止时间（开标时间）和投标人须知前附表规定的地点公开开标。</w:t>
      </w:r>
    </w:p>
    <w:p w14:paraId="071EAE1A">
      <w:pPr>
        <w:pageBreakBefore w:val="0"/>
        <w:tabs>
          <w:tab w:val="left" w:pos="1758"/>
        </w:tabs>
        <w:kinsoku/>
        <w:wordWrap/>
        <w:overflowPunct/>
        <w:topLinePunct w:val="0"/>
        <w:autoSpaceDE/>
        <w:autoSpaceDN/>
        <w:bidi w:val="0"/>
        <w:spacing w:line="52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5.2开标程序 </w:t>
      </w:r>
    </w:p>
    <w:p w14:paraId="378E8E6B">
      <w:pPr>
        <w:pageBreakBefore w:val="0"/>
        <w:kinsoku/>
        <w:wordWrap/>
        <w:overflowPunct/>
        <w:topLinePunct w:val="0"/>
        <w:autoSpaceDE/>
        <w:autoSpaceDN/>
        <w:bidi w:val="0"/>
        <w:spacing w:line="520" w:lineRule="exact"/>
        <w:ind w:firstLine="480" w:firstLineChars="200"/>
        <w:jc w:val="left"/>
        <w:rPr>
          <w:rFonts w:hint="eastAsia" w:ascii="宋体" w:hAnsi="宋体" w:eastAsia="宋体" w:cs="宋体"/>
          <w:spacing w:val="-2"/>
          <w:sz w:val="24"/>
          <w:szCs w:val="24"/>
          <w:highlight w:val="none"/>
        </w:rPr>
      </w:pPr>
      <w:r>
        <w:rPr>
          <w:rFonts w:hint="eastAsia" w:ascii="宋体" w:hAnsi="宋体" w:cs="宋体"/>
          <w:sz w:val="24"/>
          <w:szCs w:val="24"/>
          <w:highlight w:val="none"/>
          <w:lang w:val="en-US" w:eastAsia="zh-CN"/>
        </w:rPr>
        <w:t>按电子标开标程序进行</w:t>
      </w:r>
      <w:r>
        <w:rPr>
          <w:rFonts w:hint="eastAsia" w:ascii="宋体" w:hAnsi="宋体" w:eastAsia="宋体" w:cs="宋体"/>
          <w:spacing w:val="-2"/>
          <w:sz w:val="24"/>
          <w:szCs w:val="24"/>
          <w:highlight w:val="none"/>
        </w:rPr>
        <w:t>。</w:t>
      </w:r>
    </w:p>
    <w:p w14:paraId="13FDBD5D">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77" w:name="_Toc13845"/>
      <w:bookmarkStart w:id="78" w:name="_Toc20174"/>
      <w:bookmarkStart w:id="79" w:name="_Toc24271"/>
      <w:r>
        <w:rPr>
          <w:rStyle w:val="42"/>
          <w:rFonts w:hint="eastAsia" w:ascii="宋体" w:hAnsi="宋体" w:eastAsia="宋体" w:cs="宋体"/>
          <w:b/>
          <w:bCs/>
          <w:sz w:val="24"/>
          <w:szCs w:val="24"/>
          <w:highlight w:val="none"/>
        </w:rPr>
        <w:t>6</w:t>
      </w:r>
      <w:bookmarkEnd w:id="72"/>
      <w:r>
        <w:rPr>
          <w:rStyle w:val="42"/>
          <w:rFonts w:hint="eastAsia" w:ascii="宋体" w:hAnsi="宋体" w:eastAsia="宋体" w:cs="宋体"/>
          <w:b/>
          <w:bCs/>
          <w:sz w:val="24"/>
          <w:szCs w:val="24"/>
          <w:highlight w:val="none"/>
        </w:rPr>
        <w:t>、评标</w:t>
      </w:r>
      <w:bookmarkEnd w:id="73"/>
      <w:bookmarkEnd w:id="77"/>
      <w:bookmarkEnd w:id="78"/>
      <w:bookmarkEnd w:id="79"/>
    </w:p>
    <w:p w14:paraId="7342EC39">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80" w:name="_Toc14201242"/>
      <w:bookmarkStart w:id="81" w:name="_Toc5082"/>
      <w:bookmarkStart w:id="82" w:name="_Toc26656973"/>
      <w:bookmarkStart w:id="83" w:name="_Toc116662746"/>
      <w:bookmarkStart w:id="84" w:name="_Toc32290"/>
      <w:r>
        <w:rPr>
          <w:rFonts w:hint="eastAsia" w:ascii="宋体" w:hAnsi="宋体" w:eastAsia="宋体" w:cs="宋体"/>
          <w:b/>
          <w:bCs/>
          <w:spacing w:val="-2"/>
          <w:sz w:val="24"/>
          <w:szCs w:val="24"/>
          <w:highlight w:val="none"/>
        </w:rPr>
        <w:t>6.1评标委员会</w:t>
      </w:r>
      <w:bookmarkEnd w:id="80"/>
      <w:bookmarkEnd w:id="81"/>
      <w:bookmarkEnd w:id="82"/>
      <w:bookmarkEnd w:id="83"/>
      <w:bookmarkEnd w:id="84"/>
    </w:p>
    <w:p w14:paraId="0CA6079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6.1.1评标由招标人依法组建的评标委员会负责。</w:t>
      </w:r>
    </w:p>
    <w:p w14:paraId="3505F6D1">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6.1.2 评标委员会成员有下列情形之一的，应主动提出回避：</w:t>
      </w:r>
    </w:p>
    <w:p w14:paraId="21A47B3C">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bookmarkStart w:id="85" w:name="_Hlk22744095"/>
      <w:r>
        <w:rPr>
          <w:rFonts w:hint="eastAsia" w:ascii="宋体" w:hAnsi="宋体" w:eastAsia="宋体" w:cs="宋体"/>
          <w:spacing w:val="-2"/>
          <w:sz w:val="24"/>
          <w:szCs w:val="24"/>
          <w:highlight w:val="none"/>
        </w:rPr>
        <w:t xml:space="preserve">（1）投标人或投标人的主要负责人的近亲属； </w:t>
      </w:r>
    </w:p>
    <w:p w14:paraId="3890AAA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（2）项目主管部门或者行政监督部门的人员；</w:t>
      </w:r>
    </w:p>
    <w:p w14:paraId="659C931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（3）与投标人有经济利益关系，可能影响对投标公正评审的；</w:t>
      </w:r>
    </w:p>
    <w:p w14:paraId="7002038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（4）曾因在招标、评标以及其他与招标投标有关活动中从事违法行为而受过行政处罚或刑事处罚的；</w:t>
      </w:r>
    </w:p>
    <w:p w14:paraId="4DB9779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（5）与投标人有其他利害关系。</w:t>
      </w:r>
      <w:bookmarkEnd w:id="85"/>
    </w:p>
    <w:p w14:paraId="05C1536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6.1.3 评标过程中，评标委员会成员有回避事由、擅离职守或因健康等原因不能继续评标的，招标人有权更换。被更换的评标委员会成员作出的评审结论无效，由更换后的评标委员会成员重新进行评审。</w:t>
      </w:r>
    </w:p>
    <w:p w14:paraId="2B0B7F1B">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86" w:name="_Toc26656974"/>
      <w:bookmarkStart w:id="87" w:name="_Toc116662747"/>
      <w:bookmarkStart w:id="88" w:name="_Toc14201243"/>
      <w:bookmarkStart w:id="89" w:name="_Toc4346"/>
      <w:bookmarkStart w:id="90" w:name="_Toc21108"/>
      <w:r>
        <w:rPr>
          <w:rFonts w:hint="eastAsia" w:ascii="宋体" w:hAnsi="宋体" w:eastAsia="宋体" w:cs="宋体"/>
          <w:b/>
          <w:bCs/>
          <w:spacing w:val="-2"/>
          <w:sz w:val="24"/>
          <w:szCs w:val="24"/>
          <w:highlight w:val="none"/>
        </w:rPr>
        <w:t>6.2评标原则</w:t>
      </w:r>
      <w:bookmarkEnd w:id="86"/>
      <w:bookmarkEnd w:id="87"/>
      <w:bookmarkEnd w:id="88"/>
      <w:bookmarkEnd w:id="89"/>
      <w:bookmarkEnd w:id="90"/>
    </w:p>
    <w:p w14:paraId="3DB55A83">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评标活动遵循公平、公正、科学和择优的原则。</w:t>
      </w:r>
    </w:p>
    <w:p w14:paraId="26BF5875">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91" w:name="_Toc10023"/>
      <w:bookmarkStart w:id="92" w:name="_Toc26656975"/>
      <w:bookmarkStart w:id="93" w:name="_Toc14201244"/>
      <w:bookmarkStart w:id="94" w:name="_Toc116662748"/>
      <w:bookmarkStart w:id="95" w:name="_Toc6823"/>
      <w:r>
        <w:rPr>
          <w:rFonts w:hint="eastAsia" w:ascii="宋体" w:hAnsi="宋体" w:eastAsia="宋体" w:cs="宋体"/>
          <w:b/>
          <w:bCs/>
          <w:spacing w:val="-2"/>
          <w:sz w:val="24"/>
          <w:szCs w:val="24"/>
          <w:highlight w:val="none"/>
        </w:rPr>
        <w:t>6.3评标</w:t>
      </w:r>
      <w:bookmarkEnd w:id="91"/>
      <w:bookmarkEnd w:id="92"/>
      <w:bookmarkEnd w:id="93"/>
      <w:bookmarkEnd w:id="94"/>
      <w:bookmarkEnd w:id="95"/>
    </w:p>
    <w:p w14:paraId="03A149D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6.3.1评标委员会按照“评标办法”规定的方法、评审因素、标准和程序对投标文件进行评审。“评标办法”没有规定的方法、评审因素和标准，不作为评标依据。</w:t>
      </w:r>
    </w:p>
    <w:p w14:paraId="2B286859">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6.3.2评标完成后，评标委员会应向招标人提交书面评标报告和定标候选人名单。评标委员会推荐定标候选人的数量见投标人须知前附表。</w:t>
      </w:r>
    </w:p>
    <w:p w14:paraId="0ABFECD1">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z w:val="24"/>
          <w:szCs w:val="24"/>
          <w:highlight w:val="none"/>
          <w:lang w:val="en-US" w:eastAsia="zh-CN"/>
        </w:rPr>
      </w:pPr>
      <w:r>
        <w:rPr>
          <w:rFonts w:hint="eastAsia" w:ascii="宋体" w:hAnsi="宋体" w:eastAsia="宋体" w:cs="宋体"/>
          <w:spacing w:val="-2"/>
          <w:sz w:val="24"/>
          <w:szCs w:val="24"/>
          <w:highlight w:val="none"/>
          <w:lang w:val="en-US" w:eastAsia="zh-CN"/>
        </w:rPr>
        <w:t>6.3.3</w:t>
      </w:r>
      <w:r>
        <w:rPr>
          <w:rFonts w:hint="eastAsia" w:ascii="宋体" w:hAnsi="宋体" w:eastAsia="宋体" w:cs="宋体"/>
          <w:kern w:val="0"/>
          <w:sz w:val="24"/>
          <w:szCs w:val="24"/>
          <w:highlight w:val="none"/>
        </w:rPr>
        <w:t>评委组长及其他任意1名评委代表后期须参加项目定标会议，评委组长须在会议现场以书面形式汇报项目评标情况。</w:t>
      </w:r>
    </w:p>
    <w:p w14:paraId="6B5E1CDE">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bookmarkStart w:id="96" w:name="_Toc116662749"/>
      <w:r>
        <w:rPr>
          <w:rFonts w:hint="eastAsia" w:ascii="宋体" w:hAnsi="宋体" w:eastAsia="宋体" w:cs="宋体"/>
          <w:spacing w:val="-2"/>
          <w:sz w:val="24"/>
          <w:szCs w:val="24"/>
          <w:highlight w:val="none"/>
        </w:rPr>
        <w:t>6.4 定标候选人公示</w:t>
      </w:r>
      <w:bookmarkEnd w:id="96"/>
    </w:p>
    <w:p w14:paraId="23258444">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rPr>
        <w:t>招标人在收到评标报告之日起3日内，按照投标人须知前附表规定的公示媒介和期限依法公示定标候选人，公示期不得少于3</w:t>
      </w:r>
      <w:bookmarkStart w:id="97" w:name="_Toc116662750"/>
      <w:r>
        <w:rPr>
          <w:rFonts w:hint="eastAsia" w:ascii="宋体" w:hAnsi="宋体" w:eastAsia="宋体" w:cs="宋体"/>
          <w:spacing w:val="-2"/>
          <w:sz w:val="24"/>
          <w:szCs w:val="24"/>
          <w:highlight w:val="none"/>
        </w:rPr>
        <w:t>日</w:t>
      </w:r>
      <w:r>
        <w:rPr>
          <w:rFonts w:hint="eastAsia" w:ascii="宋体" w:hAnsi="宋体" w:eastAsia="宋体" w:cs="宋体"/>
          <w:spacing w:val="-2"/>
          <w:sz w:val="24"/>
          <w:szCs w:val="24"/>
          <w:highlight w:val="none"/>
          <w:lang w:eastAsia="zh-CN"/>
        </w:rPr>
        <w:t>。</w:t>
      </w:r>
    </w:p>
    <w:p w14:paraId="4D4C9697">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6.5 评标结果异议</w:t>
      </w:r>
      <w:bookmarkEnd w:id="97"/>
    </w:p>
    <w:p w14:paraId="45EE89C0">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投标人或者其他利害关系人对评标结果有异议的，应在定标候选人公示期间通过电子交易系统在线提出或以其他书面形式提出。招标人将在收到异议之日起3日内作出答复；作出答复前，将暂停招标投标活动。</w:t>
      </w:r>
    </w:p>
    <w:p w14:paraId="5B325E19">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bookmarkStart w:id="98" w:name="_Toc116662751"/>
      <w:r>
        <w:rPr>
          <w:rFonts w:hint="eastAsia" w:ascii="宋体" w:hAnsi="宋体" w:eastAsia="宋体" w:cs="宋体"/>
          <w:spacing w:val="-2"/>
          <w:sz w:val="24"/>
          <w:szCs w:val="24"/>
          <w:highlight w:val="none"/>
        </w:rPr>
        <w:t>6.6 定标候选人履约能力审查</w:t>
      </w:r>
      <w:bookmarkEnd w:id="98"/>
    </w:p>
    <w:p w14:paraId="735D1804">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定标候选人的经营、财务状况发生较大变化或存在违法行为，招标人认为可能影响其履约能力的，将在发出中标通知书前提请原评标委员会按照招标文件规定的标准和方法进行审查确认。</w:t>
      </w:r>
    </w:p>
    <w:p w14:paraId="21C5E560">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6.7定标候选人的补足</w:t>
      </w:r>
    </w:p>
    <w:p w14:paraId="1516DE8F">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公示期间，定标人放弃定标、因不可抗力不能履行合同、不按照招标文件要求提交履约保证金，或者被查实存在影响中标结果的违法行为等情形不符合定标条件，导致有效定标候选人少于规定数量时，招标人根据投标人须知前附表决定是否递补定标候选人。对于递补定标候选人需在公共资源交易中心网站公示不少于3日。</w:t>
      </w:r>
    </w:p>
    <w:p w14:paraId="12829AC6">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lang w:eastAsia="zh-CN"/>
        </w:rPr>
      </w:pPr>
      <w:bookmarkStart w:id="99" w:name="_Toc309377219"/>
      <w:bookmarkStart w:id="100" w:name="_Toc22254"/>
      <w:bookmarkStart w:id="101" w:name="_Toc2037"/>
      <w:bookmarkStart w:id="102" w:name="_Toc11160"/>
      <w:bookmarkStart w:id="103" w:name="_Toc27136"/>
      <w:r>
        <w:rPr>
          <w:rStyle w:val="42"/>
          <w:rFonts w:hint="eastAsia" w:ascii="宋体" w:hAnsi="宋体" w:eastAsia="宋体" w:cs="宋体"/>
          <w:b/>
          <w:bCs/>
          <w:sz w:val="24"/>
          <w:szCs w:val="24"/>
          <w:highlight w:val="none"/>
        </w:rPr>
        <w:t>7</w:t>
      </w:r>
      <w:bookmarkEnd w:id="99"/>
      <w:r>
        <w:rPr>
          <w:rStyle w:val="42"/>
          <w:rFonts w:hint="eastAsia" w:ascii="宋体" w:hAnsi="宋体" w:eastAsia="宋体" w:cs="宋体"/>
          <w:b/>
          <w:bCs/>
          <w:sz w:val="24"/>
          <w:szCs w:val="24"/>
          <w:highlight w:val="none"/>
        </w:rPr>
        <w:t>、</w:t>
      </w:r>
      <w:bookmarkEnd w:id="100"/>
      <w:r>
        <w:rPr>
          <w:rStyle w:val="42"/>
          <w:rFonts w:hint="eastAsia" w:ascii="宋体" w:hAnsi="宋体" w:eastAsia="宋体" w:cs="宋体"/>
          <w:b/>
          <w:bCs/>
          <w:sz w:val="24"/>
          <w:szCs w:val="24"/>
          <w:highlight w:val="none"/>
          <w:lang w:val="en-US" w:eastAsia="zh-CN"/>
        </w:rPr>
        <w:t>定标</w:t>
      </w:r>
      <w:bookmarkEnd w:id="101"/>
      <w:bookmarkEnd w:id="102"/>
      <w:bookmarkEnd w:id="103"/>
    </w:p>
    <w:p w14:paraId="3B5A3B00">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104" w:name="_Toc116662753"/>
      <w:bookmarkStart w:id="105" w:name="_Toc17070"/>
      <w:bookmarkStart w:id="106" w:name="_Toc309377223"/>
      <w:bookmarkStart w:id="107" w:name="_Toc11430"/>
      <w:r>
        <w:rPr>
          <w:rFonts w:hint="eastAsia" w:ascii="宋体" w:hAnsi="宋体" w:eastAsia="宋体" w:cs="宋体"/>
          <w:b/>
          <w:bCs/>
          <w:spacing w:val="-2"/>
          <w:sz w:val="24"/>
          <w:szCs w:val="24"/>
          <w:highlight w:val="none"/>
        </w:rPr>
        <w:t>7.1 定标</w:t>
      </w:r>
      <w:bookmarkEnd w:id="104"/>
    </w:p>
    <w:p w14:paraId="295C010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按照投标人须知前附表的规定，</w:t>
      </w:r>
      <w:r>
        <w:rPr>
          <w:rFonts w:hint="eastAsia" w:ascii="宋体" w:hAnsi="宋体" w:eastAsia="宋体" w:cs="宋体"/>
          <w:spacing w:val="-2"/>
          <w:sz w:val="24"/>
          <w:szCs w:val="24"/>
          <w:highlight w:val="none"/>
          <w:lang w:eastAsia="zh-CN"/>
        </w:rPr>
        <w:t>由</w:t>
      </w:r>
      <w:r>
        <w:rPr>
          <w:rFonts w:hint="eastAsia" w:ascii="宋体" w:hAnsi="宋体" w:eastAsia="宋体" w:cs="宋体"/>
          <w:spacing w:val="-2"/>
          <w:sz w:val="24"/>
          <w:szCs w:val="24"/>
          <w:highlight w:val="none"/>
          <w:lang w:val="en-US" w:eastAsia="zh-CN"/>
        </w:rPr>
        <w:t>招标人依法组建的定标委员会确定中标人</w:t>
      </w:r>
      <w:r>
        <w:rPr>
          <w:rFonts w:hint="eastAsia" w:ascii="宋体" w:hAnsi="宋体" w:eastAsia="宋体" w:cs="宋体"/>
          <w:spacing w:val="-2"/>
          <w:sz w:val="24"/>
          <w:szCs w:val="24"/>
          <w:highlight w:val="none"/>
        </w:rPr>
        <w:t>。</w:t>
      </w:r>
    </w:p>
    <w:p w14:paraId="556B9BBB">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r>
        <w:rPr>
          <w:rFonts w:hint="eastAsia" w:ascii="宋体" w:hAnsi="宋体" w:eastAsia="宋体" w:cs="宋体"/>
          <w:b/>
          <w:bCs/>
          <w:spacing w:val="-2"/>
          <w:sz w:val="24"/>
          <w:szCs w:val="24"/>
          <w:highlight w:val="none"/>
        </w:rPr>
        <w:t>7.2定标委员会组建</w:t>
      </w:r>
    </w:p>
    <w:p w14:paraId="72C3B3A4">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rPr>
        <w:t>本项目选用定标成员库类别执行投标人须知前附表规定。定标工作由组建的定标委员会负责，定标委员会成员为5人及以上的单数。定标委员会组长负责组织定标等工作，定标委员会成员对所提出的意见承担责任。</w:t>
      </w:r>
    </w:p>
    <w:p w14:paraId="6519A9A1">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lang w:eastAsia="zh-CN"/>
        </w:rPr>
      </w:pPr>
      <w:r>
        <w:rPr>
          <w:rFonts w:hint="eastAsia" w:ascii="宋体" w:hAnsi="宋体" w:eastAsia="宋体" w:cs="宋体"/>
          <w:b/>
          <w:bCs/>
          <w:spacing w:val="-2"/>
          <w:sz w:val="24"/>
          <w:szCs w:val="24"/>
          <w:highlight w:val="none"/>
        </w:rPr>
        <w:t>7.3考察定标候选人情况</w:t>
      </w:r>
      <w:r>
        <w:rPr>
          <w:rFonts w:hint="eastAsia" w:ascii="宋体" w:hAnsi="宋体" w:cs="宋体"/>
          <w:b/>
          <w:bCs/>
          <w:spacing w:val="-2"/>
          <w:sz w:val="24"/>
          <w:szCs w:val="24"/>
          <w:highlight w:val="none"/>
          <w:lang w:eastAsia="zh-CN"/>
        </w:rPr>
        <w:t>：</w:t>
      </w:r>
      <w:r>
        <w:rPr>
          <w:rFonts w:hint="eastAsia" w:ascii="宋体" w:hAnsi="宋体" w:cs="宋体"/>
          <w:b/>
          <w:bCs/>
          <w:spacing w:val="-2"/>
          <w:sz w:val="24"/>
          <w:szCs w:val="24"/>
          <w:highlight w:val="none"/>
          <w:lang w:val="en-US" w:eastAsia="zh-CN"/>
        </w:rPr>
        <w:t>见投标人须知前附表</w:t>
      </w:r>
    </w:p>
    <w:p w14:paraId="06D4A0C6">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r>
        <w:rPr>
          <w:rFonts w:hint="eastAsia" w:ascii="宋体" w:hAnsi="宋体" w:eastAsia="宋体" w:cs="宋体"/>
          <w:b/>
          <w:bCs/>
          <w:spacing w:val="-2"/>
          <w:sz w:val="24"/>
          <w:szCs w:val="24"/>
          <w:highlight w:val="none"/>
        </w:rPr>
        <w:t>7.4定标方法</w:t>
      </w:r>
    </w:p>
    <w:p w14:paraId="4F38742A">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7.4.1 招标人自定标候选人公示结束后</w:t>
      </w:r>
      <w:r>
        <w:rPr>
          <w:rFonts w:hint="eastAsia" w:ascii="宋体" w:hAnsi="宋体" w:eastAsia="宋体" w:cs="宋体"/>
          <w:spacing w:val="-2"/>
          <w:sz w:val="24"/>
          <w:szCs w:val="24"/>
          <w:highlight w:val="none"/>
          <w:lang w:val="en-US" w:eastAsia="zh-CN"/>
        </w:rPr>
        <w:t>3个工作</w:t>
      </w:r>
      <w:r>
        <w:rPr>
          <w:rFonts w:hint="eastAsia" w:ascii="宋体" w:hAnsi="宋体" w:eastAsia="宋体" w:cs="宋体"/>
          <w:spacing w:val="-2"/>
          <w:sz w:val="24"/>
          <w:szCs w:val="24"/>
          <w:highlight w:val="none"/>
        </w:rPr>
        <w:t>日内组织定标会议（</w:t>
      </w:r>
      <w:r>
        <w:rPr>
          <w:rFonts w:hint="eastAsia" w:ascii="宋体" w:hAnsi="宋体" w:eastAsia="宋体" w:cs="宋体"/>
          <w:spacing w:val="-2"/>
          <w:sz w:val="24"/>
          <w:szCs w:val="24"/>
          <w:highlight w:val="none"/>
          <w:lang w:val="en-US" w:eastAsia="zh-CN"/>
        </w:rPr>
        <w:t>如有异议、投诉的，异议、投诉处理期不计算在此时间内；</w:t>
      </w:r>
      <w:r>
        <w:rPr>
          <w:rFonts w:hint="eastAsia" w:ascii="宋体" w:hAnsi="宋体" w:eastAsia="宋体" w:cs="宋体"/>
          <w:spacing w:val="-2"/>
          <w:sz w:val="24"/>
          <w:szCs w:val="24"/>
          <w:highlight w:val="none"/>
        </w:rPr>
        <w:t>如招标人组织质询、考察的，质询、考察期不计算在此时间内)。如因招标文件约定及其他特殊原因，定标会议时间可以适当延期，但不得超过投标有效期。</w:t>
      </w:r>
      <w:r>
        <w:rPr>
          <w:rFonts w:hint="eastAsia" w:ascii="宋体" w:hAnsi="宋体" w:eastAsia="宋体" w:cs="宋体"/>
          <w:spacing w:val="-2"/>
          <w:sz w:val="24"/>
          <w:szCs w:val="24"/>
          <w:highlight w:val="none"/>
          <w:lang w:val="en-US" w:eastAsia="zh-CN"/>
        </w:rPr>
        <w:t>招标人定标前组织考察的，原则上应当在中标候选人公示结束后10个工作日内召开。</w:t>
      </w:r>
      <w:r>
        <w:rPr>
          <w:rFonts w:hint="eastAsia" w:ascii="宋体" w:hAnsi="宋体" w:eastAsia="宋体" w:cs="宋体"/>
          <w:spacing w:val="-2"/>
          <w:sz w:val="24"/>
          <w:szCs w:val="24"/>
          <w:highlight w:val="none"/>
        </w:rPr>
        <w:t xml:space="preserve"> </w:t>
      </w:r>
    </w:p>
    <w:p w14:paraId="0282F2D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rPr>
        <w:t>7.4.2 对社会影响较大的重点工程项目、招投标过程有重大异议或被投诉的项目及其他认为需要的项目，定标会议</w:t>
      </w:r>
      <w:r>
        <w:rPr>
          <w:rFonts w:hint="eastAsia" w:ascii="宋体" w:hAnsi="宋体" w:eastAsia="宋体" w:cs="宋体"/>
          <w:spacing w:val="-2"/>
          <w:sz w:val="24"/>
          <w:szCs w:val="24"/>
          <w:highlight w:val="none"/>
          <w:lang w:val="en-US" w:eastAsia="zh-CN"/>
        </w:rPr>
        <w:t>一般</w:t>
      </w:r>
      <w:r>
        <w:rPr>
          <w:rFonts w:hint="eastAsia" w:ascii="宋体" w:hAnsi="宋体" w:eastAsia="宋体" w:cs="宋体"/>
          <w:spacing w:val="-2"/>
          <w:sz w:val="24"/>
          <w:szCs w:val="24"/>
          <w:highlight w:val="none"/>
        </w:rPr>
        <w:t>在公共资源交易场所进行</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lang w:val="en-US" w:eastAsia="zh-CN"/>
        </w:rPr>
        <w:t>也可在招标人自行选定的具备影音记录条件及封闭保密的环境地点举行。</w:t>
      </w:r>
    </w:p>
    <w:p w14:paraId="530B3D61">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val="en-US" w:eastAsia="zh-CN"/>
        </w:rPr>
        <w:t>7.4.3</w:t>
      </w:r>
      <w:r>
        <w:rPr>
          <w:rFonts w:hint="eastAsia" w:ascii="宋体" w:hAnsi="宋体" w:eastAsia="宋体" w:cs="宋体"/>
          <w:spacing w:val="-2"/>
          <w:sz w:val="24"/>
          <w:szCs w:val="24"/>
          <w:highlight w:val="none"/>
        </w:rPr>
        <w:t>定标委员会应当按照招标文件约定的定标方式客观、公正定标，确定中标人。具体定标方法详见投标人须知前附表</w:t>
      </w:r>
      <w:r>
        <w:rPr>
          <w:rFonts w:hint="eastAsia" w:ascii="宋体" w:hAnsi="宋体" w:eastAsia="宋体" w:cs="宋体"/>
          <w:spacing w:val="-2"/>
          <w:sz w:val="24"/>
          <w:szCs w:val="24"/>
          <w:highlight w:val="none"/>
          <w:lang w:eastAsia="zh-CN"/>
        </w:rPr>
        <w:t>。</w:t>
      </w:r>
    </w:p>
    <w:p w14:paraId="3766B946">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7.4.4是否由定标候选人向定标委员会进行答辩详见投标人须知前附表规定。</w:t>
      </w:r>
    </w:p>
    <w:p w14:paraId="0A68F0CC">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r>
        <w:rPr>
          <w:rFonts w:hint="eastAsia" w:ascii="宋体" w:hAnsi="宋体" w:eastAsia="宋体" w:cs="宋体"/>
          <w:b/>
          <w:bCs/>
          <w:spacing w:val="-2"/>
          <w:sz w:val="24"/>
          <w:szCs w:val="24"/>
          <w:highlight w:val="none"/>
        </w:rPr>
        <w:t>7.5定标的其他情形</w:t>
      </w:r>
    </w:p>
    <w:p w14:paraId="73BECC5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 xml:space="preserve">7.5.1定标委员会确定的中标人出现放弃中标、不按照招标文件要求提交履约保证金、不能履行合同等违法违规情形，招标人可以从余下的定标候选人中重新组织定标活动，或重新组织招标。 </w:t>
      </w:r>
    </w:p>
    <w:p w14:paraId="4057E0D2">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7.5.2 定标候选人公示期间，因异议或投诉导致定标候选人少于招标文件规定的数量时，招标人应当从以下后续处理方式中选择一种，具体为：</w:t>
      </w:r>
      <w:r>
        <w:rPr>
          <w:rFonts w:hint="eastAsia" w:ascii="宋体" w:hAnsi="宋体" w:eastAsia="宋体" w:cs="宋体"/>
          <w:spacing w:val="-2"/>
          <w:sz w:val="24"/>
          <w:szCs w:val="24"/>
          <w:highlight w:val="none"/>
          <w:u w:val="single"/>
        </w:rPr>
        <w:t>（1）</w:t>
      </w:r>
    </w:p>
    <w:p w14:paraId="055D3D72">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（1）继续定标；</w:t>
      </w:r>
    </w:p>
    <w:p w14:paraId="501C748A">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 xml:space="preserve">（2）重新评审，补充推荐定标候选人后再定标； </w:t>
      </w:r>
    </w:p>
    <w:p w14:paraId="3C5C1F6C">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（3）重新招标。</w:t>
      </w:r>
    </w:p>
    <w:p w14:paraId="30E55BD6">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108" w:name="_Toc116662754"/>
      <w:r>
        <w:rPr>
          <w:rFonts w:hint="eastAsia" w:ascii="宋体" w:hAnsi="宋体" w:eastAsia="宋体" w:cs="宋体"/>
          <w:b/>
          <w:bCs/>
          <w:spacing w:val="-2"/>
          <w:sz w:val="24"/>
          <w:szCs w:val="24"/>
          <w:highlight w:val="none"/>
        </w:rPr>
        <w:t>7.6 中标结果公示</w:t>
      </w:r>
      <w:bookmarkEnd w:id="108"/>
    </w:p>
    <w:p w14:paraId="6B384E7A">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招标人在确定中标人之日起3日内，按照投标人须知前附表规定的公示媒介依法公示中标结果。</w:t>
      </w:r>
    </w:p>
    <w:p w14:paraId="1633583E">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中标人不得无故放弃中标。若中标人放弃中标、因不可抗力不能履行合同或不按照招标文件要求提交履约保证的，招标人可以在剩余定标候选人中，按照原定标程序和方案，组织原定标委员会重新定标，也可以重新招标。</w:t>
      </w:r>
    </w:p>
    <w:p w14:paraId="60825511">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109" w:name="_Toc116662755"/>
      <w:r>
        <w:rPr>
          <w:rFonts w:hint="eastAsia" w:ascii="宋体" w:hAnsi="宋体" w:eastAsia="宋体" w:cs="宋体"/>
          <w:b/>
          <w:bCs/>
          <w:spacing w:val="-2"/>
          <w:sz w:val="24"/>
          <w:szCs w:val="24"/>
          <w:highlight w:val="none"/>
        </w:rPr>
        <w:t>7.7 中标通知</w:t>
      </w:r>
      <w:bookmarkEnd w:id="109"/>
    </w:p>
    <w:p w14:paraId="21494942">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在本章规定的投标有效期内，招标人按照投标人须知前附表规定的形式向中标人发出中标通知书，同时将中标结果通知未中标的投标人。</w:t>
      </w:r>
    </w:p>
    <w:p w14:paraId="10E26383">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7.8履约担保</w:t>
      </w:r>
    </w:p>
    <w:p w14:paraId="155E976E">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 xml:space="preserve">详见投标人须知前附表 </w:t>
      </w:r>
    </w:p>
    <w:p w14:paraId="498A27C1">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 xml:space="preserve">7.9签订合同 </w:t>
      </w:r>
      <w:r>
        <w:rPr>
          <w:rFonts w:hint="eastAsia" w:ascii="宋体" w:hAnsi="宋体" w:eastAsia="宋体" w:cs="宋体"/>
          <w:spacing w:val="-2"/>
          <w:sz w:val="24"/>
          <w:szCs w:val="24"/>
          <w:highlight w:val="none"/>
          <w:lang w:val="en-US" w:eastAsia="zh-CN"/>
        </w:rPr>
        <w:t xml:space="preserve"> </w:t>
      </w:r>
    </w:p>
    <w:p w14:paraId="01445605">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7.9.1招标人应在定标会议结束后20日内，与中标单位签订合同。按照招标文件和中标人的投标文件订立书面合同。招标完成后，招标人或其委托的代理机构应及时向招标人、主管部门等提交招标投标归档资料。</w:t>
      </w:r>
    </w:p>
    <w:p w14:paraId="1DD478EC">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7.9.2中标人如不按本招标文件的规定与招标人订立合同，则招标人将取消其中标资格，投标保证金不予退还，给招标人造成的损失超过投标保证金数额的，还应当对超出部分予以赔偿，并依法承担相应的法律责任。</w:t>
      </w:r>
    </w:p>
    <w:p w14:paraId="113F999B">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7.9.3发出中标通知书后，招标人无正当理由拒签合同的，招标人向中标人退还投标保证金；给中标人造成损失的，还应当赔偿损失。</w:t>
      </w:r>
    </w:p>
    <w:p w14:paraId="5175FF42">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7.9.4中标人应当按照合同约定履行义务，完成中标项目施工，不得将中标项目转包或违规分包。否则，将依照相关法律法规进行处理。</w:t>
      </w:r>
    </w:p>
    <w:p w14:paraId="2F7802A0">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b/>
          <w:bCs/>
          <w:kern w:val="0"/>
          <w:sz w:val="24"/>
          <w:szCs w:val="24"/>
          <w:highlight w:val="none"/>
        </w:rPr>
      </w:pPr>
      <w:r>
        <w:rPr>
          <w:rFonts w:hint="eastAsia" w:ascii="宋体" w:hAnsi="宋体" w:eastAsia="宋体" w:cs="宋体"/>
          <w:spacing w:val="-2"/>
          <w:kern w:val="2"/>
          <w:sz w:val="24"/>
          <w:szCs w:val="24"/>
          <w:highlight w:val="none"/>
          <w:lang w:val="en-US" w:eastAsia="zh-CN" w:bidi="ar-SA"/>
        </w:rPr>
        <w:t>7.9.5中标人在投标文件中拟定的项目负责人，未经同意不得任意更换。施工中，招标人认为项目负责人不称职时，可以要求更换项目负责人。</w:t>
      </w:r>
      <w:bookmarkEnd w:id="105"/>
    </w:p>
    <w:p w14:paraId="31CAB923">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110" w:name="_Toc689"/>
      <w:bookmarkStart w:id="111" w:name="_Toc23930"/>
      <w:bookmarkStart w:id="112" w:name="_Toc24186"/>
      <w:r>
        <w:rPr>
          <w:rStyle w:val="42"/>
          <w:rFonts w:hint="eastAsia" w:ascii="宋体" w:hAnsi="宋体" w:eastAsia="宋体" w:cs="宋体"/>
          <w:b/>
          <w:bCs/>
          <w:sz w:val="24"/>
          <w:szCs w:val="24"/>
          <w:highlight w:val="none"/>
        </w:rPr>
        <w:t>8</w:t>
      </w:r>
      <w:bookmarkEnd w:id="106"/>
      <w:r>
        <w:rPr>
          <w:rStyle w:val="42"/>
          <w:rFonts w:hint="eastAsia" w:ascii="宋体" w:hAnsi="宋体" w:eastAsia="宋体" w:cs="宋体"/>
          <w:b/>
          <w:bCs/>
          <w:sz w:val="24"/>
          <w:szCs w:val="24"/>
          <w:highlight w:val="none"/>
        </w:rPr>
        <w:t>、重新招标和不再招标</w:t>
      </w:r>
      <w:bookmarkEnd w:id="107"/>
      <w:bookmarkEnd w:id="110"/>
      <w:bookmarkEnd w:id="111"/>
      <w:bookmarkEnd w:id="112"/>
    </w:p>
    <w:p w14:paraId="405F88DB">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13" w:name="_Toc309377224"/>
      <w:r>
        <w:rPr>
          <w:rStyle w:val="42"/>
          <w:rFonts w:hint="eastAsia" w:ascii="宋体" w:hAnsi="宋体" w:eastAsia="宋体" w:cs="宋体"/>
          <w:sz w:val="24"/>
          <w:szCs w:val="24"/>
          <w:highlight w:val="none"/>
        </w:rPr>
        <w:t>8.1</w:t>
      </w:r>
      <w:bookmarkEnd w:id="113"/>
      <w:r>
        <w:rPr>
          <w:rStyle w:val="42"/>
          <w:rFonts w:hint="eastAsia" w:ascii="宋体" w:hAnsi="宋体" w:eastAsia="宋体" w:cs="宋体"/>
          <w:sz w:val="24"/>
          <w:szCs w:val="24"/>
          <w:highlight w:val="none"/>
        </w:rPr>
        <w:t>重新招标</w:t>
      </w:r>
    </w:p>
    <w:p w14:paraId="5AE2F9D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有下列情形之一的，招标人将重新招标：</w:t>
      </w:r>
    </w:p>
    <w:p w14:paraId="6A91092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（1）投标截止时间止，投标人少于3个的；</w:t>
      </w:r>
    </w:p>
    <w:p w14:paraId="0C5ADDC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（2）经评标委员会评审，合格投标人不足3个的；</w:t>
      </w:r>
    </w:p>
    <w:p w14:paraId="4B8C12D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（3）经评标委员会评审后否决所有投标的。</w:t>
      </w:r>
    </w:p>
    <w:p w14:paraId="1CB3213D">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14" w:name="_Toc309377225"/>
      <w:r>
        <w:rPr>
          <w:rStyle w:val="42"/>
          <w:rFonts w:hint="eastAsia" w:ascii="宋体" w:hAnsi="宋体" w:eastAsia="宋体" w:cs="宋体"/>
          <w:sz w:val="24"/>
          <w:szCs w:val="24"/>
          <w:highlight w:val="none"/>
        </w:rPr>
        <w:t>8.2</w:t>
      </w:r>
      <w:bookmarkEnd w:id="114"/>
      <w:r>
        <w:rPr>
          <w:rStyle w:val="42"/>
          <w:rFonts w:hint="eastAsia" w:ascii="宋体" w:hAnsi="宋体" w:eastAsia="宋体" w:cs="宋体"/>
          <w:sz w:val="24"/>
          <w:szCs w:val="24"/>
          <w:highlight w:val="none"/>
        </w:rPr>
        <w:t>不再招标</w:t>
      </w:r>
    </w:p>
    <w:p w14:paraId="332E14A8">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重新招标后有效投标人仍少于3人或所有投标被否决，属于必须审批或核准的工程建设项目，经原审批或核准部门批准后不再进行招标。</w:t>
      </w:r>
    </w:p>
    <w:p w14:paraId="76366DFD">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115" w:name="_Toc309377226"/>
      <w:bookmarkStart w:id="116" w:name="_Toc24645"/>
      <w:bookmarkStart w:id="117" w:name="_Toc20978"/>
      <w:bookmarkStart w:id="118" w:name="_Toc11078"/>
      <w:bookmarkStart w:id="119" w:name="_Toc14165"/>
      <w:r>
        <w:rPr>
          <w:rStyle w:val="42"/>
          <w:rFonts w:hint="eastAsia" w:ascii="宋体" w:hAnsi="宋体" w:eastAsia="宋体" w:cs="宋体"/>
          <w:b/>
          <w:bCs/>
          <w:sz w:val="24"/>
          <w:szCs w:val="24"/>
          <w:highlight w:val="none"/>
        </w:rPr>
        <w:t>9</w:t>
      </w:r>
      <w:bookmarkEnd w:id="115"/>
      <w:r>
        <w:rPr>
          <w:rStyle w:val="42"/>
          <w:rFonts w:hint="eastAsia" w:ascii="宋体" w:hAnsi="宋体" w:eastAsia="宋体" w:cs="宋体"/>
          <w:b/>
          <w:bCs/>
          <w:sz w:val="24"/>
          <w:szCs w:val="24"/>
          <w:highlight w:val="none"/>
        </w:rPr>
        <w:t>、纪律和监督</w:t>
      </w:r>
      <w:bookmarkEnd w:id="116"/>
      <w:bookmarkEnd w:id="117"/>
      <w:bookmarkEnd w:id="118"/>
      <w:bookmarkEnd w:id="119"/>
    </w:p>
    <w:p w14:paraId="04711456">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0" w:name="_Toc309377227"/>
      <w:r>
        <w:rPr>
          <w:rStyle w:val="42"/>
          <w:rFonts w:hint="eastAsia" w:ascii="宋体" w:hAnsi="宋体" w:eastAsia="宋体" w:cs="宋体"/>
          <w:sz w:val="24"/>
          <w:szCs w:val="24"/>
          <w:highlight w:val="none"/>
        </w:rPr>
        <w:t>9.1</w:t>
      </w:r>
      <w:bookmarkEnd w:id="120"/>
      <w:r>
        <w:rPr>
          <w:rStyle w:val="42"/>
          <w:rFonts w:hint="eastAsia" w:ascii="宋体" w:hAnsi="宋体" w:eastAsia="宋体" w:cs="宋体"/>
          <w:sz w:val="24"/>
          <w:szCs w:val="24"/>
          <w:highlight w:val="none"/>
        </w:rPr>
        <w:t>对招标人的纪律要求</w:t>
      </w:r>
    </w:p>
    <w:p w14:paraId="507C4EFF">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招标人不得泄漏招标投标活动中应当保密的情况和资料，不得与投标人串通损害国家利益、社会公共利益或者他人合法权益。</w:t>
      </w:r>
    </w:p>
    <w:p w14:paraId="054DA00C">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1" w:name="_Toc309377228"/>
      <w:r>
        <w:rPr>
          <w:rStyle w:val="42"/>
          <w:rFonts w:hint="eastAsia" w:ascii="宋体" w:hAnsi="宋体" w:eastAsia="宋体" w:cs="宋体"/>
          <w:sz w:val="24"/>
          <w:szCs w:val="24"/>
          <w:highlight w:val="none"/>
        </w:rPr>
        <w:t>9.2</w:t>
      </w:r>
      <w:bookmarkEnd w:id="121"/>
      <w:r>
        <w:rPr>
          <w:rStyle w:val="42"/>
          <w:rFonts w:hint="eastAsia" w:ascii="宋体" w:hAnsi="宋体" w:eastAsia="宋体" w:cs="宋体"/>
          <w:sz w:val="24"/>
          <w:szCs w:val="24"/>
          <w:highlight w:val="none"/>
        </w:rPr>
        <w:t>对投标人的纪律要求</w:t>
      </w:r>
    </w:p>
    <w:p w14:paraId="63703CC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1C2C629">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2" w:name="_Toc309377229"/>
      <w:r>
        <w:rPr>
          <w:rStyle w:val="42"/>
          <w:rFonts w:hint="eastAsia" w:ascii="宋体" w:hAnsi="宋体" w:eastAsia="宋体" w:cs="宋体"/>
          <w:sz w:val="24"/>
          <w:szCs w:val="24"/>
          <w:highlight w:val="none"/>
        </w:rPr>
        <w:t>9.3</w:t>
      </w:r>
      <w:bookmarkEnd w:id="122"/>
      <w:r>
        <w:rPr>
          <w:rStyle w:val="42"/>
          <w:rFonts w:hint="eastAsia" w:ascii="宋体" w:hAnsi="宋体" w:eastAsia="宋体" w:cs="宋体"/>
          <w:sz w:val="24"/>
          <w:szCs w:val="24"/>
          <w:highlight w:val="none"/>
        </w:rPr>
        <w:t>对评标委员会成员的纪律要求</w:t>
      </w:r>
    </w:p>
    <w:p w14:paraId="2399732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四章“评标办法”没有规定的评审因素和标准进行评标。</w:t>
      </w:r>
    </w:p>
    <w:p w14:paraId="38A05083">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3" w:name="_Toc309377230"/>
      <w:r>
        <w:rPr>
          <w:rStyle w:val="42"/>
          <w:rFonts w:hint="eastAsia" w:ascii="宋体" w:hAnsi="宋体" w:eastAsia="宋体" w:cs="宋体"/>
          <w:sz w:val="24"/>
          <w:szCs w:val="24"/>
          <w:highlight w:val="none"/>
        </w:rPr>
        <w:t>9.4</w:t>
      </w:r>
      <w:bookmarkEnd w:id="123"/>
      <w:r>
        <w:rPr>
          <w:rStyle w:val="42"/>
          <w:rFonts w:hint="eastAsia" w:ascii="宋体" w:hAnsi="宋体" w:eastAsia="宋体" w:cs="宋体"/>
          <w:sz w:val="24"/>
          <w:szCs w:val="24"/>
          <w:highlight w:val="none"/>
        </w:rPr>
        <w:t>对与评标活动有关的工作人员的纪律要求</w:t>
      </w:r>
    </w:p>
    <w:p w14:paraId="5B352D85">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60EAD5F4">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4" w:name="_Toc309377231"/>
      <w:r>
        <w:rPr>
          <w:rStyle w:val="42"/>
          <w:rFonts w:hint="eastAsia" w:ascii="宋体" w:hAnsi="宋体" w:eastAsia="宋体" w:cs="宋体"/>
          <w:sz w:val="24"/>
          <w:szCs w:val="24"/>
          <w:highlight w:val="none"/>
        </w:rPr>
        <w:t>9.5</w:t>
      </w:r>
      <w:bookmarkEnd w:id="124"/>
      <w:r>
        <w:rPr>
          <w:rFonts w:hint="eastAsia" w:ascii="宋体" w:hAnsi="宋体" w:eastAsia="宋体" w:cs="宋体"/>
          <w:color w:val="000000"/>
          <w:kern w:val="0"/>
          <w:sz w:val="24"/>
          <w:szCs w:val="24"/>
          <w:highlight w:val="none"/>
          <w:lang w:val="en-US" w:eastAsia="zh-CN"/>
        </w:rPr>
        <w:t>开标、评标、定标过程的</w:t>
      </w:r>
      <w:r>
        <w:rPr>
          <w:rFonts w:hint="eastAsia" w:ascii="宋体" w:hAnsi="宋体" w:eastAsia="宋体" w:cs="宋体"/>
          <w:color w:val="000000"/>
          <w:kern w:val="0"/>
          <w:sz w:val="24"/>
          <w:szCs w:val="24"/>
          <w:highlight w:val="none"/>
        </w:rPr>
        <w:t>异议、投诉</w:t>
      </w:r>
    </w:p>
    <w:p w14:paraId="3A07155E">
      <w:pPr>
        <w:pageBreakBefore w:val="0"/>
        <w:kinsoku/>
        <w:wordWrap/>
        <w:overflowPunct/>
        <w:topLinePunct w:val="0"/>
        <w:autoSpaceDE/>
        <w:autoSpaceDN/>
        <w:bidi w:val="0"/>
        <w:spacing w:line="5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投标人在开标过程中，对开标过程如有异议可当场提出，招标人或招标代理机构予以当场解答，投标人不得对已解答的异议再次进行投诉。</w:t>
      </w:r>
    </w:p>
    <w:p w14:paraId="40B9449C">
      <w:pPr>
        <w:pageBreakBefore w:val="0"/>
        <w:kinsoku/>
        <w:wordWrap/>
        <w:overflowPunct/>
        <w:topLinePunct w:val="0"/>
        <w:autoSpaceDE/>
        <w:autoSpaceDN/>
        <w:bidi w:val="0"/>
        <w:spacing w:line="5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投标人和其他利害关系人认为本工程招标投标活动不符合法律法规和规章规定</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或</w:t>
      </w:r>
      <w:r>
        <w:rPr>
          <w:rFonts w:hint="eastAsia" w:ascii="宋体" w:hAnsi="宋体" w:eastAsia="宋体" w:cs="宋体"/>
          <w:kern w:val="0"/>
          <w:sz w:val="24"/>
          <w:szCs w:val="24"/>
          <w:highlight w:val="none"/>
        </w:rPr>
        <w:t>者</w:t>
      </w:r>
      <w:r>
        <w:rPr>
          <w:rFonts w:hint="eastAsia" w:ascii="宋体" w:hAnsi="宋体" w:eastAsia="宋体" w:cs="宋体"/>
          <w:color w:val="000000"/>
          <w:kern w:val="0"/>
          <w:sz w:val="24"/>
          <w:szCs w:val="24"/>
          <w:highlight w:val="none"/>
        </w:rPr>
        <w:t>自身合法权益受到侵害，可依法向招标人或招标代理机构提出异议，招标人或招标代理机构应在规定时间内予以答复。</w:t>
      </w:r>
      <w:r>
        <w:rPr>
          <w:rFonts w:hint="eastAsia" w:ascii="宋体" w:hAnsi="宋体" w:eastAsia="宋体" w:cs="宋体"/>
          <w:color w:val="000000"/>
          <w:kern w:val="0"/>
          <w:sz w:val="24"/>
          <w:szCs w:val="24"/>
          <w:highlight w:val="none"/>
          <w:lang w:val="en-US" w:eastAsia="zh-CN"/>
        </w:rPr>
        <w:t>联系方式和地址见招标公告。</w:t>
      </w:r>
    </w:p>
    <w:p w14:paraId="4CA5581A">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如投标人和其他利害关系人对招标人和招标代理机构的异议处理不服或者在规定时间内招标人或招标代理机构未予答复的，有权向工程所在地招标投标监督管理机构投诉。</w:t>
      </w:r>
    </w:p>
    <w:p w14:paraId="7BB84FD6">
      <w:pPr>
        <w:pStyle w:val="3"/>
        <w:pageBreakBefore w:val="0"/>
        <w:numPr>
          <w:ilvl w:val="0"/>
          <w:numId w:val="0"/>
        </w:numPr>
        <w:kinsoku/>
        <w:wordWrap/>
        <w:overflowPunct/>
        <w:topLinePunct w:val="0"/>
        <w:autoSpaceDE/>
        <w:autoSpaceDN/>
        <w:bidi w:val="0"/>
        <w:spacing w:line="520" w:lineRule="exact"/>
        <w:ind w:firstLine="482" w:firstLineChars="200"/>
        <w:outlineLvl w:val="1"/>
        <w:rPr>
          <w:rFonts w:hint="eastAsia" w:ascii="宋体" w:hAnsi="宋体" w:eastAsia="宋体" w:cs="宋体"/>
          <w:sz w:val="24"/>
          <w:szCs w:val="24"/>
          <w:highlight w:val="none"/>
        </w:rPr>
      </w:pPr>
      <w:bookmarkStart w:id="125" w:name="_Toc21026"/>
      <w:bookmarkStart w:id="126" w:name="_Toc3394"/>
      <w:bookmarkStart w:id="127" w:name="_Toc4341"/>
      <w:bookmarkStart w:id="128" w:name="_Toc355080738"/>
      <w:bookmarkStart w:id="129" w:name="_Toc6170"/>
      <w:bookmarkStart w:id="130" w:name="_Toc427079771"/>
      <w:bookmarkStart w:id="131" w:name="_Toc6643"/>
      <w:bookmarkStart w:id="132" w:name="_Toc14190"/>
      <w:r>
        <w:rPr>
          <w:rStyle w:val="42"/>
          <w:rFonts w:hint="eastAsia" w:ascii="宋体" w:hAnsi="宋体" w:eastAsia="宋体" w:cs="宋体"/>
          <w:sz w:val="24"/>
          <w:szCs w:val="24"/>
          <w:highlight w:val="none"/>
          <w:lang w:val="en-US" w:eastAsia="zh-CN"/>
        </w:rPr>
        <w:t>10、</w:t>
      </w:r>
      <w:r>
        <w:rPr>
          <w:rStyle w:val="42"/>
          <w:rFonts w:hint="eastAsia" w:ascii="宋体" w:hAnsi="宋体" w:eastAsia="宋体" w:cs="宋体"/>
          <w:sz w:val="24"/>
          <w:szCs w:val="24"/>
          <w:highlight w:val="none"/>
        </w:rPr>
        <w:t>需要补充的其他内容</w:t>
      </w:r>
      <w:bookmarkEnd w:id="125"/>
      <w:r>
        <w:rPr>
          <w:rStyle w:val="42"/>
          <w:rFonts w:hint="eastAsia" w:ascii="宋体" w:hAnsi="宋体" w:cs="宋体"/>
          <w:sz w:val="24"/>
          <w:szCs w:val="24"/>
          <w:highlight w:val="none"/>
          <w:lang w:eastAsia="zh-CN"/>
        </w:rPr>
        <w:t>：</w:t>
      </w:r>
      <w:r>
        <w:rPr>
          <w:rFonts w:hint="eastAsia" w:ascii="宋体" w:hAnsi="宋体" w:eastAsia="宋体" w:cs="宋体"/>
          <w:sz w:val="24"/>
          <w:szCs w:val="24"/>
          <w:highlight w:val="none"/>
        </w:rPr>
        <w:t>见</w:t>
      </w:r>
      <w:r>
        <w:rPr>
          <w:rFonts w:hint="eastAsia" w:ascii="宋体" w:hAnsi="宋体" w:cs="宋体"/>
          <w:sz w:val="24"/>
          <w:szCs w:val="24"/>
          <w:highlight w:val="none"/>
          <w:lang w:eastAsia="zh-CN"/>
        </w:rPr>
        <w:t>投标须知</w:t>
      </w:r>
      <w:r>
        <w:rPr>
          <w:rFonts w:hint="eastAsia" w:ascii="宋体" w:hAnsi="宋体" w:eastAsia="宋体" w:cs="宋体"/>
          <w:sz w:val="24"/>
          <w:szCs w:val="24"/>
          <w:highlight w:val="none"/>
        </w:rPr>
        <w:t>前附表</w:t>
      </w:r>
      <w:bookmarkEnd w:id="126"/>
      <w:bookmarkEnd w:id="127"/>
    </w:p>
    <w:bookmarkEnd w:id="128"/>
    <w:bookmarkEnd w:id="129"/>
    <w:bookmarkEnd w:id="130"/>
    <w:bookmarkEnd w:id="131"/>
    <w:bookmarkEnd w:id="132"/>
    <w:p w14:paraId="04209B35">
      <w:pPr>
        <w:pStyle w:val="2"/>
        <w:spacing w:before="120" w:beforeLines="50" w:after="120" w:afterLines="50" w:line="240" w:lineRule="auto"/>
        <w:outlineLvl w:val="9"/>
        <w:rPr>
          <w:rFonts w:hint="eastAsia" w:asciiTheme="majorEastAsia" w:hAnsiTheme="majorEastAsia" w:eastAsiaTheme="majorEastAsia" w:cstheme="majorEastAsia"/>
          <w:sz w:val="32"/>
          <w:highlight w:val="none"/>
        </w:rPr>
      </w:pPr>
      <w:bookmarkStart w:id="133" w:name="_Toc366167584"/>
      <w:bookmarkStart w:id="134" w:name="_Toc309377233"/>
    </w:p>
    <w:p w14:paraId="1A00FE92">
      <w:pPr>
        <w:rPr>
          <w:rFonts w:hint="eastAsia" w:asciiTheme="majorEastAsia" w:hAnsiTheme="majorEastAsia" w:eastAsiaTheme="majorEastAsia" w:cstheme="majorEastAsia"/>
          <w:sz w:val="32"/>
          <w:highlight w:val="none"/>
        </w:rPr>
      </w:pPr>
    </w:p>
    <w:p w14:paraId="3EBE7D5D">
      <w:pPr>
        <w:rPr>
          <w:rFonts w:hint="eastAsia" w:asciiTheme="majorEastAsia" w:hAnsiTheme="majorEastAsia" w:eastAsiaTheme="majorEastAsia" w:cstheme="majorEastAsia"/>
          <w:sz w:val="32"/>
          <w:highlight w:val="none"/>
        </w:rPr>
      </w:pPr>
    </w:p>
    <w:p w14:paraId="2ECCEAE7">
      <w:pPr>
        <w:rPr>
          <w:rFonts w:hint="eastAsia" w:asciiTheme="majorEastAsia" w:hAnsiTheme="majorEastAsia" w:eastAsiaTheme="majorEastAsia" w:cstheme="majorEastAsia"/>
          <w:sz w:val="32"/>
          <w:highlight w:val="none"/>
        </w:rPr>
      </w:pPr>
    </w:p>
    <w:p w14:paraId="22DBCA8A">
      <w:pPr>
        <w:rPr>
          <w:rFonts w:hint="eastAsia" w:asciiTheme="majorEastAsia" w:hAnsiTheme="majorEastAsia" w:eastAsiaTheme="majorEastAsia" w:cstheme="majorEastAsia"/>
          <w:sz w:val="32"/>
          <w:highlight w:val="none"/>
        </w:rPr>
      </w:pPr>
    </w:p>
    <w:p w14:paraId="029BCB6B">
      <w:pPr>
        <w:rPr>
          <w:rFonts w:hint="eastAsia" w:asciiTheme="majorEastAsia" w:hAnsiTheme="majorEastAsia" w:eastAsiaTheme="majorEastAsia" w:cstheme="majorEastAsia"/>
          <w:sz w:val="32"/>
          <w:highlight w:val="none"/>
        </w:rPr>
      </w:pPr>
    </w:p>
    <w:p w14:paraId="74E028BF">
      <w:pPr>
        <w:rPr>
          <w:rFonts w:hint="eastAsia" w:asciiTheme="majorEastAsia" w:hAnsiTheme="majorEastAsia" w:eastAsiaTheme="majorEastAsia" w:cstheme="majorEastAsia"/>
          <w:sz w:val="32"/>
          <w:highlight w:val="none"/>
        </w:rPr>
      </w:pPr>
    </w:p>
    <w:p w14:paraId="191320DD">
      <w:pPr>
        <w:rPr>
          <w:rFonts w:hint="eastAsia" w:asciiTheme="majorEastAsia" w:hAnsiTheme="majorEastAsia" w:eastAsiaTheme="majorEastAsia" w:cstheme="majorEastAsia"/>
          <w:sz w:val="32"/>
          <w:highlight w:val="none"/>
        </w:rPr>
      </w:pPr>
    </w:p>
    <w:p w14:paraId="50BEBE8C">
      <w:pPr>
        <w:pStyle w:val="11"/>
        <w:rPr>
          <w:rFonts w:hint="eastAsia" w:asciiTheme="majorEastAsia" w:hAnsiTheme="majorEastAsia" w:eastAsiaTheme="majorEastAsia" w:cstheme="majorEastAsia"/>
          <w:sz w:val="32"/>
          <w:highlight w:val="none"/>
        </w:rPr>
      </w:pPr>
    </w:p>
    <w:p w14:paraId="3FDB7269">
      <w:pPr>
        <w:rPr>
          <w:rFonts w:hint="eastAsia" w:asciiTheme="majorEastAsia" w:hAnsiTheme="majorEastAsia" w:eastAsiaTheme="majorEastAsia" w:cstheme="majorEastAsia"/>
          <w:sz w:val="32"/>
          <w:highlight w:val="none"/>
        </w:rPr>
      </w:pPr>
    </w:p>
    <w:p w14:paraId="63639424">
      <w:pPr>
        <w:pStyle w:val="11"/>
        <w:rPr>
          <w:rFonts w:hint="eastAsia" w:asciiTheme="majorEastAsia" w:hAnsiTheme="majorEastAsia" w:eastAsiaTheme="majorEastAsia" w:cstheme="majorEastAsia"/>
          <w:sz w:val="32"/>
          <w:highlight w:val="none"/>
        </w:rPr>
      </w:pPr>
    </w:p>
    <w:p w14:paraId="436C0773">
      <w:pPr>
        <w:rPr>
          <w:rFonts w:hint="eastAsia" w:asciiTheme="majorEastAsia" w:hAnsiTheme="majorEastAsia" w:eastAsiaTheme="majorEastAsia" w:cstheme="majorEastAsia"/>
          <w:sz w:val="32"/>
          <w:highlight w:val="none"/>
        </w:rPr>
      </w:pPr>
    </w:p>
    <w:p w14:paraId="018819FA">
      <w:pPr>
        <w:pStyle w:val="11"/>
        <w:rPr>
          <w:rFonts w:hint="eastAsia" w:asciiTheme="majorEastAsia" w:hAnsiTheme="majorEastAsia" w:eastAsiaTheme="majorEastAsia" w:cstheme="majorEastAsia"/>
          <w:sz w:val="32"/>
          <w:highlight w:val="none"/>
        </w:rPr>
      </w:pPr>
    </w:p>
    <w:p w14:paraId="6A8234D8">
      <w:pPr>
        <w:rPr>
          <w:rFonts w:hint="eastAsia"/>
        </w:rPr>
      </w:pPr>
    </w:p>
    <w:bookmarkEnd w:id="133"/>
    <w:bookmarkEnd w:id="134"/>
    <w:p w14:paraId="2FDEB0EA">
      <w:pPr>
        <w:pStyle w:val="2"/>
        <w:keepNext/>
        <w:keepLines/>
        <w:pageBreakBefore w:val="0"/>
        <w:widowControl w:val="0"/>
        <w:kinsoku/>
        <w:wordWrap/>
        <w:overflowPunct/>
        <w:topLinePunct w:val="0"/>
        <w:autoSpaceDE/>
        <w:autoSpaceDN/>
        <w:bidi w:val="0"/>
        <w:adjustRightInd/>
        <w:snapToGrid/>
        <w:spacing w:line="420" w:lineRule="auto"/>
        <w:textAlignment w:val="auto"/>
        <w:rPr>
          <w:rFonts w:hint="eastAsia"/>
        </w:rPr>
      </w:pPr>
      <w:bookmarkStart w:id="135" w:name="_Toc9507"/>
      <w:bookmarkStart w:id="136" w:name="_Toc16142"/>
      <w:r>
        <w:rPr>
          <w:rFonts w:hint="eastAsia"/>
        </w:rPr>
        <w:t>第</w:t>
      </w:r>
      <w:r>
        <w:rPr>
          <w:rFonts w:hint="eastAsia"/>
          <w:lang w:eastAsia="zh-CN"/>
        </w:rPr>
        <w:t>三</w:t>
      </w:r>
      <w:r>
        <w:rPr>
          <w:rFonts w:hint="eastAsia"/>
        </w:rPr>
        <w:t>章 评标办法</w:t>
      </w:r>
      <w:bookmarkEnd w:id="135"/>
      <w:bookmarkEnd w:id="136"/>
    </w:p>
    <w:p w14:paraId="7D9E59A1">
      <w:pPr>
        <w:pStyle w:val="57"/>
        <w:pageBreakBefore w:val="0"/>
        <w:kinsoku/>
        <w:wordWrap/>
        <w:overflowPunct/>
        <w:topLinePunct w:val="0"/>
        <w:autoSpaceDE/>
        <w:autoSpaceDN/>
        <w:bidi w:val="0"/>
        <w:spacing w:before="0" w:after="0" w:line="480" w:lineRule="exact"/>
        <w:outlineLvl w:val="1"/>
        <w:rPr>
          <w:rFonts w:asciiTheme="majorEastAsia" w:hAnsiTheme="majorEastAsia" w:eastAsiaTheme="majorEastAsia" w:cstheme="majorEastAsia"/>
          <w:b/>
          <w:kern w:val="0"/>
          <w:sz w:val="24"/>
          <w:szCs w:val="24"/>
          <w:highlight w:val="none"/>
        </w:rPr>
      </w:pPr>
      <w:bookmarkStart w:id="137" w:name="_Toc21159"/>
      <w:bookmarkStart w:id="138" w:name="_Toc13755"/>
      <w:bookmarkStart w:id="139" w:name="_Toc8593"/>
      <w:bookmarkStart w:id="140" w:name="_Toc6898"/>
      <w:r>
        <w:rPr>
          <w:rFonts w:hint="eastAsia" w:asciiTheme="majorEastAsia" w:hAnsiTheme="majorEastAsia" w:eastAsiaTheme="majorEastAsia" w:cstheme="majorEastAsia"/>
          <w:b/>
          <w:kern w:val="0"/>
          <w:sz w:val="24"/>
          <w:szCs w:val="24"/>
          <w:highlight w:val="none"/>
        </w:rPr>
        <w:t>评标办法前附表</w:t>
      </w:r>
      <w:bookmarkEnd w:id="137"/>
      <w:bookmarkEnd w:id="138"/>
      <w:bookmarkEnd w:id="139"/>
      <w:bookmarkEnd w:id="140"/>
    </w:p>
    <w:tbl>
      <w:tblPr>
        <w:tblStyle w:val="36"/>
        <w:tblpPr w:leftFromText="180" w:rightFromText="180" w:vertAnchor="text" w:horzAnchor="page" w:tblpX="1517" w:tblpY="300"/>
        <w:tblOverlap w:val="never"/>
        <w:tblW w:w="974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9"/>
        <w:gridCol w:w="1785"/>
        <w:gridCol w:w="2052"/>
        <w:gridCol w:w="4915"/>
      </w:tblGrid>
      <w:tr w14:paraId="72DBE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2774" w:type="dxa"/>
            <w:gridSpan w:val="2"/>
            <w:tcBorders>
              <w:top w:val="single" w:color="auto" w:sz="4" w:space="0"/>
              <w:bottom w:val="single" w:color="auto" w:sz="4" w:space="0"/>
              <w:right w:val="single" w:color="auto" w:sz="4" w:space="0"/>
            </w:tcBorders>
            <w:vAlign w:val="center"/>
          </w:tcPr>
          <w:p w14:paraId="6C9037D5">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条款号</w:t>
            </w:r>
          </w:p>
        </w:tc>
        <w:tc>
          <w:tcPr>
            <w:tcW w:w="2052" w:type="dxa"/>
            <w:tcBorders>
              <w:top w:val="single" w:color="auto" w:sz="4" w:space="0"/>
              <w:left w:val="single" w:color="auto" w:sz="4" w:space="0"/>
              <w:bottom w:val="single" w:color="auto" w:sz="4" w:space="0"/>
              <w:right w:val="single" w:color="auto" w:sz="4" w:space="0"/>
            </w:tcBorders>
            <w:vAlign w:val="center"/>
          </w:tcPr>
          <w:p w14:paraId="4B39EEB3">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评审因素</w:t>
            </w:r>
          </w:p>
        </w:tc>
        <w:tc>
          <w:tcPr>
            <w:tcW w:w="4915" w:type="dxa"/>
            <w:tcBorders>
              <w:top w:val="single" w:color="auto" w:sz="4" w:space="0"/>
              <w:left w:val="single" w:color="auto" w:sz="4" w:space="0"/>
              <w:bottom w:val="single" w:color="auto" w:sz="4" w:space="0"/>
              <w:right w:val="single" w:color="auto" w:sz="4" w:space="0"/>
            </w:tcBorders>
            <w:vAlign w:val="center"/>
          </w:tcPr>
          <w:p w14:paraId="74F4B548">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评审标准</w:t>
            </w:r>
          </w:p>
        </w:tc>
      </w:tr>
      <w:tr w14:paraId="04E642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1" w:hRule="atLeast"/>
        </w:trPr>
        <w:tc>
          <w:tcPr>
            <w:tcW w:w="989" w:type="dxa"/>
            <w:vMerge w:val="restart"/>
            <w:tcBorders>
              <w:top w:val="single" w:color="auto" w:sz="4" w:space="0"/>
              <w:right w:val="single" w:color="auto" w:sz="4" w:space="0"/>
            </w:tcBorders>
            <w:vAlign w:val="center"/>
          </w:tcPr>
          <w:p w14:paraId="3157CBF7">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2.1.1</w:t>
            </w:r>
          </w:p>
        </w:tc>
        <w:tc>
          <w:tcPr>
            <w:tcW w:w="1785" w:type="dxa"/>
            <w:vMerge w:val="restart"/>
            <w:tcBorders>
              <w:top w:val="single" w:color="auto" w:sz="4" w:space="0"/>
              <w:right w:val="single" w:color="auto" w:sz="4" w:space="0"/>
            </w:tcBorders>
            <w:vAlign w:val="center"/>
          </w:tcPr>
          <w:p w14:paraId="72A3392B">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rPr>
              <w:t>资格评审标准（有一项或多项不合格，按无效标处理）</w:t>
            </w:r>
          </w:p>
        </w:tc>
        <w:tc>
          <w:tcPr>
            <w:tcW w:w="2052" w:type="dxa"/>
            <w:tcBorders>
              <w:top w:val="single" w:color="auto" w:sz="4" w:space="0"/>
              <w:left w:val="single" w:color="auto" w:sz="4" w:space="0"/>
              <w:bottom w:val="single" w:color="auto" w:sz="4" w:space="0"/>
              <w:right w:val="single" w:color="auto" w:sz="4" w:space="0"/>
            </w:tcBorders>
            <w:vAlign w:val="center"/>
          </w:tcPr>
          <w:p w14:paraId="06AEB77E">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营业执照</w:t>
            </w:r>
          </w:p>
        </w:tc>
        <w:tc>
          <w:tcPr>
            <w:tcW w:w="4915" w:type="dxa"/>
            <w:tcBorders>
              <w:top w:val="single" w:color="auto" w:sz="4" w:space="0"/>
              <w:left w:val="single" w:color="auto" w:sz="4" w:space="0"/>
              <w:bottom w:val="single" w:color="auto" w:sz="4" w:space="0"/>
              <w:right w:val="single" w:color="auto" w:sz="4" w:space="0"/>
            </w:tcBorders>
            <w:vAlign w:val="center"/>
          </w:tcPr>
          <w:p w14:paraId="28D5B705">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具备有效的营业执照</w:t>
            </w:r>
          </w:p>
        </w:tc>
      </w:tr>
      <w:tr w14:paraId="48DFDC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2" w:hRule="atLeast"/>
        </w:trPr>
        <w:tc>
          <w:tcPr>
            <w:tcW w:w="989" w:type="dxa"/>
            <w:vMerge w:val="continue"/>
            <w:tcBorders>
              <w:right w:val="single" w:color="auto" w:sz="4" w:space="0"/>
            </w:tcBorders>
            <w:vAlign w:val="center"/>
          </w:tcPr>
          <w:p w14:paraId="4F46DE2C">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785" w:type="dxa"/>
            <w:vMerge w:val="continue"/>
            <w:tcBorders>
              <w:right w:val="single" w:color="auto" w:sz="4" w:space="0"/>
            </w:tcBorders>
            <w:vAlign w:val="center"/>
          </w:tcPr>
          <w:p w14:paraId="1CDF4C7C">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432A359C">
            <w:pPr>
              <w:keepNext w:val="0"/>
              <w:keepLines w:val="0"/>
              <w:pageBreakBefore w:val="0"/>
              <w:widowControl w:val="0"/>
              <w:kinsoku/>
              <w:wordWrap/>
              <w:overflowPunct/>
              <w:topLinePunct w:val="0"/>
              <w:autoSpaceDE/>
              <w:autoSpaceDN/>
              <w:bidi w:val="0"/>
              <w:adjustRightInd/>
              <w:snapToGrid/>
              <w:spacing w:line="340" w:lineRule="exact"/>
              <w:ind w:left="0" w:right="0" w:firstLine="0"/>
              <w:jc w:val="center"/>
              <w:textAlignment w:val="auto"/>
              <w:rPr>
                <w:rFonts w:hint="eastAsia" w:ascii="宋体" w:hAnsi="宋体" w:eastAsia="宋体" w:cs="宋体"/>
                <w:sz w:val="24"/>
                <w:szCs w:val="24"/>
                <w:highlight w:val="green"/>
              </w:rPr>
            </w:pPr>
            <w:r>
              <w:rPr>
                <w:rFonts w:hint="eastAsia" w:ascii="宋体" w:hAnsi="宋体" w:eastAsia="宋体" w:cs="宋体"/>
                <w:color w:val="auto"/>
                <w:spacing w:val="-2"/>
                <w:sz w:val="24"/>
                <w:szCs w:val="24"/>
                <w:highlight w:val="none"/>
              </w:rPr>
              <w:t>项目负责人</w:t>
            </w:r>
          </w:p>
        </w:tc>
        <w:tc>
          <w:tcPr>
            <w:tcW w:w="4915" w:type="dxa"/>
            <w:tcBorders>
              <w:top w:val="single" w:color="auto" w:sz="4" w:space="0"/>
              <w:left w:val="single" w:color="auto" w:sz="4" w:space="0"/>
              <w:bottom w:val="single" w:color="auto" w:sz="4" w:space="0"/>
              <w:right w:val="single" w:color="auto" w:sz="4" w:space="0"/>
            </w:tcBorders>
            <w:vAlign w:val="center"/>
          </w:tcPr>
          <w:p w14:paraId="5697052B">
            <w:pPr>
              <w:pageBreakBefore w:val="0"/>
              <w:kinsoku/>
              <w:wordWrap/>
              <w:overflowPunct/>
              <w:topLinePunct w:val="0"/>
              <w:autoSpaceDE/>
              <w:autoSpaceDN/>
              <w:bidi w:val="0"/>
              <w:spacing w:line="480" w:lineRule="exact"/>
              <w:rPr>
                <w:rFonts w:hint="eastAsia" w:ascii="宋体" w:hAnsi="宋体" w:eastAsia="宋体" w:cs="宋体"/>
                <w:color w:val="auto"/>
                <w:spacing w:val="2"/>
                <w:sz w:val="24"/>
                <w:szCs w:val="24"/>
                <w:shd w:val="clear" w:color="auto" w:fill="auto"/>
                <w:lang w:val="en-US" w:eastAsia="zh-CN"/>
              </w:rPr>
            </w:pPr>
            <w:r>
              <w:rPr>
                <w:rFonts w:hint="eastAsia" w:ascii="宋体" w:hAnsi="宋体" w:eastAsia="宋体" w:cs="宋体"/>
                <w:color w:val="auto"/>
                <w:spacing w:val="2"/>
                <w:sz w:val="24"/>
                <w:szCs w:val="24"/>
                <w:shd w:val="clear" w:color="auto" w:fill="auto"/>
                <w:lang w:val="en-US" w:eastAsia="zh-CN"/>
              </w:rPr>
              <w:t>具有国家注册造价工程师（或一级注册造价工程师）执业资格；</w:t>
            </w:r>
          </w:p>
        </w:tc>
      </w:tr>
      <w:tr w14:paraId="6DE05F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2" w:hRule="atLeast"/>
        </w:trPr>
        <w:tc>
          <w:tcPr>
            <w:tcW w:w="989" w:type="dxa"/>
            <w:vMerge w:val="continue"/>
            <w:tcBorders>
              <w:right w:val="single" w:color="auto" w:sz="4" w:space="0"/>
            </w:tcBorders>
            <w:vAlign w:val="center"/>
          </w:tcPr>
          <w:p w14:paraId="6DDD087B">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785" w:type="dxa"/>
            <w:vMerge w:val="continue"/>
            <w:tcBorders>
              <w:right w:val="single" w:color="auto" w:sz="4" w:space="0"/>
            </w:tcBorders>
            <w:vAlign w:val="center"/>
          </w:tcPr>
          <w:p w14:paraId="51FD3F1B">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7E194625">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法人授权</w:t>
            </w:r>
          </w:p>
          <w:p w14:paraId="0201726C">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委托书</w:t>
            </w:r>
          </w:p>
        </w:tc>
        <w:tc>
          <w:tcPr>
            <w:tcW w:w="4915" w:type="dxa"/>
            <w:tcBorders>
              <w:top w:val="single" w:color="auto" w:sz="4" w:space="0"/>
              <w:left w:val="single" w:color="auto" w:sz="4" w:space="0"/>
              <w:bottom w:val="single" w:color="auto" w:sz="4" w:space="0"/>
              <w:right w:val="single" w:color="auto" w:sz="4" w:space="0"/>
            </w:tcBorders>
            <w:vAlign w:val="center"/>
          </w:tcPr>
          <w:p w14:paraId="39CB760C">
            <w:pPr>
              <w:pStyle w:val="9"/>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法定代表人身份证</w:t>
            </w:r>
            <w:r>
              <w:rPr>
                <w:rFonts w:hint="eastAsia" w:ascii="宋体" w:hAnsi="宋体" w:eastAsia="宋体" w:cs="宋体"/>
                <w:kern w:val="0"/>
                <w:sz w:val="24"/>
                <w:szCs w:val="24"/>
                <w:highlight w:val="none"/>
                <w:lang w:eastAsia="zh-CN"/>
              </w:rPr>
              <w:t>原件扫描件</w:t>
            </w:r>
            <w:r>
              <w:rPr>
                <w:rFonts w:hint="eastAsia" w:ascii="宋体" w:hAnsi="宋体" w:eastAsia="宋体" w:cs="宋体"/>
                <w:kern w:val="0"/>
                <w:sz w:val="24"/>
                <w:szCs w:val="24"/>
                <w:highlight w:val="none"/>
              </w:rPr>
              <w:t>（法定代表人签署投标文件的）或法人授权委托书（授权委托代理人签署投标文件的）。</w:t>
            </w:r>
          </w:p>
        </w:tc>
      </w:tr>
      <w:tr w14:paraId="7D1D03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989" w:type="dxa"/>
            <w:vMerge w:val="continue"/>
            <w:tcBorders>
              <w:right w:val="single" w:color="auto" w:sz="4" w:space="0"/>
            </w:tcBorders>
            <w:vAlign w:val="center"/>
          </w:tcPr>
          <w:p w14:paraId="0930F712">
            <w:pPr>
              <w:pStyle w:val="53"/>
              <w:pageBreakBefore w:val="0"/>
              <w:kinsoku/>
              <w:wordWrap/>
              <w:overflowPunct/>
              <w:topLinePunct w:val="0"/>
              <w:autoSpaceDE/>
              <w:autoSpaceDN/>
              <w:bidi w:val="0"/>
              <w:spacing w:line="480" w:lineRule="exact"/>
              <w:ind w:left="0" w:leftChars="0" w:firstLine="0" w:firstLineChars="0"/>
              <w:rPr>
                <w:rFonts w:hint="eastAsia" w:ascii="宋体" w:hAnsi="宋体" w:eastAsia="宋体" w:cs="宋体"/>
                <w:sz w:val="24"/>
                <w:szCs w:val="24"/>
                <w:highlight w:val="none"/>
              </w:rPr>
            </w:pPr>
          </w:p>
        </w:tc>
        <w:tc>
          <w:tcPr>
            <w:tcW w:w="1785" w:type="dxa"/>
            <w:vMerge w:val="continue"/>
            <w:tcBorders>
              <w:right w:val="single" w:color="auto" w:sz="4" w:space="0"/>
            </w:tcBorders>
            <w:vAlign w:val="center"/>
          </w:tcPr>
          <w:p w14:paraId="464F54E0">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1EE022EE">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信誉要求</w:t>
            </w:r>
          </w:p>
        </w:tc>
        <w:tc>
          <w:tcPr>
            <w:tcW w:w="4915" w:type="dxa"/>
            <w:tcBorders>
              <w:top w:val="single" w:color="auto" w:sz="4" w:space="0"/>
              <w:left w:val="single" w:color="auto" w:sz="4" w:space="0"/>
              <w:bottom w:val="single" w:color="auto" w:sz="4" w:space="0"/>
              <w:right w:val="single" w:color="auto" w:sz="4" w:space="0"/>
            </w:tcBorders>
            <w:vAlign w:val="center"/>
          </w:tcPr>
          <w:p w14:paraId="14113E05">
            <w:pPr>
              <w:pageBreakBefore w:val="0"/>
              <w:kinsoku/>
              <w:wordWrap/>
              <w:overflowPunct/>
              <w:topLinePunct w:val="0"/>
              <w:autoSpaceDE/>
              <w:autoSpaceDN/>
              <w:bidi w:val="0"/>
              <w:spacing w:line="480" w:lineRule="exact"/>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投标人提供</w:t>
            </w:r>
            <w:r>
              <w:rPr>
                <w:rFonts w:hint="eastAsia" w:ascii="宋体" w:hAnsi="宋体" w:cs="宋体"/>
                <w:kern w:val="0"/>
                <w:sz w:val="24"/>
                <w:szCs w:val="24"/>
                <w:highlight w:val="none"/>
                <w:lang w:val="en-US" w:eastAsia="zh-CN"/>
              </w:rPr>
              <w:t>查询</w:t>
            </w:r>
            <w:r>
              <w:rPr>
                <w:rFonts w:hint="eastAsia" w:ascii="宋体" w:hAnsi="宋体" w:eastAsia="宋体" w:cs="宋体"/>
                <w:kern w:val="0"/>
                <w:sz w:val="24"/>
                <w:szCs w:val="24"/>
                <w:highlight w:val="none"/>
                <w:lang w:val="en-US" w:eastAsia="zh-CN"/>
              </w:rPr>
              <w:t>截图或由招标代理机构或招标人在开评标现场查询，如投标人在国家企业信用信息公示系统（www.gsxt.gov.cn）中被列入严重违法失信企业名单；在信用中国（http://www.creditchina.gov.cn）平台被列入严重失信主体名单、失信被执行人、安全生产严重失信主体名单的</w:t>
            </w:r>
            <w:r>
              <w:rPr>
                <w:rFonts w:hint="eastAsia" w:ascii="宋体" w:hAnsi="宋体" w:eastAsia="宋体" w:cs="宋体"/>
                <w:kern w:val="0"/>
                <w:sz w:val="24"/>
                <w:szCs w:val="24"/>
                <w:highlight w:val="none"/>
                <w:lang w:val="zh-CN" w:eastAsia="zh-CN"/>
              </w:rPr>
              <w:t>，</w:t>
            </w:r>
            <w:r>
              <w:rPr>
                <w:rFonts w:hint="eastAsia" w:ascii="宋体" w:hAnsi="宋体" w:eastAsia="宋体" w:cs="宋体"/>
                <w:kern w:val="0"/>
                <w:sz w:val="24"/>
                <w:szCs w:val="24"/>
                <w:highlight w:val="none"/>
                <w:lang w:val="en-US" w:eastAsia="zh-CN"/>
              </w:rPr>
              <w:t>将否决其投标。</w:t>
            </w:r>
          </w:p>
        </w:tc>
      </w:tr>
      <w:tr w14:paraId="6D4D81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trPr>
        <w:tc>
          <w:tcPr>
            <w:tcW w:w="989" w:type="dxa"/>
            <w:vMerge w:val="restart"/>
            <w:tcBorders>
              <w:top w:val="single" w:color="auto" w:sz="4" w:space="0"/>
              <w:bottom w:val="single" w:color="auto" w:sz="4" w:space="0"/>
              <w:right w:val="single" w:color="auto" w:sz="4" w:space="0"/>
            </w:tcBorders>
            <w:vAlign w:val="center"/>
          </w:tcPr>
          <w:p w14:paraId="4312BFD2">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2.1.2</w:t>
            </w:r>
          </w:p>
        </w:tc>
        <w:tc>
          <w:tcPr>
            <w:tcW w:w="1785" w:type="dxa"/>
            <w:vMerge w:val="restart"/>
            <w:tcBorders>
              <w:top w:val="single" w:color="auto" w:sz="4" w:space="0"/>
              <w:bottom w:val="single" w:color="auto" w:sz="4" w:space="0"/>
              <w:right w:val="single" w:color="auto" w:sz="4" w:space="0"/>
            </w:tcBorders>
            <w:vAlign w:val="center"/>
          </w:tcPr>
          <w:p w14:paraId="3F44B203">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形式</w:t>
            </w:r>
            <w:r>
              <w:rPr>
                <w:rFonts w:hint="eastAsia" w:ascii="宋体" w:hAnsi="宋体" w:eastAsia="宋体" w:cs="宋体"/>
                <w:sz w:val="24"/>
                <w:szCs w:val="24"/>
                <w:highlight w:val="none"/>
              </w:rPr>
              <w:t>评审标准</w:t>
            </w:r>
          </w:p>
        </w:tc>
        <w:tc>
          <w:tcPr>
            <w:tcW w:w="2052" w:type="dxa"/>
            <w:tcBorders>
              <w:top w:val="single" w:color="auto" w:sz="4" w:space="0"/>
              <w:left w:val="single" w:color="auto" w:sz="4" w:space="0"/>
              <w:bottom w:val="single" w:color="auto" w:sz="4" w:space="0"/>
              <w:right w:val="single" w:color="auto" w:sz="4" w:space="0"/>
            </w:tcBorders>
            <w:vAlign w:val="center"/>
          </w:tcPr>
          <w:p w14:paraId="72939D8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tc>
        <w:tc>
          <w:tcPr>
            <w:tcW w:w="4915" w:type="dxa"/>
            <w:tcBorders>
              <w:top w:val="single" w:color="auto" w:sz="4" w:space="0"/>
              <w:left w:val="single" w:color="auto" w:sz="4" w:space="0"/>
              <w:bottom w:val="single" w:color="auto" w:sz="4" w:space="0"/>
              <w:right w:val="single" w:color="auto" w:sz="4" w:space="0"/>
            </w:tcBorders>
            <w:vAlign w:val="center"/>
          </w:tcPr>
          <w:p w14:paraId="3FF0A02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与营业执照一致</w:t>
            </w:r>
          </w:p>
        </w:tc>
      </w:tr>
      <w:tr w14:paraId="70191F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5" w:hRule="atLeast"/>
        </w:trPr>
        <w:tc>
          <w:tcPr>
            <w:tcW w:w="989" w:type="dxa"/>
            <w:vMerge w:val="continue"/>
            <w:tcBorders>
              <w:top w:val="nil"/>
              <w:bottom w:val="single" w:color="auto" w:sz="4" w:space="0"/>
              <w:right w:val="single" w:color="auto" w:sz="4" w:space="0"/>
            </w:tcBorders>
            <w:vAlign w:val="center"/>
          </w:tcPr>
          <w:p w14:paraId="0A9B75B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p>
        </w:tc>
        <w:tc>
          <w:tcPr>
            <w:tcW w:w="1785" w:type="dxa"/>
            <w:vMerge w:val="continue"/>
            <w:tcBorders>
              <w:top w:val="nil"/>
              <w:bottom w:val="single" w:color="auto" w:sz="4" w:space="0"/>
              <w:right w:val="single" w:color="auto" w:sz="4" w:space="0"/>
            </w:tcBorders>
            <w:vAlign w:val="center"/>
          </w:tcPr>
          <w:p w14:paraId="398A52B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62DA2A38">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投标函签字盖章</w:t>
            </w:r>
          </w:p>
        </w:tc>
        <w:tc>
          <w:tcPr>
            <w:tcW w:w="4915" w:type="dxa"/>
            <w:tcBorders>
              <w:top w:val="single" w:color="auto" w:sz="4" w:space="0"/>
              <w:left w:val="single" w:color="auto" w:sz="4" w:space="0"/>
              <w:bottom w:val="single" w:color="auto" w:sz="4" w:space="0"/>
              <w:right w:val="single" w:color="auto" w:sz="4" w:space="0"/>
            </w:tcBorders>
            <w:vAlign w:val="center"/>
          </w:tcPr>
          <w:p w14:paraId="2F1255D2">
            <w:pPr>
              <w:pageBreakBefore w:val="0"/>
              <w:kinsoku/>
              <w:wordWrap/>
              <w:overflowPunct/>
              <w:topLinePunct w:val="0"/>
              <w:autoSpaceDE/>
              <w:autoSpaceDN/>
              <w:bidi w:val="0"/>
              <w:spacing w:line="48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有法定代表人或其委托代理人签字或盖章及加盖单位公章</w:t>
            </w:r>
            <w:r>
              <w:rPr>
                <w:rFonts w:hint="eastAsia" w:ascii="宋体" w:hAnsi="宋体" w:eastAsia="宋体" w:cs="宋体"/>
                <w:sz w:val="24"/>
                <w:szCs w:val="24"/>
                <w:highlight w:val="none"/>
                <w:lang w:eastAsia="zh-CN"/>
              </w:rPr>
              <w:t>（可采用电子签章）</w:t>
            </w:r>
          </w:p>
        </w:tc>
      </w:tr>
      <w:tr w14:paraId="377D6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8" w:hRule="atLeast"/>
        </w:trPr>
        <w:tc>
          <w:tcPr>
            <w:tcW w:w="989" w:type="dxa"/>
            <w:vMerge w:val="continue"/>
            <w:tcBorders>
              <w:top w:val="nil"/>
              <w:bottom w:val="single" w:color="auto" w:sz="4" w:space="0"/>
              <w:right w:val="single" w:color="auto" w:sz="4" w:space="0"/>
            </w:tcBorders>
            <w:vAlign w:val="center"/>
          </w:tcPr>
          <w:p w14:paraId="00DEAD39">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p>
        </w:tc>
        <w:tc>
          <w:tcPr>
            <w:tcW w:w="1785" w:type="dxa"/>
            <w:vMerge w:val="continue"/>
            <w:tcBorders>
              <w:top w:val="nil"/>
              <w:bottom w:val="single" w:color="auto" w:sz="4" w:space="0"/>
              <w:right w:val="single" w:color="auto" w:sz="4" w:space="0"/>
            </w:tcBorders>
            <w:vAlign w:val="center"/>
          </w:tcPr>
          <w:p w14:paraId="357E77A0">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5B8E7B0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投标文件格式</w:t>
            </w:r>
          </w:p>
        </w:tc>
        <w:tc>
          <w:tcPr>
            <w:tcW w:w="4915" w:type="dxa"/>
            <w:tcBorders>
              <w:top w:val="single" w:color="auto" w:sz="4" w:space="0"/>
              <w:left w:val="single" w:color="auto" w:sz="4" w:space="0"/>
              <w:bottom w:val="single" w:color="auto" w:sz="4" w:space="0"/>
              <w:right w:val="single" w:color="auto" w:sz="4" w:space="0"/>
            </w:tcBorders>
            <w:vAlign w:val="center"/>
          </w:tcPr>
          <w:p w14:paraId="07E5445E">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rPr>
            </w:pPr>
            <w:r>
              <w:rPr>
                <w:rFonts w:hint="eastAsia" w:ascii="宋体" w:hAnsi="宋体" w:eastAsia="宋体" w:cs="宋体"/>
                <w:color w:val="auto"/>
                <w:spacing w:val="2"/>
                <w:sz w:val="24"/>
                <w:szCs w:val="24"/>
                <w:highlight w:val="none"/>
                <w:lang w:val="en-US" w:eastAsia="zh-CN"/>
              </w:rPr>
              <w:t>符合招标文件的要求</w:t>
            </w:r>
          </w:p>
        </w:tc>
      </w:tr>
      <w:tr w14:paraId="70C2D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8" w:hRule="atLeast"/>
        </w:trPr>
        <w:tc>
          <w:tcPr>
            <w:tcW w:w="989" w:type="dxa"/>
            <w:vMerge w:val="continue"/>
            <w:tcBorders>
              <w:top w:val="nil"/>
              <w:bottom w:val="single" w:color="auto" w:sz="4" w:space="0"/>
              <w:right w:val="single" w:color="auto" w:sz="4" w:space="0"/>
            </w:tcBorders>
            <w:vAlign w:val="center"/>
          </w:tcPr>
          <w:p w14:paraId="5C2CDF9E">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p>
        </w:tc>
        <w:tc>
          <w:tcPr>
            <w:tcW w:w="1785" w:type="dxa"/>
            <w:vMerge w:val="continue"/>
            <w:tcBorders>
              <w:top w:val="nil"/>
              <w:bottom w:val="single" w:color="auto" w:sz="4" w:space="0"/>
              <w:right w:val="single" w:color="auto" w:sz="4" w:space="0"/>
            </w:tcBorders>
            <w:vAlign w:val="center"/>
          </w:tcPr>
          <w:p w14:paraId="11DF590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5BDE99F1">
            <w:pPr>
              <w:pageBreakBefore w:val="0"/>
              <w:tabs>
                <w:tab w:val="left" w:pos="1725"/>
              </w:tabs>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rPr>
              <w:t>报价唯一</w:t>
            </w:r>
          </w:p>
        </w:tc>
        <w:tc>
          <w:tcPr>
            <w:tcW w:w="4915" w:type="dxa"/>
            <w:tcBorders>
              <w:top w:val="single" w:color="auto" w:sz="4" w:space="0"/>
              <w:left w:val="single" w:color="auto" w:sz="4" w:space="0"/>
              <w:bottom w:val="single" w:color="auto" w:sz="4" w:space="0"/>
              <w:right w:val="single" w:color="auto" w:sz="4" w:space="0"/>
            </w:tcBorders>
            <w:vAlign w:val="center"/>
          </w:tcPr>
          <w:p w14:paraId="42EBF4F1">
            <w:pPr>
              <w:pageBreakBefore w:val="0"/>
              <w:tabs>
                <w:tab w:val="left" w:pos="1725"/>
              </w:tabs>
              <w:kinsoku/>
              <w:wordWrap/>
              <w:overflowPunct/>
              <w:topLinePunct w:val="0"/>
              <w:autoSpaceDE/>
              <w:autoSpaceDN/>
              <w:bidi w:val="0"/>
              <w:spacing w:line="48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只能有一个有效报价</w:t>
            </w:r>
          </w:p>
        </w:tc>
      </w:tr>
      <w:tr w14:paraId="0E29F9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0" w:hRule="exact"/>
        </w:trPr>
        <w:tc>
          <w:tcPr>
            <w:tcW w:w="989" w:type="dxa"/>
            <w:vMerge w:val="restart"/>
            <w:tcBorders>
              <w:top w:val="single" w:color="auto" w:sz="4" w:space="0"/>
              <w:right w:val="single" w:color="auto" w:sz="4" w:space="0"/>
            </w:tcBorders>
            <w:vAlign w:val="center"/>
          </w:tcPr>
          <w:p w14:paraId="0481DBF8">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2.1.3</w:t>
            </w:r>
          </w:p>
        </w:tc>
        <w:tc>
          <w:tcPr>
            <w:tcW w:w="1785" w:type="dxa"/>
            <w:vMerge w:val="restart"/>
            <w:tcBorders>
              <w:top w:val="single" w:color="auto" w:sz="4" w:space="0"/>
              <w:right w:val="single" w:color="auto" w:sz="4" w:space="0"/>
            </w:tcBorders>
            <w:vAlign w:val="center"/>
          </w:tcPr>
          <w:p w14:paraId="500044D1">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响应性</w:t>
            </w:r>
          </w:p>
          <w:p w14:paraId="6E2BB11A">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w:t>
            </w:r>
          </w:p>
          <w:p w14:paraId="46B3B66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标准</w:t>
            </w:r>
          </w:p>
        </w:tc>
        <w:tc>
          <w:tcPr>
            <w:tcW w:w="2052" w:type="dxa"/>
            <w:tcBorders>
              <w:top w:val="single" w:color="auto" w:sz="4" w:space="0"/>
              <w:left w:val="single" w:color="auto" w:sz="4" w:space="0"/>
              <w:bottom w:val="single" w:color="auto" w:sz="4" w:space="0"/>
              <w:right w:val="single" w:color="auto" w:sz="4" w:space="0"/>
            </w:tcBorders>
            <w:vAlign w:val="center"/>
          </w:tcPr>
          <w:p w14:paraId="7EAC5ACD">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p>
        </w:tc>
        <w:tc>
          <w:tcPr>
            <w:tcW w:w="4915" w:type="dxa"/>
            <w:tcBorders>
              <w:top w:val="single" w:color="auto" w:sz="4" w:space="0"/>
              <w:left w:val="single" w:color="auto" w:sz="4" w:space="0"/>
              <w:bottom w:val="single" w:color="auto" w:sz="4" w:space="0"/>
              <w:right w:val="single" w:color="auto" w:sz="4" w:space="0"/>
            </w:tcBorders>
            <w:vAlign w:val="center"/>
          </w:tcPr>
          <w:p w14:paraId="17FACF7D">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7779E2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9" w:hRule="exact"/>
        </w:trPr>
        <w:tc>
          <w:tcPr>
            <w:tcW w:w="989" w:type="dxa"/>
            <w:vMerge w:val="continue"/>
            <w:tcBorders>
              <w:right w:val="single" w:color="auto" w:sz="4" w:space="0"/>
            </w:tcBorders>
            <w:vAlign w:val="center"/>
          </w:tcPr>
          <w:p w14:paraId="4835F75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785" w:type="dxa"/>
            <w:vMerge w:val="continue"/>
            <w:tcBorders>
              <w:right w:val="single" w:color="auto" w:sz="4" w:space="0"/>
            </w:tcBorders>
            <w:vAlign w:val="center"/>
          </w:tcPr>
          <w:p w14:paraId="19DE368B">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5465CD3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投标内容</w:t>
            </w:r>
          </w:p>
        </w:tc>
        <w:tc>
          <w:tcPr>
            <w:tcW w:w="4915" w:type="dxa"/>
            <w:tcBorders>
              <w:top w:val="single" w:color="auto" w:sz="4" w:space="0"/>
              <w:left w:val="single" w:color="auto" w:sz="4" w:space="0"/>
              <w:bottom w:val="single" w:color="auto" w:sz="4" w:space="0"/>
              <w:right w:val="single" w:color="auto" w:sz="4" w:space="0"/>
            </w:tcBorders>
            <w:vAlign w:val="center"/>
          </w:tcPr>
          <w:p w14:paraId="06C34705">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50DA3C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4" w:hRule="exact"/>
        </w:trPr>
        <w:tc>
          <w:tcPr>
            <w:tcW w:w="989" w:type="dxa"/>
            <w:vMerge w:val="continue"/>
            <w:tcBorders>
              <w:right w:val="single" w:color="auto" w:sz="4" w:space="0"/>
            </w:tcBorders>
            <w:vAlign w:val="center"/>
          </w:tcPr>
          <w:p w14:paraId="74D2BBA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785" w:type="dxa"/>
            <w:vMerge w:val="continue"/>
            <w:tcBorders>
              <w:right w:val="single" w:color="auto" w:sz="4" w:space="0"/>
            </w:tcBorders>
            <w:vAlign w:val="center"/>
          </w:tcPr>
          <w:p w14:paraId="02CCC5FB">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77CE5757">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服务期</w:t>
            </w:r>
          </w:p>
        </w:tc>
        <w:tc>
          <w:tcPr>
            <w:tcW w:w="4915" w:type="dxa"/>
            <w:tcBorders>
              <w:top w:val="single" w:color="auto" w:sz="4" w:space="0"/>
              <w:left w:val="single" w:color="auto" w:sz="4" w:space="0"/>
              <w:bottom w:val="single" w:color="auto" w:sz="4" w:space="0"/>
              <w:right w:val="single" w:color="auto" w:sz="4" w:space="0"/>
            </w:tcBorders>
            <w:vAlign w:val="center"/>
          </w:tcPr>
          <w:p w14:paraId="2A1E1E1E">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1F24A4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0" w:hRule="exact"/>
        </w:trPr>
        <w:tc>
          <w:tcPr>
            <w:tcW w:w="989" w:type="dxa"/>
            <w:vMerge w:val="continue"/>
            <w:tcBorders>
              <w:right w:val="single" w:color="auto" w:sz="4" w:space="0"/>
            </w:tcBorders>
            <w:vAlign w:val="center"/>
          </w:tcPr>
          <w:p w14:paraId="24A26381">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785" w:type="dxa"/>
            <w:vMerge w:val="continue"/>
            <w:tcBorders>
              <w:right w:val="single" w:color="auto" w:sz="4" w:space="0"/>
            </w:tcBorders>
            <w:vAlign w:val="center"/>
          </w:tcPr>
          <w:p w14:paraId="598A2038">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3A68EAD4">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质量</w:t>
            </w:r>
            <w:r>
              <w:rPr>
                <w:rFonts w:hint="eastAsia" w:ascii="宋体" w:hAnsi="宋体" w:eastAsia="宋体" w:cs="宋体"/>
                <w:sz w:val="24"/>
                <w:szCs w:val="24"/>
                <w:highlight w:val="none"/>
                <w:lang w:eastAsia="zh-CN"/>
              </w:rPr>
              <w:t>要求</w:t>
            </w:r>
          </w:p>
        </w:tc>
        <w:tc>
          <w:tcPr>
            <w:tcW w:w="4915" w:type="dxa"/>
            <w:tcBorders>
              <w:top w:val="single" w:color="auto" w:sz="4" w:space="0"/>
              <w:left w:val="single" w:color="auto" w:sz="4" w:space="0"/>
              <w:bottom w:val="single" w:color="auto" w:sz="4" w:space="0"/>
              <w:right w:val="single" w:color="auto" w:sz="4" w:space="0"/>
            </w:tcBorders>
            <w:vAlign w:val="center"/>
          </w:tcPr>
          <w:p w14:paraId="21425959">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7EDA0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7" w:hRule="exact"/>
        </w:trPr>
        <w:tc>
          <w:tcPr>
            <w:tcW w:w="989" w:type="dxa"/>
            <w:vMerge w:val="continue"/>
            <w:tcBorders>
              <w:right w:val="single" w:color="auto" w:sz="4" w:space="0"/>
            </w:tcBorders>
            <w:vAlign w:val="center"/>
          </w:tcPr>
          <w:p w14:paraId="2B6AFC53">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785" w:type="dxa"/>
            <w:vMerge w:val="continue"/>
            <w:tcBorders>
              <w:right w:val="single" w:color="auto" w:sz="4" w:space="0"/>
            </w:tcBorders>
            <w:vAlign w:val="center"/>
          </w:tcPr>
          <w:p w14:paraId="25C6AC83">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14:paraId="1C8C9A9C">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4915" w:type="dxa"/>
            <w:tcBorders>
              <w:top w:val="single" w:color="auto" w:sz="4" w:space="0"/>
              <w:left w:val="single" w:color="auto" w:sz="4" w:space="0"/>
              <w:bottom w:val="single" w:color="auto" w:sz="4" w:space="0"/>
              <w:right w:val="single" w:color="auto" w:sz="4" w:space="0"/>
            </w:tcBorders>
            <w:vAlign w:val="center"/>
          </w:tcPr>
          <w:p w14:paraId="2E1E0479">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60D13C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9" w:hRule="exact"/>
        </w:trPr>
        <w:tc>
          <w:tcPr>
            <w:tcW w:w="2774" w:type="dxa"/>
            <w:gridSpan w:val="2"/>
            <w:tcBorders>
              <w:top w:val="single" w:color="auto" w:sz="4" w:space="0"/>
              <w:bottom w:val="single" w:color="auto" w:sz="4" w:space="0"/>
              <w:right w:val="single" w:color="auto" w:sz="4" w:space="0"/>
            </w:tcBorders>
            <w:vAlign w:val="center"/>
          </w:tcPr>
          <w:p w14:paraId="4FBC4E20">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条款号</w:t>
            </w:r>
          </w:p>
        </w:tc>
        <w:tc>
          <w:tcPr>
            <w:tcW w:w="2052" w:type="dxa"/>
            <w:tcBorders>
              <w:top w:val="single" w:color="auto" w:sz="4" w:space="0"/>
              <w:left w:val="single" w:color="auto" w:sz="4" w:space="0"/>
              <w:bottom w:val="single" w:color="auto" w:sz="4" w:space="0"/>
              <w:right w:val="single" w:color="auto" w:sz="4" w:space="0"/>
            </w:tcBorders>
            <w:vAlign w:val="center"/>
          </w:tcPr>
          <w:p w14:paraId="0DCFC4B2">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条款内容</w:t>
            </w:r>
          </w:p>
        </w:tc>
        <w:tc>
          <w:tcPr>
            <w:tcW w:w="4915" w:type="dxa"/>
            <w:tcBorders>
              <w:top w:val="single" w:color="auto" w:sz="4" w:space="0"/>
              <w:left w:val="single" w:color="auto" w:sz="4" w:space="0"/>
              <w:bottom w:val="single" w:color="auto" w:sz="4" w:space="0"/>
              <w:right w:val="single" w:color="auto" w:sz="4" w:space="0"/>
            </w:tcBorders>
            <w:vAlign w:val="center"/>
          </w:tcPr>
          <w:p w14:paraId="2483C114">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编列内容</w:t>
            </w:r>
          </w:p>
        </w:tc>
      </w:tr>
      <w:tr w14:paraId="4B187B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88" w:hRule="exact"/>
        </w:trPr>
        <w:tc>
          <w:tcPr>
            <w:tcW w:w="2774" w:type="dxa"/>
            <w:gridSpan w:val="2"/>
            <w:tcBorders>
              <w:top w:val="single" w:color="auto" w:sz="4" w:space="0"/>
              <w:bottom w:val="single" w:color="auto" w:sz="4" w:space="0"/>
              <w:right w:val="single" w:color="auto" w:sz="4" w:space="0"/>
            </w:tcBorders>
            <w:vAlign w:val="center"/>
          </w:tcPr>
          <w:p w14:paraId="1B786111">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2.2.1</w:t>
            </w:r>
          </w:p>
        </w:tc>
        <w:tc>
          <w:tcPr>
            <w:tcW w:w="2052" w:type="dxa"/>
            <w:tcBorders>
              <w:top w:val="single" w:color="auto" w:sz="4" w:space="0"/>
              <w:left w:val="single" w:color="auto" w:sz="4" w:space="0"/>
              <w:bottom w:val="single" w:color="auto" w:sz="4" w:space="0"/>
              <w:right w:val="single" w:color="auto" w:sz="4" w:space="0"/>
            </w:tcBorders>
            <w:vAlign w:val="center"/>
          </w:tcPr>
          <w:p w14:paraId="484F4B71">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分值构成</w:t>
            </w:r>
          </w:p>
          <w:p w14:paraId="4D933DB5">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（总分100分）</w:t>
            </w:r>
          </w:p>
        </w:tc>
        <w:tc>
          <w:tcPr>
            <w:tcW w:w="4915" w:type="dxa"/>
            <w:tcBorders>
              <w:top w:val="single" w:color="auto" w:sz="4" w:space="0"/>
              <w:left w:val="single" w:color="auto" w:sz="4" w:space="0"/>
              <w:bottom w:val="single" w:color="auto" w:sz="4" w:space="0"/>
              <w:right w:val="single" w:color="auto" w:sz="4" w:space="0"/>
            </w:tcBorders>
            <w:vAlign w:val="center"/>
          </w:tcPr>
          <w:p w14:paraId="62715084">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w:t>
            </w:r>
          </w:p>
          <w:p w14:paraId="2FEE14E5">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商务部分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分</w:t>
            </w:r>
          </w:p>
          <w:p w14:paraId="0C7B51B5">
            <w:pPr>
              <w:pageBreakBefore w:val="0"/>
              <w:kinsoku/>
              <w:wordWrap/>
              <w:overflowPunct/>
              <w:topLinePunct w:val="0"/>
              <w:autoSpaceDE/>
              <w:autoSpaceDN/>
              <w:bidi w:val="0"/>
              <w:spacing w:line="48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技术部分：</w:t>
            </w:r>
            <w:r>
              <w:rPr>
                <w:rFonts w:hint="eastAsia" w:ascii="宋体" w:hAnsi="宋体" w:cs="宋体"/>
                <w:sz w:val="24"/>
                <w:szCs w:val="24"/>
                <w:highlight w:val="none"/>
                <w:lang w:val="en-US" w:eastAsia="zh-CN"/>
              </w:rPr>
              <w:t>55</w:t>
            </w:r>
            <w:r>
              <w:rPr>
                <w:rFonts w:hint="eastAsia" w:ascii="宋体" w:hAnsi="宋体" w:eastAsia="宋体" w:cs="宋体"/>
                <w:sz w:val="24"/>
                <w:szCs w:val="24"/>
                <w:highlight w:val="none"/>
                <w:lang w:val="en-US" w:eastAsia="zh-CN"/>
              </w:rPr>
              <w:t>分</w:t>
            </w:r>
          </w:p>
        </w:tc>
      </w:tr>
      <w:tr w14:paraId="185BA3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74" w:type="dxa"/>
            <w:gridSpan w:val="2"/>
            <w:tcBorders>
              <w:top w:val="single" w:color="auto" w:sz="4" w:space="0"/>
              <w:bottom w:val="single" w:color="auto" w:sz="4" w:space="0"/>
              <w:right w:val="single" w:color="auto" w:sz="4" w:space="0"/>
            </w:tcBorders>
            <w:vAlign w:val="center"/>
          </w:tcPr>
          <w:p w14:paraId="2A07C59B">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条款号</w:t>
            </w:r>
          </w:p>
        </w:tc>
        <w:tc>
          <w:tcPr>
            <w:tcW w:w="2052" w:type="dxa"/>
            <w:tcBorders>
              <w:top w:val="single" w:color="auto" w:sz="4" w:space="0"/>
              <w:left w:val="single" w:color="auto" w:sz="4" w:space="0"/>
              <w:bottom w:val="single" w:color="auto" w:sz="4" w:space="0"/>
              <w:right w:val="single" w:color="auto" w:sz="4" w:space="0"/>
            </w:tcBorders>
            <w:vAlign w:val="center"/>
          </w:tcPr>
          <w:p w14:paraId="0695F22A">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评审因素</w:t>
            </w:r>
          </w:p>
        </w:tc>
        <w:tc>
          <w:tcPr>
            <w:tcW w:w="4915" w:type="dxa"/>
            <w:tcBorders>
              <w:top w:val="single" w:color="auto" w:sz="4" w:space="0"/>
              <w:left w:val="single" w:color="auto" w:sz="4" w:space="0"/>
              <w:bottom w:val="single" w:color="auto" w:sz="4" w:space="0"/>
              <w:right w:val="single" w:color="auto" w:sz="4" w:space="0"/>
            </w:tcBorders>
            <w:vAlign w:val="center"/>
          </w:tcPr>
          <w:p w14:paraId="4F2C5BF8">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评审标准</w:t>
            </w:r>
          </w:p>
        </w:tc>
      </w:tr>
      <w:tr w14:paraId="423108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8" w:hRule="exact"/>
        </w:trPr>
        <w:tc>
          <w:tcPr>
            <w:tcW w:w="2774" w:type="dxa"/>
            <w:gridSpan w:val="2"/>
            <w:tcBorders>
              <w:top w:val="single" w:color="auto" w:sz="4" w:space="0"/>
              <w:bottom w:val="single" w:color="auto" w:sz="4" w:space="0"/>
              <w:right w:val="single" w:color="auto" w:sz="4" w:space="0"/>
            </w:tcBorders>
            <w:vAlign w:val="center"/>
          </w:tcPr>
          <w:p w14:paraId="269A60C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2.2.2</w:t>
            </w:r>
          </w:p>
        </w:tc>
        <w:tc>
          <w:tcPr>
            <w:tcW w:w="2052" w:type="dxa"/>
            <w:tcBorders>
              <w:top w:val="single" w:color="auto" w:sz="4" w:space="0"/>
              <w:left w:val="single" w:color="auto" w:sz="4" w:space="0"/>
              <w:bottom w:val="single" w:color="auto" w:sz="4" w:space="0"/>
              <w:right w:val="single" w:color="auto" w:sz="4" w:space="0"/>
            </w:tcBorders>
            <w:vAlign w:val="center"/>
          </w:tcPr>
          <w:p w14:paraId="3073613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评标基准价</w:t>
            </w:r>
          </w:p>
          <w:p w14:paraId="1CC0663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计算方法</w:t>
            </w:r>
          </w:p>
        </w:tc>
        <w:tc>
          <w:tcPr>
            <w:tcW w:w="4915" w:type="dxa"/>
            <w:tcBorders>
              <w:top w:val="single" w:color="auto" w:sz="4" w:space="0"/>
              <w:left w:val="single" w:color="auto" w:sz="4" w:space="0"/>
              <w:bottom w:val="single" w:color="auto" w:sz="4" w:space="0"/>
              <w:right w:val="single" w:color="auto" w:sz="4" w:space="0"/>
            </w:tcBorders>
            <w:vAlign w:val="center"/>
          </w:tcPr>
          <w:p w14:paraId="32A22411">
            <w:pPr>
              <w:pStyle w:val="88"/>
              <w:keepNext w:val="0"/>
              <w:keepLines w:val="0"/>
              <w:pageBreakBefore w:val="0"/>
              <w:widowControl w:val="0"/>
              <w:kinsoku/>
              <w:wordWrap/>
              <w:overflowPunct/>
              <w:topLinePunct w:val="0"/>
              <w:autoSpaceDE/>
              <w:autoSpaceDN/>
              <w:bidi w:val="0"/>
              <w:adjustRightInd/>
              <w:snapToGrid/>
              <w:spacing w:line="480" w:lineRule="exact"/>
              <w:ind w:left="108"/>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当n（有效投标人个数，以下相同）＜5时，评标基准值=有效</w:t>
            </w:r>
            <w:r>
              <w:rPr>
                <w:rFonts w:hint="eastAsia" w:cs="宋体"/>
                <w:color w:val="000000" w:themeColor="text1"/>
                <w:sz w:val="24"/>
                <w:szCs w:val="24"/>
                <w:highlight w:val="none"/>
                <w:lang w:val="en-US" w:eastAsia="zh-CN"/>
                <w14:textFill>
                  <w14:solidFill>
                    <w14:schemeClr w14:val="tx1"/>
                  </w14:solidFill>
                </w14:textFill>
              </w:rPr>
              <w:t>投标报价</w:t>
            </w:r>
            <w:r>
              <w:rPr>
                <w:rFonts w:hint="eastAsia" w:ascii="宋体" w:hAnsi="宋体" w:eastAsia="宋体" w:cs="宋体"/>
                <w:color w:val="000000" w:themeColor="text1"/>
                <w:sz w:val="24"/>
                <w:szCs w:val="24"/>
                <w:highlight w:val="none"/>
                <w14:textFill>
                  <w14:solidFill>
                    <w14:schemeClr w14:val="tx1"/>
                  </w14:solidFill>
                </w14:textFill>
              </w:rPr>
              <w:t>的算术平均值；当5≤n＜10时，则去掉1个最高和1个最低后的算术平均值；当n≥10时，则去掉2个最高和2个最低后的算术平均值。不参与评标基准价计算的有效投标人，仍参与打分与推荐。</w:t>
            </w:r>
          </w:p>
        </w:tc>
      </w:tr>
    </w:tbl>
    <w:p w14:paraId="030E218E">
      <w:pPr>
        <w:keepNext w:val="0"/>
        <w:keepLines w:val="0"/>
        <w:pageBreakBefore w:val="0"/>
        <w:widowControl w:val="0"/>
        <w:kinsoku/>
        <w:wordWrap/>
        <w:overflowPunct/>
        <w:topLinePunct w:val="0"/>
        <w:autoSpaceDE/>
        <w:autoSpaceDN/>
        <w:bidi w:val="0"/>
        <w:adjustRightInd/>
        <w:snapToGrid/>
        <w:spacing w:line="480" w:lineRule="exact"/>
        <w:ind w:firstLine="118" w:firstLineChars="49"/>
        <w:textAlignment w:val="auto"/>
        <w:outlineLvl w:val="1"/>
        <w:rPr>
          <w:rStyle w:val="42"/>
          <w:rFonts w:hint="eastAsia" w:ascii="宋体" w:hAnsi="宋体" w:eastAsia="宋体" w:cs="宋体"/>
          <w:b/>
          <w:bCs/>
          <w:sz w:val="24"/>
          <w:szCs w:val="24"/>
          <w:highlight w:val="none"/>
        </w:rPr>
      </w:pPr>
      <w:bookmarkStart w:id="141" w:name="_Toc16432"/>
      <w:bookmarkStart w:id="142" w:name="_Toc18534"/>
      <w:bookmarkStart w:id="143" w:name="_Toc27586"/>
      <w:r>
        <w:rPr>
          <w:rStyle w:val="42"/>
          <w:rFonts w:hint="eastAsia" w:ascii="宋体" w:hAnsi="宋体" w:eastAsia="宋体" w:cs="宋体"/>
          <w:b/>
          <w:bCs/>
          <w:sz w:val="24"/>
          <w:szCs w:val="24"/>
          <w:highlight w:val="none"/>
        </w:rPr>
        <w:t>一、评审原则及评标方法</w:t>
      </w:r>
      <w:bookmarkEnd w:id="141"/>
      <w:bookmarkEnd w:id="142"/>
      <w:bookmarkEnd w:id="143"/>
    </w:p>
    <w:p w14:paraId="234415D2">
      <w:pPr>
        <w:keepNext w:val="0"/>
        <w:keepLines w:val="0"/>
        <w:pageBreakBefore w:val="0"/>
        <w:widowControl w:val="0"/>
        <w:tabs>
          <w:tab w:val="left" w:pos="0"/>
        </w:tabs>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评标原则</w:t>
      </w:r>
    </w:p>
    <w:p w14:paraId="6EB752F4">
      <w:pPr>
        <w:keepNext w:val="0"/>
        <w:keepLines w:val="0"/>
        <w:pageBreakBefore w:val="0"/>
        <w:widowControl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“公平、公正、择优、效益”为本次评标的基本原则，评标委员会按照这一原则的要求，公正、平等地对待各投标人。同时，在评标过程中恪守以下原则：</w:t>
      </w:r>
    </w:p>
    <w:p w14:paraId="706D9041">
      <w:pPr>
        <w:keepNext w:val="0"/>
        <w:keepLines w:val="0"/>
        <w:pageBreakBefore w:val="0"/>
        <w:widowControl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1.1.客观性原则：评标委员会将严格按照招标文件的要求，对投标人的投标文件进行认真评审；评标委员会对投标文件的评审仅依据投标文件本身，而不依据投标文件以外的任何因素。</w:t>
      </w:r>
    </w:p>
    <w:p w14:paraId="20E9964A">
      <w:pPr>
        <w:keepNext w:val="0"/>
        <w:keepLines w:val="0"/>
        <w:pageBreakBefore w:val="0"/>
        <w:widowControl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1.2统一性原则：评标委员会将按照统一的评标原则和评标方法，用同一标准进行评标。</w:t>
      </w:r>
    </w:p>
    <w:p w14:paraId="79324C34">
      <w:pPr>
        <w:keepNext w:val="0"/>
        <w:keepLines w:val="0"/>
        <w:pageBreakBefore w:val="0"/>
        <w:widowControl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1.3独立性原则：评标工作在评标委员会内部独立进行，不受外界任何因素的干扰和影响。评委对出具的评标意见承担个人责任。</w:t>
      </w:r>
    </w:p>
    <w:p w14:paraId="7DD4EBF5">
      <w:pPr>
        <w:keepNext w:val="0"/>
        <w:keepLines w:val="0"/>
        <w:pageBreakBefore w:val="0"/>
        <w:widowControl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1.4保密性原则：招标代理机构应当采取必要的措施，保证评标在严格保密的情况下进行。</w:t>
      </w:r>
    </w:p>
    <w:p w14:paraId="517480A4">
      <w:pPr>
        <w:keepNext w:val="0"/>
        <w:keepLines w:val="0"/>
        <w:pageBreakBefore w:val="0"/>
        <w:widowControl w:val="0"/>
        <w:tabs>
          <w:tab w:val="left" w:pos="0"/>
        </w:tabs>
        <w:kinsoku/>
        <w:wordWrap/>
        <w:overflowPunct/>
        <w:topLinePunct w:val="0"/>
        <w:autoSpaceDE/>
        <w:autoSpaceDN/>
        <w:bidi w:val="0"/>
        <w:adjustRightInd/>
        <w:snapToGrid/>
        <w:spacing w:line="480" w:lineRule="exact"/>
        <w:ind w:firstLine="480" w:firstLineChars="200"/>
        <w:textAlignment w:val="auto"/>
        <w:rPr>
          <w:rStyle w:val="42"/>
          <w:rFonts w:hint="eastAsia" w:ascii="宋体" w:hAnsi="宋体" w:eastAsia="宋体" w:cs="宋体"/>
          <w:sz w:val="24"/>
          <w:szCs w:val="24"/>
          <w:highlight w:val="none"/>
        </w:rPr>
      </w:pPr>
      <w:r>
        <w:rPr>
          <w:rFonts w:hint="eastAsia" w:ascii="宋体" w:hAnsi="宋体" w:eastAsia="宋体" w:cs="宋体"/>
          <w:sz w:val="24"/>
          <w:szCs w:val="24"/>
          <w:highlight w:val="none"/>
        </w:rPr>
        <w:t>1.5综合性原则：评标委员会将综合分析、评审投标人的各项指标，而不以单项指标的优劣评定出中标候选人或中标人。</w:t>
      </w:r>
    </w:p>
    <w:p w14:paraId="78802DAE">
      <w:pPr>
        <w:keepNext w:val="0"/>
        <w:keepLines w:val="0"/>
        <w:pageBreakBefore w:val="0"/>
        <w:widowControl w:val="0"/>
        <w:tabs>
          <w:tab w:val="left" w:pos="0"/>
        </w:tabs>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评标方法</w:t>
      </w:r>
    </w:p>
    <w:p w14:paraId="6F32E0AB">
      <w:pPr>
        <w:pStyle w:val="5"/>
        <w:pageBreakBefore w:val="0"/>
        <w:widowControl w:val="0"/>
        <w:tabs>
          <w:tab w:val="left" w:pos="900"/>
        </w:tabs>
        <w:kinsoku/>
        <w:wordWrap/>
        <w:overflowPunct/>
        <w:topLinePunct w:val="0"/>
        <w:autoSpaceDE/>
        <w:autoSpaceDN/>
        <w:bidi w:val="0"/>
        <w:spacing w:line="520" w:lineRule="exact"/>
        <w:ind w:left="0" w:leftChars="0"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2.1</w:t>
      </w:r>
      <w:r>
        <w:rPr>
          <w:rFonts w:hint="eastAsia" w:ascii="宋体" w:hAnsi="宋体" w:eastAsia="宋体" w:cs="宋体"/>
          <w:kern w:val="0"/>
          <w:sz w:val="24"/>
          <w:szCs w:val="24"/>
          <w:highlight w:val="none"/>
        </w:rPr>
        <w:t>本次评标采用综合评估法。评标委员会对满足招标文件实质性要求的投标文件，按照本章规定的评分标准进行打分，</w:t>
      </w:r>
      <w:r>
        <w:rPr>
          <w:rFonts w:hint="eastAsia" w:ascii="宋体" w:hAnsi="宋体" w:eastAsia="宋体" w:cs="宋体"/>
          <w:kern w:val="0"/>
          <w:sz w:val="24"/>
          <w:szCs w:val="24"/>
          <w:highlight w:val="none"/>
          <w:lang w:val="en-US" w:eastAsia="zh-CN"/>
        </w:rPr>
        <w:t>向招标人推荐一定数量不排序的中标侯选人。</w:t>
      </w:r>
    </w:p>
    <w:p w14:paraId="2ADA1662">
      <w:pPr>
        <w:pStyle w:val="5"/>
        <w:pageBreakBefore w:val="0"/>
        <w:widowControl w:val="0"/>
        <w:tabs>
          <w:tab w:val="left" w:pos="900"/>
        </w:tabs>
        <w:kinsoku/>
        <w:wordWrap/>
        <w:overflowPunct/>
        <w:topLinePunct w:val="0"/>
        <w:autoSpaceDE/>
        <w:autoSpaceDN/>
        <w:bidi w:val="0"/>
        <w:spacing w:line="520" w:lineRule="exact"/>
        <w:ind w:left="0" w:leftChars="0"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2.2</w:t>
      </w:r>
      <w:r>
        <w:rPr>
          <w:rFonts w:hint="eastAsia" w:ascii="宋体" w:hAnsi="宋体" w:eastAsia="宋体" w:cs="宋体"/>
          <w:kern w:val="0"/>
          <w:sz w:val="24"/>
          <w:szCs w:val="24"/>
          <w:highlight w:val="none"/>
          <w:lang w:val="en-US" w:eastAsia="zh-CN"/>
        </w:rPr>
        <w:t>经评标委员会评审,当有效投标人为3-5名时,按最终得分由高到低推荐3名定标候选人；当有效投标人为6-10名时，按最终得分由高到低推荐5名定标候选人；当有效投标人为11名及以上时，按最终得分由高到低推荐7名定标候选人</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若排序时出现得分相同的情况，则按投标报价低的优先排名，报价再相同的按</w:t>
      </w:r>
      <w:r>
        <w:rPr>
          <w:rFonts w:hint="eastAsia" w:ascii="宋体" w:hAnsi="宋体" w:cs="宋体"/>
          <w:kern w:val="0"/>
          <w:sz w:val="24"/>
          <w:szCs w:val="24"/>
          <w:highlight w:val="none"/>
          <w:lang w:val="en-US" w:eastAsia="zh-CN"/>
        </w:rPr>
        <w:t>技术部分</w:t>
      </w:r>
      <w:r>
        <w:rPr>
          <w:rFonts w:hint="eastAsia" w:ascii="宋体" w:hAnsi="宋体" w:eastAsia="宋体" w:cs="宋体"/>
          <w:kern w:val="0"/>
          <w:sz w:val="24"/>
          <w:szCs w:val="24"/>
          <w:highlight w:val="none"/>
          <w:lang w:val="en-US" w:eastAsia="zh-CN"/>
        </w:rPr>
        <w:t>优劣排序。</w:t>
      </w:r>
    </w:p>
    <w:p w14:paraId="4C4BE0BF">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cs="宋体"/>
          <w:b/>
          <w:kern w:val="0"/>
          <w:sz w:val="24"/>
          <w:szCs w:val="24"/>
          <w:highlight w:val="none"/>
          <w:lang w:val="en-US" w:eastAsia="zh-CN"/>
        </w:rPr>
        <w:t>二、</w:t>
      </w:r>
      <w:r>
        <w:rPr>
          <w:rFonts w:hint="eastAsia" w:ascii="宋体" w:hAnsi="宋体" w:eastAsia="宋体" w:cs="宋体"/>
          <w:b/>
          <w:kern w:val="0"/>
          <w:sz w:val="24"/>
          <w:szCs w:val="24"/>
          <w:highlight w:val="none"/>
        </w:rPr>
        <w:t xml:space="preserve"> 评审标准</w:t>
      </w:r>
    </w:p>
    <w:p w14:paraId="4406FD9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cs="宋体"/>
          <w:kern w:val="0"/>
          <w:sz w:val="24"/>
          <w:szCs w:val="24"/>
          <w:highlight w:val="none"/>
          <w:lang w:val="en-US" w:eastAsia="zh-CN"/>
        </w:rPr>
        <w:t>1、</w:t>
      </w:r>
      <w:r>
        <w:rPr>
          <w:rFonts w:hint="eastAsia" w:ascii="宋体" w:hAnsi="宋体" w:eastAsia="宋体" w:cs="宋体"/>
          <w:kern w:val="0"/>
          <w:sz w:val="24"/>
          <w:szCs w:val="24"/>
          <w:highlight w:val="none"/>
        </w:rPr>
        <w:t>形式评审：见评标办法前附表；</w:t>
      </w:r>
    </w:p>
    <w:p w14:paraId="221DD7E5">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cs="宋体"/>
          <w:kern w:val="0"/>
          <w:sz w:val="24"/>
          <w:szCs w:val="24"/>
          <w:highlight w:val="none"/>
          <w:lang w:val="en-US" w:eastAsia="zh-CN"/>
        </w:rPr>
        <w:t>2、</w:t>
      </w:r>
      <w:r>
        <w:rPr>
          <w:rFonts w:hint="eastAsia" w:ascii="宋体" w:hAnsi="宋体" w:eastAsia="宋体" w:cs="宋体"/>
          <w:kern w:val="0"/>
          <w:sz w:val="24"/>
          <w:szCs w:val="24"/>
          <w:highlight w:val="none"/>
        </w:rPr>
        <w:t>响应性评审：见评标办法前附表；</w:t>
      </w:r>
    </w:p>
    <w:p w14:paraId="08D3E1D3">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cs="宋体"/>
          <w:kern w:val="0"/>
          <w:sz w:val="24"/>
          <w:szCs w:val="24"/>
          <w:highlight w:val="none"/>
          <w:lang w:val="en-US" w:eastAsia="zh-CN"/>
        </w:rPr>
        <w:t>3、</w:t>
      </w:r>
      <w:r>
        <w:rPr>
          <w:rFonts w:hint="eastAsia" w:ascii="宋体" w:hAnsi="宋体" w:eastAsia="宋体" w:cs="宋体"/>
          <w:kern w:val="0"/>
          <w:sz w:val="24"/>
          <w:szCs w:val="24"/>
          <w:highlight w:val="none"/>
        </w:rPr>
        <w:t xml:space="preserve">详细评审分值构成与评分标准：见评标办法前附表；                                                                                                                                                                 </w:t>
      </w:r>
    </w:p>
    <w:p w14:paraId="14D929D7">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cs="宋体"/>
          <w:b/>
          <w:kern w:val="0"/>
          <w:sz w:val="24"/>
          <w:szCs w:val="24"/>
          <w:highlight w:val="none"/>
          <w:lang w:val="en-US" w:eastAsia="zh-CN"/>
        </w:rPr>
        <w:t>三</w:t>
      </w:r>
      <w:r>
        <w:rPr>
          <w:rFonts w:hint="eastAsia" w:ascii="宋体" w:hAnsi="宋体" w:eastAsia="宋体" w:cs="宋体"/>
          <w:b/>
          <w:kern w:val="0"/>
          <w:sz w:val="24"/>
          <w:szCs w:val="24"/>
          <w:highlight w:val="none"/>
        </w:rPr>
        <w:t>. 评标程序</w:t>
      </w:r>
    </w:p>
    <w:p w14:paraId="41A07DF0">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3.1 初步评审</w:t>
      </w:r>
    </w:p>
    <w:p w14:paraId="67C8049E">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3.1.1 评标委员会依据本章规定的评审标准对投标文件进行初步评审。有一项不符合评审标准的，作无效标予以否决。</w:t>
      </w:r>
    </w:p>
    <w:p w14:paraId="12A20D95">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3.1.2 投标人有以下情形之一的，其投标作无效标予以否决：</w:t>
      </w:r>
    </w:p>
    <w:p w14:paraId="5643740B">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（1）串通投标或弄虚作假或有其他违法行为的；</w:t>
      </w:r>
    </w:p>
    <w:p w14:paraId="60FB4945">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（2）不按评标委员会要求澄清、说明或补正的。</w:t>
      </w:r>
    </w:p>
    <w:p w14:paraId="51CC676F">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3.1.3 投标报价有算术错误的，评标委员会按以下原则对投标报价进行修正，修正的价格经投标人书面确认后具有约束力。投标人不接受修正价格的，其投标作无效标处理。</w:t>
      </w:r>
    </w:p>
    <w:p w14:paraId="76405440">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（1）投标文件中的大写金额与小写金额不一致的，以大写金额为准；</w:t>
      </w:r>
    </w:p>
    <w:p w14:paraId="268915EA">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（2）总价金额与依据单价计算出的结果不一致的，以单价金额为准修正总价，但单价金额小数点有明显错误的除外。</w:t>
      </w:r>
    </w:p>
    <w:p w14:paraId="107060E9">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3.2 详细评审</w:t>
      </w:r>
    </w:p>
    <w:p w14:paraId="1130F62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3.2.1评标委员会依据评分标准和投标报价</w:t>
      </w:r>
      <w:r>
        <w:rPr>
          <w:rFonts w:hint="eastAsia" w:ascii="宋体" w:hAnsi="宋体" w:eastAsia="宋体" w:cs="宋体"/>
          <w:kern w:val="0"/>
          <w:sz w:val="24"/>
          <w:szCs w:val="24"/>
          <w:highlight w:val="none"/>
          <w:lang w:val="zh-CN"/>
        </w:rPr>
        <w:t>对投标文件进行详细评审。</w:t>
      </w:r>
    </w:p>
    <w:p w14:paraId="1BE2710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3.2.2</w:t>
      </w:r>
      <w:r>
        <w:rPr>
          <w:rFonts w:hint="eastAsia" w:ascii="宋体" w:hAnsi="宋体" w:eastAsia="宋体" w:cs="宋体"/>
          <w:kern w:val="0"/>
          <w:sz w:val="24"/>
          <w:szCs w:val="24"/>
          <w:highlight w:val="none"/>
          <w:lang w:val="zh-CN"/>
        </w:rPr>
        <w:t>投标人的投标报价高于招标人发布的招标控制价的作无效标予以否决。</w:t>
      </w:r>
    </w:p>
    <w:p w14:paraId="202E795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3.2.3</w:t>
      </w:r>
      <w:r>
        <w:rPr>
          <w:rFonts w:hint="eastAsia" w:ascii="宋体" w:hAnsi="宋体" w:eastAsia="宋体" w:cs="宋体"/>
          <w:kern w:val="0"/>
          <w:sz w:val="24"/>
          <w:szCs w:val="24"/>
          <w:highlight w:val="none"/>
          <w:lang w:val="zh-CN"/>
        </w:rPr>
        <w:t>评标委员会发现投标人的报价明显低于其他投标报价的，应当要求该投标人作出书面说明并提供相应证明材料。投标人不能合理说明或者不能提供相应证明材料的，由评标委员会认定该投标人以低于成本报价竞标，其投标作无效标予以否决。</w:t>
      </w:r>
    </w:p>
    <w:p w14:paraId="70EBE18D">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3.2.4评标委员会按本章规定的量化因素和分值进行打分，并计算出综合评估得分。所有评委的综合评估得分的算术平均值为投标人的最终得分。</w:t>
      </w:r>
    </w:p>
    <w:p w14:paraId="6CC92DD9">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3.2.5评分分值计算保留小数点后</w:t>
      </w:r>
      <w:r>
        <w:rPr>
          <w:rFonts w:hint="eastAsia" w:ascii="宋体" w:hAnsi="宋体" w:eastAsia="宋体" w:cs="宋体"/>
          <w:kern w:val="0"/>
          <w:sz w:val="24"/>
          <w:szCs w:val="24"/>
          <w:highlight w:val="none"/>
          <w:lang w:val="en-US" w:eastAsia="zh-CN"/>
        </w:rPr>
        <w:t>两</w:t>
      </w:r>
      <w:r>
        <w:rPr>
          <w:rFonts w:hint="eastAsia" w:ascii="宋体" w:hAnsi="宋体" w:eastAsia="宋体" w:cs="宋体"/>
          <w:kern w:val="0"/>
          <w:sz w:val="24"/>
          <w:szCs w:val="24"/>
          <w:highlight w:val="none"/>
        </w:rPr>
        <w:t>位。</w:t>
      </w:r>
    </w:p>
    <w:p w14:paraId="035F316D">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3.3 投标文件的澄清和补正</w:t>
      </w:r>
    </w:p>
    <w:p w14:paraId="5716ACE2">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3.3.1 在评标过程中，评标委员会可以书面形式要求投标人对所提交投标文件中不明确的内容进行书面澄清或说明，或者对细微偏差进行补正。评标委员会不接受投标人主动提出的澄清、说明或补正。</w:t>
      </w:r>
    </w:p>
    <w:p w14:paraId="415DAF0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3.3.2 澄清、说明和补正不得改变投标文件的实质性内容（算术性错误修正的除外）。投标人的书面澄清、说明和补正属于投标文件的组成部分。</w:t>
      </w:r>
    </w:p>
    <w:p w14:paraId="4A70FD6B">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3.3.3 评标委员会对投标人提交的澄清、说明或补正有疑问的，可以要求投标人进一步澄清、说明或补正，直至满足评标委员会的要求。</w:t>
      </w:r>
    </w:p>
    <w:p w14:paraId="3AA5799D">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3.4 评标结果</w:t>
      </w:r>
    </w:p>
    <w:p w14:paraId="1BF2A85E">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3.4.1评标委员会推荐</w:t>
      </w:r>
      <w:r>
        <w:rPr>
          <w:rFonts w:hint="eastAsia" w:ascii="宋体" w:hAnsi="宋体" w:eastAsia="宋体" w:cs="宋体"/>
          <w:kern w:val="0"/>
          <w:sz w:val="24"/>
          <w:szCs w:val="24"/>
          <w:highlight w:val="none"/>
          <w:lang w:val="en-US" w:eastAsia="zh-CN"/>
        </w:rPr>
        <w:t>定标</w:t>
      </w:r>
      <w:r>
        <w:rPr>
          <w:rFonts w:hint="eastAsia" w:ascii="宋体" w:hAnsi="宋体" w:eastAsia="宋体" w:cs="宋体"/>
          <w:kern w:val="0"/>
          <w:sz w:val="24"/>
          <w:szCs w:val="24"/>
          <w:highlight w:val="none"/>
        </w:rPr>
        <w:t>候选人。</w:t>
      </w:r>
    </w:p>
    <w:p w14:paraId="44B8708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3.4.2 评标委员会完成评标后，应当向招标人提交书面评标报告。</w:t>
      </w:r>
    </w:p>
    <w:p w14:paraId="2A34D0AC">
      <w:pPr>
        <w:pageBreakBefore w:val="0"/>
        <w:kinsoku/>
        <w:wordWrap/>
        <w:overflowPunct/>
        <w:topLinePunct w:val="0"/>
        <w:autoSpaceDE/>
        <w:autoSpaceDN/>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3.4.3评标报告应写明推荐定标候选人</w:t>
      </w:r>
      <w:r>
        <w:rPr>
          <w:rFonts w:hint="eastAsia" w:ascii="宋体" w:hAnsi="宋体" w:eastAsia="宋体" w:cs="宋体"/>
          <w:b/>
          <w:bCs/>
          <w:color w:val="auto"/>
          <w:sz w:val="24"/>
          <w:szCs w:val="24"/>
          <w:highlight w:val="none"/>
          <w:lang w:val="en-US" w:eastAsia="zh-CN"/>
        </w:rPr>
        <w:t>的投标文件</w:t>
      </w:r>
      <w:r>
        <w:rPr>
          <w:rFonts w:hint="eastAsia" w:ascii="宋体" w:hAnsi="宋体" w:eastAsia="宋体" w:cs="宋体"/>
          <w:b/>
          <w:bCs/>
          <w:color w:val="auto"/>
          <w:sz w:val="24"/>
          <w:szCs w:val="24"/>
          <w:highlight w:val="none"/>
        </w:rPr>
        <w:t>优点</w:t>
      </w:r>
      <w:r>
        <w:rPr>
          <w:rFonts w:hint="eastAsia" w:ascii="宋体" w:hAnsi="宋体" w:eastAsia="宋体" w:cs="宋体"/>
          <w:b/>
          <w:bCs/>
          <w:color w:val="auto"/>
          <w:sz w:val="24"/>
          <w:szCs w:val="24"/>
          <w:highlight w:val="none"/>
          <w:lang w:val="en-US" w:eastAsia="zh-CN"/>
        </w:rPr>
        <w:t>和</w:t>
      </w:r>
      <w:r>
        <w:rPr>
          <w:rFonts w:hint="eastAsia" w:ascii="宋体" w:hAnsi="宋体" w:eastAsia="宋体" w:cs="宋体"/>
          <w:b/>
          <w:bCs/>
          <w:color w:val="auto"/>
          <w:sz w:val="24"/>
          <w:szCs w:val="24"/>
          <w:highlight w:val="none"/>
        </w:rPr>
        <w:t>缺</w:t>
      </w:r>
      <w:r>
        <w:rPr>
          <w:rFonts w:hint="eastAsia" w:ascii="宋体" w:hAnsi="宋体" w:eastAsia="宋体" w:cs="宋体"/>
          <w:b/>
          <w:bCs/>
          <w:color w:val="auto"/>
          <w:sz w:val="24"/>
          <w:szCs w:val="24"/>
          <w:highlight w:val="none"/>
          <w:lang w:val="en-US" w:eastAsia="zh-CN"/>
        </w:rPr>
        <w:t>点</w:t>
      </w:r>
      <w:r>
        <w:rPr>
          <w:rFonts w:hint="eastAsia" w:ascii="宋体" w:hAnsi="宋体" w:eastAsia="宋体" w:cs="宋体"/>
          <w:b/>
          <w:bCs/>
          <w:color w:val="auto"/>
          <w:sz w:val="24"/>
          <w:szCs w:val="24"/>
          <w:highlight w:val="none"/>
        </w:rPr>
        <w:t>。</w:t>
      </w:r>
    </w:p>
    <w:p w14:paraId="7C8AE626">
      <w:pPr>
        <w:widowControl/>
        <w:jc w:val="left"/>
        <w:rPr>
          <w:rStyle w:val="42"/>
          <w:rFonts w:asciiTheme="majorEastAsia" w:hAnsiTheme="majorEastAsia" w:eastAsiaTheme="majorEastAsia" w:cstheme="majorEastAsia"/>
          <w:sz w:val="32"/>
          <w:szCs w:val="32"/>
          <w:highlight w:val="none"/>
        </w:rPr>
      </w:pPr>
      <w:bookmarkStart w:id="144" w:name="_Toc309377236"/>
      <w:r>
        <w:rPr>
          <w:rStyle w:val="42"/>
          <w:rFonts w:hint="eastAsia" w:asciiTheme="majorEastAsia" w:hAnsiTheme="majorEastAsia" w:eastAsiaTheme="majorEastAsia" w:cstheme="majorEastAsia"/>
          <w:sz w:val="32"/>
          <w:szCs w:val="32"/>
          <w:highlight w:val="none"/>
        </w:rPr>
        <w:br w:type="page"/>
      </w:r>
    </w:p>
    <w:tbl>
      <w:tblPr>
        <w:tblStyle w:val="36"/>
        <w:tblpPr w:leftFromText="180" w:rightFromText="180" w:vertAnchor="text" w:horzAnchor="page" w:tblpX="1495" w:tblpY="640"/>
        <w:tblOverlap w:val="never"/>
        <w:tblW w:w="9003" w:type="dxa"/>
        <w:tblInd w:w="0" w:type="dxa"/>
        <w:tblLayout w:type="fixed"/>
        <w:tblCellMar>
          <w:top w:w="0" w:type="dxa"/>
          <w:left w:w="108" w:type="dxa"/>
          <w:bottom w:w="0" w:type="dxa"/>
          <w:right w:w="108" w:type="dxa"/>
        </w:tblCellMar>
      </w:tblPr>
      <w:tblGrid>
        <w:gridCol w:w="1231"/>
        <w:gridCol w:w="1388"/>
        <w:gridCol w:w="6384"/>
      </w:tblGrid>
      <w:tr w14:paraId="60A05AD5">
        <w:tblPrEx>
          <w:tblCellMar>
            <w:top w:w="0" w:type="dxa"/>
            <w:left w:w="108" w:type="dxa"/>
            <w:bottom w:w="0" w:type="dxa"/>
            <w:right w:w="108" w:type="dxa"/>
          </w:tblCellMar>
        </w:tblPrEx>
        <w:trPr>
          <w:trHeight w:val="454" w:hRule="atLeast"/>
        </w:trPr>
        <w:tc>
          <w:tcPr>
            <w:tcW w:w="2619" w:type="dxa"/>
            <w:gridSpan w:val="2"/>
            <w:tcBorders>
              <w:top w:val="single" w:color="auto" w:sz="4" w:space="0"/>
              <w:left w:val="single" w:color="auto" w:sz="4" w:space="0"/>
              <w:bottom w:val="single" w:color="auto" w:sz="4" w:space="0"/>
              <w:right w:val="single" w:color="auto" w:sz="4" w:space="0"/>
            </w:tcBorders>
            <w:vAlign w:val="center"/>
          </w:tcPr>
          <w:p w14:paraId="6C077DE7">
            <w:pPr>
              <w:spacing w:line="440" w:lineRule="exact"/>
              <w:jc w:val="center"/>
              <w:rPr>
                <w:rFonts w:ascii="宋体" w:hAnsi="宋体" w:cs="宋体"/>
                <w:sz w:val="24"/>
                <w:szCs w:val="24"/>
                <w:highlight w:val="none"/>
              </w:rPr>
            </w:pPr>
            <w:bookmarkStart w:id="145" w:name="_Toc29010"/>
            <w:r>
              <w:rPr>
                <w:rFonts w:hint="eastAsia" w:ascii="宋体" w:hAnsi="宋体" w:cs="宋体"/>
                <w:sz w:val="24"/>
                <w:szCs w:val="24"/>
                <w:highlight w:val="none"/>
              </w:rPr>
              <w:t>评审因素</w:t>
            </w:r>
          </w:p>
        </w:tc>
        <w:tc>
          <w:tcPr>
            <w:tcW w:w="6384" w:type="dxa"/>
            <w:tcBorders>
              <w:top w:val="single" w:color="auto" w:sz="4" w:space="0"/>
              <w:left w:val="nil"/>
              <w:bottom w:val="single" w:color="auto" w:sz="4" w:space="0"/>
              <w:right w:val="single" w:color="auto" w:sz="4" w:space="0"/>
            </w:tcBorders>
            <w:vAlign w:val="center"/>
          </w:tcPr>
          <w:p w14:paraId="1A131839">
            <w:pPr>
              <w:spacing w:line="440" w:lineRule="exact"/>
              <w:jc w:val="center"/>
              <w:rPr>
                <w:rFonts w:ascii="宋体" w:hAnsi="宋体" w:cs="宋体"/>
                <w:sz w:val="24"/>
                <w:szCs w:val="24"/>
                <w:highlight w:val="none"/>
              </w:rPr>
            </w:pPr>
            <w:r>
              <w:rPr>
                <w:rFonts w:hint="eastAsia" w:ascii="宋体" w:hAnsi="宋体" w:cs="宋体"/>
                <w:sz w:val="24"/>
                <w:szCs w:val="24"/>
                <w:highlight w:val="none"/>
              </w:rPr>
              <w:t>评分标准</w:t>
            </w:r>
          </w:p>
        </w:tc>
      </w:tr>
      <w:tr w14:paraId="50256F7A">
        <w:tblPrEx>
          <w:tblCellMar>
            <w:top w:w="0" w:type="dxa"/>
            <w:left w:w="108" w:type="dxa"/>
            <w:bottom w:w="0" w:type="dxa"/>
            <w:right w:w="108" w:type="dxa"/>
          </w:tblCellMar>
        </w:tblPrEx>
        <w:trPr>
          <w:trHeight w:val="90" w:hRule="atLeast"/>
        </w:trPr>
        <w:tc>
          <w:tcPr>
            <w:tcW w:w="2619" w:type="dxa"/>
            <w:gridSpan w:val="2"/>
            <w:tcBorders>
              <w:top w:val="single" w:color="auto" w:sz="4" w:space="0"/>
              <w:left w:val="single" w:color="auto" w:sz="4" w:space="0"/>
              <w:bottom w:val="single" w:color="auto" w:sz="4" w:space="0"/>
              <w:right w:val="single" w:color="auto" w:sz="4" w:space="0"/>
            </w:tcBorders>
            <w:vAlign w:val="center"/>
          </w:tcPr>
          <w:p w14:paraId="0AA07B46">
            <w:pPr>
              <w:spacing w:line="460" w:lineRule="exact"/>
              <w:jc w:val="center"/>
              <w:rPr>
                <w:rFonts w:ascii="宋体" w:hAnsi="宋体" w:cs="宋体"/>
                <w:sz w:val="24"/>
                <w:szCs w:val="24"/>
                <w:highlight w:val="none"/>
              </w:rPr>
            </w:pPr>
            <w:r>
              <w:rPr>
                <w:rFonts w:hint="eastAsia" w:ascii="宋体" w:hAnsi="宋体" w:cs="宋体"/>
                <w:sz w:val="24"/>
                <w:szCs w:val="24"/>
                <w:highlight w:val="none"/>
              </w:rPr>
              <w:t>投标报价</w:t>
            </w:r>
          </w:p>
          <w:p w14:paraId="2376A25E">
            <w:pPr>
              <w:spacing w:line="460" w:lineRule="exact"/>
              <w:jc w:val="center"/>
              <w:rPr>
                <w:rFonts w:ascii="宋体" w:hAnsi="宋体" w:cs="宋体"/>
                <w:sz w:val="24"/>
                <w:szCs w:val="24"/>
                <w:highlight w:val="none"/>
              </w:rPr>
            </w:pPr>
            <w:r>
              <w:rPr>
                <w:rFonts w:hint="eastAsia" w:ascii="宋体" w:hAnsi="宋体" w:cs="宋体"/>
                <w:sz w:val="24"/>
                <w:szCs w:val="24"/>
                <w:highlight w:val="none"/>
                <w:lang w:val="en-US" w:eastAsia="zh-CN"/>
              </w:rPr>
              <w:t>（30</w:t>
            </w:r>
            <w:r>
              <w:rPr>
                <w:rFonts w:hint="eastAsia" w:ascii="宋体" w:hAnsi="宋体" w:cs="宋体"/>
                <w:sz w:val="24"/>
                <w:szCs w:val="24"/>
                <w:highlight w:val="none"/>
              </w:rPr>
              <w:t>分</w:t>
            </w:r>
            <w:r>
              <w:rPr>
                <w:rFonts w:hint="eastAsia" w:ascii="宋体" w:hAnsi="宋体" w:cs="宋体"/>
                <w:sz w:val="24"/>
                <w:szCs w:val="24"/>
                <w:highlight w:val="none"/>
                <w:lang w:val="en-US" w:eastAsia="zh-CN"/>
              </w:rPr>
              <w:t>）</w:t>
            </w:r>
          </w:p>
        </w:tc>
        <w:tc>
          <w:tcPr>
            <w:tcW w:w="6384" w:type="dxa"/>
            <w:tcBorders>
              <w:top w:val="single" w:color="auto" w:sz="4" w:space="0"/>
              <w:left w:val="nil"/>
              <w:bottom w:val="single" w:color="auto" w:sz="4" w:space="0"/>
              <w:right w:val="single" w:color="auto" w:sz="4" w:space="0"/>
            </w:tcBorders>
            <w:vAlign w:val="center"/>
          </w:tcPr>
          <w:p w14:paraId="2DE21E47">
            <w:pPr>
              <w:spacing w:line="44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各投标人的有效投标报价与评标基准价相比较，与评标基准价相等的得</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0分；按插入法每高于评标基准价1%在</w:t>
            </w: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cs="宋体"/>
                <w:color w:val="000000" w:themeColor="text1"/>
                <w:sz w:val="24"/>
                <w:szCs w:val="24"/>
                <w:highlight w:val="none"/>
                <w14:textFill>
                  <w14:solidFill>
                    <w14:schemeClr w14:val="tx1"/>
                  </w14:solidFill>
                </w14:textFill>
              </w:rPr>
              <w:t>分基础上减0.</w:t>
            </w:r>
            <w:r>
              <w:rPr>
                <w:rFonts w:hint="eastAsia" w:ascii="宋体" w:hAnsi="宋体" w:cs="宋体"/>
                <w:color w:val="000000" w:themeColor="text1"/>
                <w:sz w:val="24"/>
                <w:szCs w:val="24"/>
                <w:highlight w:val="none"/>
                <w:lang w:val="en-US" w:eastAsia="zh-CN"/>
                <w14:textFill>
                  <w14:solidFill>
                    <w14:schemeClr w14:val="tx1"/>
                  </w14:solidFill>
                </w14:textFill>
              </w:rPr>
              <w:t>02</w:t>
            </w:r>
            <w:r>
              <w:rPr>
                <w:rFonts w:hint="eastAsia" w:ascii="宋体" w:hAnsi="宋体" w:cs="宋体"/>
                <w:color w:val="000000" w:themeColor="text1"/>
                <w:sz w:val="24"/>
                <w:szCs w:val="24"/>
                <w:highlight w:val="none"/>
                <w14:textFill>
                  <w14:solidFill>
                    <w14:schemeClr w14:val="tx1"/>
                  </w14:solidFill>
                </w14:textFill>
              </w:rPr>
              <w:t>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商值</w:t>
            </w:r>
            <w:r>
              <w:rPr>
                <w:rFonts w:hint="eastAsia" w:ascii="宋体" w:hAnsi="宋体" w:eastAsia="宋体" w:cs="宋体"/>
                <w:sz w:val="24"/>
                <w:szCs w:val="24"/>
                <w:lang w:eastAsia="zh-CN"/>
              </w:rPr>
              <w:t>）</w:t>
            </w:r>
            <w:r>
              <w:rPr>
                <w:rFonts w:hint="eastAsia" w:ascii="宋体" w:hAnsi="宋体" w:cs="宋体"/>
                <w:color w:val="000000" w:themeColor="text1"/>
                <w:sz w:val="24"/>
                <w:szCs w:val="24"/>
                <w:highlight w:val="none"/>
                <w14:textFill>
                  <w14:solidFill>
                    <w14:schemeClr w14:val="tx1"/>
                  </w14:solidFill>
                </w14:textFill>
              </w:rPr>
              <w:t>，每低于评标基准价1%在</w:t>
            </w: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cs="宋体"/>
                <w:color w:val="000000" w:themeColor="text1"/>
                <w:sz w:val="24"/>
                <w:szCs w:val="24"/>
                <w:highlight w:val="none"/>
                <w14:textFill>
                  <w14:solidFill>
                    <w14:schemeClr w14:val="tx1"/>
                  </w14:solidFill>
                </w14:textFill>
              </w:rPr>
              <w:t>分基础上减 0.</w:t>
            </w:r>
            <w:r>
              <w:rPr>
                <w:rFonts w:hint="eastAsia" w:ascii="宋体" w:hAnsi="宋体" w:cs="宋体"/>
                <w:color w:val="000000" w:themeColor="text1"/>
                <w:sz w:val="24"/>
                <w:szCs w:val="24"/>
                <w:highlight w:val="none"/>
                <w:lang w:val="en-US" w:eastAsia="zh-CN"/>
                <w14:textFill>
                  <w14:solidFill>
                    <w14:schemeClr w14:val="tx1"/>
                  </w14:solidFill>
                </w14:textFill>
              </w:rPr>
              <w:t>02</w:t>
            </w:r>
            <w:r>
              <w:rPr>
                <w:rFonts w:hint="eastAsia" w:ascii="宋体" w:hAnsi="宋体" w:cs="宋体"/>
                <w:color w:val="000000" w:themeColor="text1"/>
                <w:sz w:val="24"/>
                <w:szCs w:val="24"/>
                <w:highlight w:val="none"/>
                <w14:textFill>
                  <w14:solidFill>
                    <w14:schemeClr w14:val="tx1"/>
                  </w14:solidFill>
                </w14:textFill>
              </w:rPr>
              <w:t>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商值</w:t>
            </w:r>
            <w:r>
              <w:rPr>
                <w:rFonts w:hint="eastAsia" w:ascii="宋体" w:hAnsi="宋体" w:eastAsia="宋体" w:cs="宋体"/>
                <w:sz w:val="24"/>
                <w:szCs w:val="24"/>
                <w:lang w:eastAsia="zh-CN"/>
              </w:rPr>
              <w:t>）</w:t>
            </w:r>
            <w:r>
              <w:rPr>
                <w:rFonts w:hint="eastAsia" w:ascii="宋体" w:hAnsi="宋体" w:cs="宋体"/>
                <w:color w:val="000000" w:themeColor="text1"/>
                <w:sz w:val="24"/>
                <w:szCs w:val="24"/>
                <w:highlight w:val="none"/>
                <w14:textFill>
                  <w14:solidFill>
                    <w14:schemeClr w14:val="tx1"/>
                  </w14:solidFill>
                </w14:textFill>
              </w:rPr>
              <w:t>，本项最低得</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cs="宋体"/>
                <w:color w:val="000000" w:themeColor="text1"/>
                <w:sz w:val="24"/>
                <w:szCs w:val="24"/>
                <w:highlight w:val="none"/>
                <w14:textFill>
                  <w14:solidFill>
                    <w14:schemeClr w14:val="tx1"/>
                  </w14:solidFill>
                </w14:textFill>
              </w:rPr>
              <w:t>分。（按四舍五入法计算，保留小数点后两位有效数字）</w:t>
            </w:r>
          </w:p>
        </w:tc>
      </w:tr>
      <w:tr w14:paraId="02039389">
        <w:tblPrEx>
          <w:tblCellMar>
            <w:top w:w="0" w:type="dxa"/>
            <w:left w:w="108" w:type="dxa"/>
            <w:bottom w:w="0" w:type="dxa"/>
            <w:right w:w="108" w:type="dxa"/>
          </w:tblCellMar>
        </w:tblPrEx>
        <w:trPr>
          <w:trHeight w:val="2838" w:hRule="atLeast"/>
        </w:trPr>
        <w:tc>
          <w:tcPr>
            <w:tcW w:w="1231" w:type="dxa"/>
            <w:vMerge w:val="restart"/>
            <w:tcBorders>
              <w:top w:val="single" w:color="auto" w:sz="4" w:space="0"/>
              <w:left w:val="single" w:color="auto" w:sz="4" w:space="0"/>
              <w:right w:val="single" w:color="auto" w:sz="4" w:space="0"/>
            </w:tcBorders>
            <w:vAlign w:val="center"/>
          </w:tcPr>
          <w:p w14:paraId="23D08047">
            <w:pPr>
              <w:pStyle w:val="88"/>
              <w:spacing w:before="1" w:line="364" w:lineRule="auto"/>
              <w:ind w:left="108" w:right="100"/>
              <w:jc w:val="center"/>
              <w:rPr>
                <w:color w:val="auto"/>
                <w:sz w:val="24"/>
                <w:szCs w:val="24"/>
              </w:rPr>
            </w:pPr>
            <w:r>
              <w:rPr>
                <w:color w:val="auto"/>
                <w:sz w:val="24"/>
                <w:szCs w:val="24"/>
              </w:rPr>
              <w:t>商务</w:t>
            </w:r>
          </w:p>
          <w:p w14:paraId="32BB3EC9">
            <w:pPr>
              <w:pStyle w:val="88"/>
              <w:spacing w:before="1" w:line="364" w:lineRule="auto"/>
              <w:ind w:left="108" w:right="100"/>
              <w:jc w:val="center"/>
              <w:rPr>
                <w:color w:val="auto"/>
                <w:sz w:val="24"/>
                <w:szCs w:val="24"/>
              </w:rPr>
            </w:pPr>
            <w:r>
              <w:rPr>
                <w:color w:val="auto"/>
                <w:sz w:val="24"/>
                <w:szCs w:val="24"/>
              </w:rPr>
              <w:t>部分</w:t>
            </w:r>
          </w:p>
          <w:p w14:paraId="591AEE45">
            <w:pPr>
              <w:spacing w:line="460" w:lineRule="exact"/>
              <w:jc w:val="center"/>
              <w:rPr>
                <w:rFonts w:ascii="宋体" w:hAnsi="宋体" w:cs="宋体"/>
                <w:sz w:val="24"/>
                <w:szCs w:val="24"/>
                <w:highlight w:val="none"/>
              </w:rPr>
            </w:pPr>
            <w:r>
              <w:rPr>
                <w:rFonts w:hint="eastAsia" w:ascii="宋体" w:hAnsi="宋体" w:cs="宋体"/>
                <w:sz w:val="24"/>
                <w:szCs w:val="24"/>
                <w:highlight w:val="none"/>
                <w:lang w:val="en-US" w:eastAsia="zh-CN"/>
              </w:rPr>
              <w:t>（15分）</w:t>
            </w:r>
          </w:p>
        </w:tc>
        <w:tc>
          <w:tcPr>
            <w:tcW w:w="1388" w:type="dxa"/>
            <w:tcBorders>
              <w:top w:val="single" w:color="auto" w:sz="4" w:space="0"/>
              <w:left w:val="nil"/>
              <w:right w:val="single" w:color="auto" w:sz="4" w:space="0"/>
            </w:tcBorders>
            <w:vAlign w:val="center"/>
          </w:tcPr>
          <w:p w14:paraId="0F9AFA23">
            <w:pPr>
              <w:pStyle w:val="88"/>
              <w:spacing w:before="182" w:line="364" w:lineRule="auto"/>
              <w:ind w:left="108" w:right="97" w:hanging="3"/>
              <w:jc w:val="center"/>
              <w:rPr>
                <w:rFonts w:hint="eastAsia" w:ascii="宋体" w:hAnsi="宋体" w:eastAsia="宋体" w:cs="宋体"/>
                <w:color w:val="auto"/>
                <w:spacing w:val="-9"/>
                <w:sz w:val="24"/>
                <w:szCs w:val="24"/>
                <w:highlight w:val="none"/>
                <w:lang w:val="en-US" w:eastAsia="zh-CN"/>
              </w:rPr>
            </w:pPr>
            <w:r>
              <w:rPr>
                <w:rFonts w:hint="eastAsia" w:ascii="宋体" w:hAnsi="宋体" w:eastAsia="宋体" w:cs="宋体"/>
                <w:color w:val="auto"/>
                <w:spacing w:val="-9"/>
                <w:sz w:val="24"/>
                <w:szCs w:val="24"/>
                <w:highlight w:val="none"/>
                <w:lang w:val="en-US" w:eastAsia="zh-CN"/>
              </w:rPr>
              <w:t>业绩</w:t>
            </w:r>
          </w:p>
          <w:p w14:paraId="3E3AA28B">
            <w:pPr>
              <w:pStyle w:val="88"/>
              <w:spacing w:before="182" w:line="364" w:lineRule="auto"/>
              <w:ind w:left="108" w:right="97" w:hanging="3"/>
              <w:jc w:val="center"/>
              <w:rPr>
                <w:rFonts w:hint="eastAsia" w:eastAsia="宋体"/>
                <w:color w:val="auto"/>
                <w:spacing w:val="-9"/>
                <w:sz w:val="24"/>
                <w:szCs w:val="24"/>
                <w:highlight w:val="none"/>
                <w:lang w:val="en-US" w:eastAsia="zh-CN"/>
              </w:rPr>
            </w:pPr>
            <w:r>
              <w:rPr>
                <w:rFonts w:hint="eastAsia" w:ascii="宋体" w:hAnsi="宋体" w:eastAsia="宋体" w:cs="宋体"/>
                <w:color w:val="auto"/>
                <w:spacing w:val="-9"/>
                <w:sz w:val="24"/>
                <w:szCs w:val="24"/>
                <w:highlight w:val="none"/>
                <w:lang w:val="en-US" w:eastAsia="zh-CN"/>
              </w:rPr>
              <w:t>（10分）</w:t>
            </w:r>
          </w:p>
        </w:tc>
        <w:tc>
          <w:tcPr>
            <w:tcW w:w="6384" w:type="dxa"/>
            <w:tcBorders>
              <w:top w:val="single" w:color="auto" w:sz="4" w:space="0"/>
              <w:left w:val="nil"/>
              <w:bottom w:val="single" w:color="auto" w:sz="4" w:space="0"/>
              <w:right w:val="single" w:color="auto" w:sz="4" w:space="0"/>
            </w:tcBorders>
            <w:vAlign w:val="center"/>
          </w:tcPr>
          <w:p w14:paraId="776E72B1">
            <w:pPr>
              <w:pStyle w:val="88"/>
              <w:spacing w:before="182" w:line="364" w:lineRule="auto"/>
              <w:ind w:left="108" w:right="97" w:hanging="3"/>
              <w:jc w:val="left"/>
              <w:rPr>
                <w:rFonts w:hint="eastAsia" w:ascii="宋体" w:hAnsi="宋体" w:eastAsia="宋体" w:cs="宋体"/>
                <w:color w:val="auto"/>
                <w:spacing w:val="-9"/>
                <w:sz w:val="24"/>
                <w:szCs w:val="24"/>
                <w:highlight w:val="none"/>
                <w:lang w:val="en-US" w:eastAsia="zh-CN"/>
              </w:rPr>
            </w:pPr>
            <w:r>
              <w:rPr>
                <w:rFonts w:hint="eastAsia" w:ascii="宋体" w:hAnsi="宋体" w:eastAsia="宋体" w:cs="宋体"/>
                <w:color w:val="auto"/>
                <w:spacing w:val="-9"/>
                <w:sz w:val="24"/>
                <w:szCs w:val="24"/>
                <w:highlight w:val="none"/>
                <w:lang w:val="en-US" w:eastAsia="zh-CN"/>
              </w:rPr>
              <w:t>企业提供2022年1月1日（含）以来（以合同签订日期为准）承担的造价咨询类业绩（造价审计（审核、评审、跟踪审计）</w:t>
            </w:r>
            <w:r>
              <w:rPr>
                <w:rFonts w:hint="eastAsia" w:cs="宋体"/>
                <w:color w:val="auto"/>
                <w:spacing w:val="-9"/>
                <w:sz w:val="24"/>
                <w:szCs w:val="24"/>
                <w:highlight w:val="none"/>
                <w:lang w:val="en-US" w:eastAsia="zh-CN"/>
              </w:rPr>
              <w:t>）</w:t>
            </w:r>
            <w:r>
              <w:rPr>
                <w:rFonts w:hint="eastAsia" w:ascii="宋体" w:hAnsi="宋体" w:eastAsia="宋体" w:cs="宋体"/>
                <w:color w:val="auto"/>
                <w:spacing w:val="-9"/>
                <w:sz w:val="24"/>
                <w:szCs w:val="24"/>
                <w:highlight w:val="none"/>
                <w:lang w:val="en-US" w:eastAsia="zh-CN"/>
              </w:rPr>
              <w:t>，每个得2分，累计最多得10分。</w:t>
            </w:r>
          </w:p>
          <w:p w14:paraId="3BB5ED41">
            <w:pPr>
              <w:spacing w:line="440" w:lineRule="exact"/>
              <w:jc w:val="left"/>
              <w:rPr>
                <w:rFonts w:hint="eastAsia" w:ascii="宋体" w:hAnsi="宋体" w:eastAsia="宋体" w:cs="宋体"/>
                <w:b w:val="0"/>
                <w:bCs w:val="0"/>
                <w:snapToGrid w:val="0"/>
                <w:color w:val="auto"/>
                <w:kern w:val="0"/>
                <w:sz w:val="24"/>
                <w:szCs w:val="24"/>
                <w:highlight w:val="none"/>
                <w:shd w:val="clear" w:color="auto" w:fill="auto"/>
                <w:lang w:val="en-US" w:eastAsia="zh-CN" w:bidi="ar"/>
              </w:rPr>
            </w:pPr>
            <w:r>
              <w:rPr>
                <w:rFonts w:hint="eastAsia" w:ascii="宋体" w:hAnsi="宋体" w:cs="宋体"/>
                <w:b w:val="0"/>
                <w:bCs w:val="0"/>
                <w:snapToGrid w:val="0"/>
                <w:color w:val="auto"/>
                <w:kern w:val="0"/>
                <w:sz w:val="24"/>
                <w:szCs w:val="24"/>
                <w:highlight w:val="none"/>
                <w:shd w:val="clear" w:color="auto" w:fill="auto"/>
                <w:lang w:val="en-US" w:eastAsia="zh-CN" w:bidi="ar"/>
              </w:rPr>
              <w:t>注：</w:t>
            </w:r>
            <w:r>
              <w:rPr>
                <w:rFonts w:hint="eastAsia" w:ascii="宋体" w:hAnsi="宋体" w:eastAsia="宋体" w:cs="宋体"/>
                <w:b w:val="0"/>
                <w:bCs w:val="0"/>
                <w:snapToGrid w:val="0"/>
                <w:color w:val="auto"/>
                <w:kern w:val="0"/>
                <w:sz w:val="24"/>
                <w:szCs w:val="24"/>
                <w:highlight w:val="none"/>
                <w:shd w:val="clear" w:color="auto" w:fill="auto"/>
                <w:lang w:val="en-US" w:eastAsia="zh-CN" w:bidi="ar"/>
              </w:rPr>
              <w:t>业绩须提供咨询合同(协议书)原件扫描件附</w:t>
            </w:r>
            <w:r>
              <w:rPr>
                <w:rFonts w:hint="eastAsia" w:ascii="宋体" w:hAnsi="宋体" w:eastAsia="宋体" w:cs="宋体"/>
                <w:b w:val="0"/>
                <w:bCs w:val="0"/>
                <w:snapToGrid/>
                <w:color w:val="auto"/>
                <w:kern w:val="2"/>
                <w:sz w:val="24"/>
                <w:szCs w:val="24"/>
                <w:highlight w:val="none"/>
                <w:shd w:val="clear" w:color="auto" w:fill="auto"/>
                <w:lang w:val="en-US" w:eastAsia="zh-CN" w:bidi="ar-SA"/>
              </w:rPr>
              <w:t>在投标文件中</w:t>
            </w:r>
            <w:r>
              <w:rPr>
                <w:rFonts w:hint="eastAsia" w:ascii="宋体" w:hAnsi="宋体" w:eastAsia="宋体" w:cs="宋体"/>
                <w:b w:val="0"/>
                <w:bCs w:val="0"/>
                <w:snapToGrid w:val="0"/>
                <w:color w:val="auto"/>
                <w:kern w:val="0"/>
                <w:sz w:val="24"/>
                <w:szCs w:val="24"/>
                <w:highlight w:val="none"/>
                <w:shd w:val="clear" w:color="auto" w:fill="auto"/>
                <w:lang w:val="en-US" w:eastAsia="zh-CN" w:bidi="ar"/>
              </w:rPr>
              <w:t>，</w:t>
            </w:r>
            <w:r>
              <w:rPr>
                <w:rFonts w:hint="eastAsia" w:ascii="宋体" w:hAnsi="宋体" w:eastAsia="宋体" w:cs="宋体"/>
                <w:b w:val="0"/>
                <w:bCs w:val="0"/>
                <w:snapToGrid/>
                <w:color w:val="auto"/>
                <w:kern w:val="2"/>
                <w:sz w:val="24"/>
                <w:szCs w:val="24"/>
                <w:highlight w:val="none"/>
                <w:shd w:val="clear" w:color="auto" w:fill="auto"/>
                <w:lang w:val="en-US" w:eastAsia="zh-CN" w:bidi="ar-SA"/>
              </w:rPr>
              <w:t>否则本项不得分。</w:t>
            </w:r>
          </w:p>
        </w:tc>
      </w:tr>
      <w:tr w14:paraId="2E31D364">
        <w:tblPrEx>
          <w:tblCellMar>
            <w:top w:w="0" w:type="dxa"/>
            <w:left w:w="108" w:type="dxa"/>
            <w:bottom w:w="0" w:type="dxa"/>
            <w:right w:w="108" w:type="dxa"/>
          </w:tblCellMar>
        </w:tblPrEx>
        <w:trPr>
          <w:trHeight w:val="3272" w:hRule="atLeast"/>
        </w:trPr>
        <w:tc>
          <w:tcPr>
            <w:tcW w:w="1231" w:type="dxa"/>
            <w:vMerge w:val="continue"/>
            <w:tcBorders>
              <w:left w:val="single" w:color="auto" w:sz="4" w:space="0"/>
              <w:right w:val="single" w:color="auto" w:sz="4" w:space="0"/>
            </w:tcBorders>
            <w:vAlign w:val="center"/>
          </w:tcPr>
          <w:p w14:paraId="2F0EA9C5">
            <w:pPr>
              <w:spacing w:line="460" w:lineRule="exact"/>
              <w:jc w:val="center"/>
              <w:rPr>
                <w:rFonts w:ascii="宋体" w:hAnsi="宋体" w:cs="宋体"/>
                <w:sz w:val="24"/>
                <w:szCs w:val="24"/>
                <w:highlight w:val="none"/>
              </w:rPr>
            </w:pPr>
          </w:p>
        </w:tc>
        <w:tc>
          <w:tcPr>
            <w:tcW w:w="1388" w:type="dxa"/>
            <w:tcBorders>
              <w:top w:val="single" w:color="auto" w:sz="4" w:space="0"/>
              <w:left w:val="nil"/>
              <w:right w:val="single" w:color="auto" w:sz="4" w:space="0"/>
            </w:tcBorders>
            <w:vAlign w:val="center"/>
          </w:tcPr>
          <w:p w14:paraId="2E9B0F5E">
            <w:pPr>
              <w:pStyle w:val="88"/>
              <w:spacing w:before="182" w:line="364" w:lineRule="auto"/>
              <w:ind w:left="108" w:right="97" w:hanging="3"/>
              <w:jc w:val="center"/>
              <w:rPr>
                <w:color w:val="auto"/>
                <w:sz w:val="24"/>
                <w:szCs w:val="24"/>
              </w:rPr>
            </w:pPr>
            <w:r>
              <w:rPr>
                <w:color w:val="auto"/>
                <w:sz w:val="24"/>
                <w:szCs w:val="24"/>
              </w:rPr>
              <w:t>项目组</w:t>
            </w:r>
          </w:p>
          <w:p w14:paraId="683BA389">
            <w:pPr>
              <w:pStyle w:val="88"/>
              <w:spacing w:before="182" w:line="364" w:lineRule="auto"/>
              <w:ind w:left="108" w:right="97" w:hanging="3"/>
              <w:jc w:val="center"/>
              <w:rPr>
                <w:color w:val="auto"/>
                <w:spacing w:val="-9"/>
                <w:sz w:val="24"/>
                <w:szCs w:val="24"/>
              </w:rPr>
            </w:pPr>
            <w:r>
              <w:rPr>
                <w:color w:val="auto"/>
                <w:sz w:val="24"/>
                <w:szCs w:val="24"/>
              </w:rPr>
              <w:t>人</w:t>
            </w:r>
            <w:r>
              <w:rPr>
                <w:color w:val="auto"/>
                <w:spacing w:val="-9"/>
                <w:sz w:val="24"/>
                <w:szCs w:val="24"/>
              </w:rPr>
              <w:t>员配备</w:t>
            </w:r>
          </w:p>
          <w:p w14:paraId="3112612E">
            <w:pPr>
              <w:spacing w:line="460" w:lineRule="exact"/>
              <w:jc w:val="center"/>
              <w:rPr>
                <w:rFonts w:hint="eastAsia" w:ascii="宋体" w:hAnsi="宋体" w:eastAsia="宋体" w:cs="宋体"/>
                <w:sz w:val="24"/>
                <w:szCs w:val="24"/>
                <w:highlight w:val="none"/>
                <w:lang w:val="en-US" w:eastAsia="zh-CN"/>
              </w:rPr>
            </w:pPr>
            <w:r>
              <w:rPr>
                <w:color w:val="auto"/>
                <w:spacing w:val="-9"/>
                <w:sz w:val="24"/>
                <w:szCs w:val="24"/>
              </w:rPr>
              <w:t>（</w:t>
            </w:r>
            <w:r>
              <w:rPr>
                <w:rFonts w:hint="eastAsia"/>
                <w:color w:val="auto"/>
                <w:spacing w:val="-9"/>
                <w:sz w:val="24"/>
                <w:szCs w:val="24"/>
                <w:lang w:val="en-US" w:eastAsia="zh-CN"/>
              </w:rPr>
              <w:t>5</w:t>
            </w:r>
            <w:r>
              <w:rPr>
                <w:color w:val="auto"/>
                <w:sz w:val="24"/>
                <w:szCs w:val="24"/>
              </w:rPr>
              <w:t>分</w:t>
            </w:r>
            <w:r>
              <w:rPr>
                <w:rFonts w:hint="eastAsia"/>
                <w:color w:val="auto"/>
                <w:sz w:val="24"/>
                <w:szCs w:val="24"/>
                <w:lang w:eastAsia="zh-CN"/>
              </w:rPr>
              <w:t>）</w:t>
            </w:r>
          </w:p>
        </w:tc>
        <w:tc>
          <w:tcPr>
            <w:tcW w:w="6384" w:type="dxa"/>
            <w:tcBorders>
              <w:top w:val="single" w:color="auto" w:sz="4" w:space="0"/>
              <w:left w:val="nil"/>
              <w:bottom w:val="single" w:color="auto" w:sz="4" w:space="0"/>
              <w:right w:val="single" w:color="auto" w:sz="4" w:space="0"/>
            </w:tcBorders>
            <w:vAlign w:val="center"/>
          </w:tcPr>
          <w:p w14:paraId="640C6BC9">
            <w:pPr>
              <w:spacing w:line="440" w:lineRule="exact"/>
              <w:jc w:val="left"/>
              <w:rPr>
                <w:rFonts w:hint="eastAsia" w:ascii="宋体" w:hAnsi="宋体" w:eastAsia="宋体" w:cs="宋体"/>
                <w:b w:val="0"/>
                <w:bCs w:val="0"/>
                <w:snapToGrid w:val="0"/>
                <w:color w:val="auto"/>
                <w:kern w:val="0"/>
                <w:sz w:val="24"/>
                <w:szCs w:val="24"/>
                <w:shd w:val="clear" w:color="auto" w:fill="auto"/>
                <w:lang w:val="en-US" w:eastAsia="zh-CN" w:bidi="ar"/>
              </w:rPr>
            </w:pPr>
            <w:r>
              <w:rPr>
                <w:rFonts w:hint="eastAsia" w:ascii="宋体" w:hAnsi="宋体" w:eastAsia="宋体" w:cs="宋体"/>
                <w:b w:val="0"/>
                <w:bCs w:val="0"/>
                <w:snapToGrid w:val="0"/>
                <w:color w:val="auto"/>
                <w:kern w:val="0"/>
                <w:sz w:val="24"/>
                <w:szCs w:val="24"/>
                <w:shd w:val="clear" w:color="auto" w:fill="auto"/>
                <w:lang w:val="en-US" w:eastAsia="zh-CN" w:bidi="ar"/>
              </w:rPr>
              <w:t>（1）拟派项目负责人为具有高级职称得2分；拟派项目负责人为具有中级职称得1分；最多得2分。</w:t>
            </w:r>
          </w:p>
          <w:p w14:paraId="636F6433">
            <w:pPr>
              <w:spacing w:line="440" w:lineRule="exact"/>
              <w:jc w:val="left"/>
              <w:rPr>
                <w:rFonts w:hint="eastAsia" w:ascii="宋体" w:hAnsi="宋体" w:eastAsia="宋体" w:cs="宋体"/>
                <w:b w:val="0"/>
                <w:bCs w:val="0"/>
                <w:snapToGrid w:val="0"/>
                <w:color w:val="auto"/>
                <w:kern w:val="0"/>
                <w:sz w:val="24"/>
                <w:szCs w:val="24"/>
                <w:shd w:val="clear" w:color="auto" w:fill="auto"/>
                <w:lang w:val="en-US" w:eastAsia="zh-CN" w:bidi="ar"/>
              </w:rPr>
            </w:pPr>
            <w:r>
              <w:rPr>
                <w:rFonts w:hint="eastAsia" w:ascii="宋体" w:hAnsi="宋体" w:eastAsia="宋体" w:cs="宋体"/>
                <w:b w:val="0"/>
                <w:bCs w:val="0"/>
                <w:snapToGrid w:val="0"/>
                <w:color w:val="auto"/>
                <w:kern w:val="0"/>
                <w:sz w:val="24"/>
                <w:szCs w:val="24"/>
                <w:shd w:val="clear" w:color="auto" w:fill="auto"/>
                <w:lang w:val="en-US" w:eastAsia="zh-CN" w:bidi="ar"/>
              </w:rPr>
              <w:t>（2）拟派项目班子配备人员（项目负责人除外）具有一级造价工程师 (注册造价工程师，不分专业) 的，每有 1 人得 1 分，最多得 3分。</w:t>
            </w:r>
          </w:p>
          <w:p w14:paraId="75961F57">
            <w:pPr>
              <w:spacing w:line="440" w:lineRule="exact"/>
              <w:jc w:val="left"/>
              <w:rPr>
                <w:rFonts w:hint="default"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val="0"/>
                <w:bCs w:val="0"/>
                <w:snapToGrid w:val="0"/>
                <w:color w:val="auto"/>
                <w:kern w:val="0"/>
                <w:sz w:val="24"/>
                <w:szCs w:val="24"/>
                <w:shd w:val="clear" w:color="auto" w:fill="auto"/>
                <w:lang w:val="en-US" w:eastAsia="zh-CN" w:bidi="ar"/>
              </w:rPr>
              <w:t>注：以上项目管理班子人员必须为本单位在职职工（提供开标之日近六个月内任意月份社保证明资料扫描件），提供以上人员有效的身份证、证书扫描件附</w:t>
            </w:r>
            <w:r>
              <w:rPr>
                <w:rFonts w:hint="eastAsia" w:ascii="宋体" w:hAnsi="宋体" w:eastAsia="宋体" w:cs="宋体"/>
                <w:b w:val="0"/>
                <w:bCs w:val="0"/>
                <w:snapToGrid/>
                <w:color w:val="auto"/>
                <w:kern w:val="2"/>
                <w:sz w:val="24"/>
                <w:szCs w:val="24"/>
                <w:shd w:val="clear" w:color="auto" w:fill="auto"/>
                <w:lang w:val="en-US" w:eastAsia="zh-CN" w:bidi="ar-SA"/>
              </w:rPr>
              <w:t>在投标文件中，否则本项不得分。</w:t>
            </w:r>
          </w:p>
        </w:tc>
      </w:tr>
      <w:tr w14:paraId="6BA91C1A">
        <w:tblPrEx>
          <w:tblCellMar>
            <w:top w:w="0" w:type="dxa"/>
            <w:left w:w="108" w:type="dxa"/>
            <w:bottom w:w="0" w:type="dxa"/>
            <w:right w:w="108" w:type="dxa"/>
          </w:tblCellMar>
        </w:tblPrEx>
        <w:trPr>
          <w:trHeight w:val="1772" w:hRule="atLeast"/>
        </w:trPr>
        <w:tc>
          <w:tcPr>
            <w:tcW w:w="1231" w:type="dxa"/>
            <w:vMerge w:val="restart"/>
            <w:tcBorders>
              <w:top w:val="single" w:color="auto" w:sz="4" w:space="0"/>
              <w:left w:val="single" w:color="auto" w:sz="4" w:space="0"/>
              <w:right w:val="single" w:color="auto" w:sz="4" w:space="0"/>
            </w:tcBorders>
            <w:shd w:val="clear" w:color="auto" w:fill="auto"/>
            <w:vAlign w:val="center"/>
          </w:tcPr>
          <w:p w14:paraId="150A03AC">
            <w:pPr>
              <w:pStyle w:val="88"/>
              <w:spacing w:line="364" w:lineRule="auto"/>
              <w:ind w:left="108" w:right="100"/>
              <w:jc w:val="center"/>
              <w:rPr>
                <w:color w:val="auto"/>
                <w:sz w:val="24"/>
                <w:szCs w:val="24"/>
              </w:rPr>
            </w:pPr>
            <w:r>
              <w:rPr>
                <w:color w:val="auto"/>
                <w:sz w:val="24"/>
                <w:szCs w:val="24"/>
              </w:rPr>
              <w:t>技术</w:t>
            </w:r>
          </w:p>
          <w:p w14:paraId="6621B9D5">
            <w:pPr>
              <w:pStyle w:val="88"/>
              <w:spacing w:line="364" w:lineRule="auto"/>
              <w:ind w:left="108" w:right="100"/>
              <w:jc w:val="center"/>
              <w:rPr>
                <w:color w:val="auto"/>
                <w:sz w:val="24"/>
                <w:szCs w:val="24"/>
              </w:rPr>
            </w:pPr>
            <w:r>
              <w:rPr>
                <w:color w:val="auto"/>
                <w:sz w:val="24"/>
                <w:szCs w:val="24"/>
              </w:rPr>
              <w:t>部分</w:t>
            </w:r>
          </w:p>
          <w:p w14:paraId="0335814A">
            <w:pPr>
              <w:pStyle w:val="88"/>
              <w:spacing w:line="364" w:lineRule="auto"/>
              <w:ind w:left="108" w:leftChars="0" w:right="100" w:rightChars="0"/>
              <w:jc w:val="center"/>
              <w:rPr>
                <w:rFonts w:hint="eastAsia" w:ascii="宋体" w:hAnsi="宋体" w:eastAsia="宋体" w:cs="宋体"/>
                <w:kern w:val="2"/>
                <w:sz w:val="24"/>
                <w:szCs w:val="24"/>
                <w:highlight w:val="none"/>
                <w:lang w:val="zh-CN" w:eastAsia="zh-CN" w:bidi="zh-CN"/>
              </w:rPr>
            </w:pPr>
            <w:r>
              <w:rPr>
                <w:rFonts w:hint="eastAsia"/>
                <w:color w:val="auto"/>
                <w:sz w:val="24"/>
                <w:szCs w:val="24"/>
                <w:lang w:eastAsia="zh-CN"/>
              </w:rPr>
              <w:t>（</w:t>
            </w:r>
            <w:r>
              <w:rPr>
                <w:rFonts w:hint="eastAsia"/>
                <w:color w:val="auto"/>
                <w:sz w:val="24"/>
                <w:szCs w:val="24"/>
                <w:lang w:val="en-US" w:eastAsia="zh-CN"/>
              </w:rPr>
              <w:t>55分</w:t>
            </w:r>
            <w:r>
              <w:rPr>
                <w:rFonts w:hint="eastAsia"/>
                <w:color w:val="auto"/>
                <w:sz w:val="24"/>
                <w:szCs w:val="24"/>
                <w:lang w:eastAsia="zh-CN"/>
              </w:rPr>
              <w:t>）</w:t>
            </w:r>
          </w:p>
        </w:tc>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14:paraId="00E3CC38">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审计工作</w:t>
            </w:r>
          </w:p>
          <w:p w14:paraId="17059BEC">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总体方案</w:t>
            </w:r>
          </w:p>
          <w:p w14:paraId="7FCE59A6">
            <w:pPr>
              <w:spacing w:line="46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napToGrid w:val="0"/>
                <w:color w:val="auto"/>
                <w:kern w:val="0"/>
                <w:sz w:val="24"/>
                <w:szCs w:val="24"/>
                <w:lang w:val="en-US" w:eastAsia="zh-CN" w:bidi="ar"/>
              </w:rPr>
              <w:t>（</w:t>
            </w:r>
            <w:r>
              <w:rPr>
                <w:rFonts w:hint="eastAsia" w:ascii="宋体" w:hAnsi="宋体" w:cs="宋体"/>
                <w:snapToGrid w:val="0"/>
                <w:color w:val="auto"/>
                <w:kern w:val="0"/>
                <w:sz w:val="24"/>
                <w:szCs w:val="24"/>
                <w:lang w:val="en-US" w:eastAsia="zh-CN" w:bidi="ar"/>
              </w:rPr>
              <w:t>8</w:t>
            </w:r>
            <w:r>
              <w:rPr>
                <w:rFonts w:hint="eastAsia" w:ascii="宋体" w:hAnsi="宋体" w:eastAsia="宋体" w:cs="宋体"/>
                <w:snapToGrid w:val="0"/>
                <w:color w:val="auto"/>
                <w:kern w:val="0"/>
                <w:sz w:val="24"/>
                <w:szCs w:val="24"/>
                <w:lang w:val="en-US" w:eastAsia="zh-CN" w:bidi="ar"/>
              </w:rPr>
              <w:t>分）</w:t>
            </w:r>
          </w:p>
        </w:tc>
        <w:tc>
          <w:tcPr>
            <w:tcW w:w="6384" w:type="dxa"/>
            <w:tcBorders>
              <w:top w:val="single" w:color="auto" w:sz="4" w:space="0"/>
              <w:left w:val="nil"/>
              <w:bottom w:val="single" w:color="auto" w:sz="4" w:space="0"/>
              <w:right w:val="single" w:color="auto" w:sz="4" w:space="0"/>
            </w:tcBorders>
            <w:shd w:val="clear" w:color="auto" w:fill="auto"/>
            <w:vAlign w:val="center"/>
          </w:tcPr>
          <w:p w14:paraId="0FB929D0">
            <w:pPr>
              <w:spacing w:line="420" w:lineRule="exact"/>
              <w:rPr>
                <w:rFonts w:hint="eastAsia" w:ascii="宋体" w:hAnsi="宋体" w:eastAsia="宋体" w:cs="宋体"/>
                <w:kern w:val="2"/>
                <w:sz w:val="24"/>
                <w:szCs w:val="24"/>
                <w:highlight w:val="none"/>
                <w:lang w:val="en-US" w:eastAsia="zh-CN" w:bidi="ar-SA"/>
              </w:rPr>
            </w:pPr>
            <w:r>
              <w:rPr>
                <w:rFonts w:hint="eastAsia" w:ascii="宋体" w:hAnsi="宋体" w:eastAsia="宋体" w:cs="宋体"/>
                <w:snapToGrid w:val="0"/>
                <w:color w:val="auto"/>
                <w:kern w:val="0"/>
                <w:sz w:val="24"/>
                <w:szCs w:val="24"/>
                <w:lang w:val="en-US" w:eastAsia="zh-CN" w:bidi="ar"/>
              </w:rPr>
              <w:t>评审小组成员根据投标人编制跟踪审计服务总纲内容、结构、重点、针对性、是否符合规范。经评审合理、健全，完全满足本项目需要的得6-</w:t>
            </w:r>
            <w:r>
              <w:rPr>
                <w:rFonts w:hint="eastAsia" w:ascii="宋体" w:hAnsi="宋体" w:cs="宋体"/>
                <w:snapToGrid w:val="0"/>
                <w:color w:val="auto"/>
                <w:kern w:val="0"/>
                <w:sz w:val="24"/>
                <w:szCs w:val="24"/>
                <w:lang w:val="en-US" w:eastAsia="zh-CN" w:bidi="ar"/>
              </w:rPr>
              <w:t>8</w:t>
            </w:r>
            <w:r>
              <w:rPr>
                <w:rFonts w:hint="eastAsia" w:ascii="宋体" w:hAnsi="宋体" w:eastAsia="宋体" w:cs="宋体"/>
                <w:snapToGrid w:val="0"/>
                <w:color w:val="auto"/>
                <w:kern w:val="0"/>
                <w:sz w:val="24"/>
                <w:szCs w:val="24"/>
                <w:lang w:val="en-US" w:eastAsia="zh-CN" w:bidi="ar"/>
              </w:rPr>
              <w:t>分；能满足项目需要且基本合理、健全的得4-6分；能满足项目需要但合理性差的得2-4分；基本满足项目需要得1-2分。无此项内容不得分。</w:t>
            </w:r>
          </w:p>
        </w:tc>
      </w:tr>
      <w:tr w14:paraId="418782E1">
        <w:tblPrEx>
          <w:tblCellMar>
            <w:top w:w="0" w:type="dxa"/>
            <w:left w:w="108" w:type="dxa"/>
            <w:bottom w:w="0" w:type="dxa"/>
            <w:right w:w="108" w:type="dxa"/>
          </w:tblCellMar>
        </w:tblPrEx>
        <w:trPr>
          <w:trHeight w:val="1772" w:hRule="atLeast"/>
        </w:trPr>
        <w:tc>
          <w:tcPr>
            <w:tcW w:w="1231" w:type="dxa"/>
            <w:vMerge w:val="continue"/>
            <w:tcBorders>
              <w:left w:val="single" w:color="auto" w:sz="4" w:space="0"/>
              <w:right w:val="single" w:color="auto" w:sz="4" w:space="0"/>
            </w:tcBorders>
            <w:vAlign w:val="center"/>
          </w:tcPr>
          <w:p w14:paraId="12303770">
            <w:pPr>
              <w:pStyle w:val="88"/>
              <w:spacing w:line="364" w:lineRule="auto"/>
              <w:ind w:left="108" w:right="100"/>
              <w:jc w:val="center"/>
              <w:rPr>
                <w:rFonts w:hint="eastAsia"/>
                <w:color w:val="auto"/>
                <w:sz w:val="24"/>
                <w:szCs w:val="24"/>
                <w:lang w:eastAsia="zh-CN"/>
              </w:rPr>
            </w:pPr>
          </w:p>
        </w:tc>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14:paraId="78F196F2">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质量控制</w:t>
            </w:r>
          </w:p>
          <w:p w14:paraId="0F2CB934">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措施</w:t>
            </w:r>
          </w:p>
          <w:p w14:paraId="6D5C06E4">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w:t>
            </w:r>
            <w:r>
              <w:rPr>
                <w:rFonts w:hint="eastAsia" w:ascii="宋体" w:hAnsi="宋体" w:cs="宋体"/>
                <w:snapToGrid w:val="0"/>
                <w:color w:val="auto"/>
                <w:kern w:val="0"/>
                <w:sz w:val="24"/>
                <w:szCs w:val="24"/>
                <w:lang w:val="en-US" w:eastAsia="zh-CN" w:bidi="ar"/>
              </w:rPr>
              <w:t>8</w:t>
            </w:r>
            <w:r>
              <w:rPr>
                <w:rFonts w:hint="eastAsia" w:ascii="宋体" w:hAnsi="宋体" w:eastAsia="宋体" w:cs="宋体"/>
                <w:snapToGrid w:val="0"/>
                <w:color w:val="auto"/>
                <w:kern w:val="0"/>
                <w:sz w:val="24"/>
                <w:szCs w:val="24"/>
                <w:lang w:val="en-US" w:eastAsia="zh-CN" w:bidi="ar"/>
              </w:rPr>
              <w:t>分）</w:t>
            </w:r>
          </w:p>
        </w:tc>
        <w:tc>
          <w:tcPr>
            <w:tcW w:w="6384" w:type="dxa"/>
            <w:tcBorders>
              <w:top w:val="single" w:color="auto" w:sz="4" w:space="0"/>
              <w:left w:val="nil"/>
              <w:bottom w:val="single" w:color="auto" w:sz="4" w:space="0"/>
              <w:right w:val="single" w:color="auto" w:sz="4" w:space="0"/>
            </w:tcBorders>
            <w:shd w:val="clear" w:color="auto" w:fill="auto"/>
            <w:vAlign w:val="center"/>
          </w:tcPr>
          <w:p w14:paraId="7C2B4A1F">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根据投标人内部质量控制措施健全、完整、可行程度，经评审充分得6-</w:t>
            </w:r>
            <w:r>
              <w:rPr>
                <w:rFonts w:hint="eastAsia" w:ascii="宋体" w:hAnsi="宋体" w:cs="宋体"/>
                <w:snapToGrid w:val="0"/>
                <w:color w:val="auto"/>
                <w:kern w:val="0"/>
                <w:sz w:val="24"/>
                <w:szCs w:val="24"/>
                <w:lang w:val="en-US" w:eastAsia="zh-CN" w:bidi="ar"/>
              </w:rPr>
              <w:t>8</w:t>
            </w:r>
            <w:r>
              <w:rPr>
                <w:rFonts w:hint="eastAsia" w:ascii="宋体" w:hAnsi="宋体" w:eastAsia="宋体" w:cs="宋体"/>
                <w:snapToGrid w:val="0"/>
                <w:color w:val="auto"/>
                <w:kern w:val="0"/>
                <w:sz w:val="24"/>
                <w:szCs w:val="24"/>
                <w:lang w:val="en-US" w:eastAsia="zh-CN" w:bidi="ar"/>
              </w:rPr>
              <w:t>分；描述内容健全、完整、可行程度合理得4-6分；描述内容健全、完整、可行程度较合理得2-4分；描述内容基本合理的得1-2分。无此项内容不得分。</w:t>
            </w:r>
          </w:p>
        </w:tc>
      </w:tr>
      <w:tr w14:paraId="1C55D87E">
        <w:tblPrEx>
          <w:tblCellMar>
            <w:top w:w="0" w:type="dxa"/>
            <w:left w:w="108" w:type="dxa"/>
            <w:bottom w:w="0" w:type="dxa"/>
            <w:right w:w="108" w:type="dxa"/>
          </w:tblCellMar>
        </w:tblPrEx>
        <w:trPr>
          <w:trHeight w:val="1772" w:hRule="atLeast"/>
        </w:trPr>
        <w:tc>
          <w:tcPr>
            <w:tcW w:w="1231" w:type="dxa"/>
            <w:vMerge w:val="continue"/>
            <w:tcBorders>
              <w:left w:val="single" w:color="auto" w:sz="4" w:space="0"/>
              <w:bottom w:val="single" w:color="auto" w:sz="4" w:space="0"/>
              <w:right w:val="single" w:color="auto" w:sz="4" w:space="0"/>
            </w:tcBorders>
            <w:vAlign w:val="center"/>
          </w:tcPr>
          <w:p w14:paraId="2F112C48">
            <w:pPr>
              <w:pStyle w:val="88"/>
              <w:spacing w:line="364" w:lineRule="auto"/>
              <w:ind w:left="108" w:right="100"/>
              <w:jc w:val="center"/>
              <w:rPr>
                <w:rFonts w:hint="eastAsia"/>
                <w:color w:val="auto"/>
                <w:sz w:val="24"/>
                <w:szCs w:val="24"/>
                <w:lang w:eastAsia="zh-CN"/>
              </w:rPr>
            </w:pPr>
          </w:p>
        </w:tc>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14:paraId="7B3C435D">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color w:val="auto"/>
                <w:kern w:val="0"/>
                <w:sz w:val="24"/>
                <w:szCs w:val="24"/>
                <w:lang w:val="en-US" w:eastAsia="zh-CN" w:bidi="ar"/>
              </w:rPr>
              <w:t>造</w:t>
            </w:r>
            <w:r>
              <w:rPr>
                <w:rFonts w:hint="eastAsia" w:ascii="宋体" w:hAnsi="宋体" w:eastAsia="宋体" w:cs="宋体"/>
                <w:snapToGrid w:val="0"/>
                <w:color w:val="auto"/>
                <w:kern w:val="0"/>
                <w:sz w:val="24"/>
                <w:szCs w:val="24"/>
                <w:lang w:val="en-US" w:eastAsia="zh-CN" w:bidi="ar"/>
              </w:rPr>
              <w:t>价控制</w:t>
            </w:r>
          </w:p>
          <w:p w14:paraId="139B62B5">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snapToGrid w:val="0"/>
                <w:color w:val="auto"/>
                <w:kern w:val="0"/>
                <w:sz w:val="24"/>
                <w:szCs w:val="24"/>
                <w:lang w:val="en-US" w:eastAsia="zh-CN" w:bidi="ar"/>
              </w:rPr>
              <w:t>（</w:t>
            </w:r>
            <w:r>
              <w:rPr>
                <w:rFonts w:hint="eastAsia" w:ascii="宋体" w:hAnsi="宋体" w:cs="宋体"/>
                <w:snapToGrid w:val="0"/>
                <w:color w:val="auto"/>
                <w:kern w:val="0"/>
                <w:sz w:val="24"/>
                <w:szCs w:val="24"/>
                <w:lang w:val="en-US" w:eastAsia="zh-CN" w:bidi="ar"/>
              </w:rPr>
              <w:t>8</w:t>
            </w:r>
            <w:r>
              <w:rPr>
                <w:rFonts w:hint="eastAsia" w:ascii="宋体" w:hAnsi="宋体" w:eastAsia="宋体" w:cs="宋体"/>
                <w:snapToGrid w:val="0"/>
                <w:color w:val="auto"/>
                <w:kern w:val="0"/>
                <w:sz w:val="24"/>
                <w:szCs w:val="24"/>
                <w:lang w:val="en-US" w:eastAsia="zh-CN" w:bidi="ar"/>
              </w:rPr>
              <w:t>分）</w:t>
            </w:r>
          </w:p>
        </w:tc>
        <w:tc>
          <w:tcPr>
            <w:tcW w:w="6384" w:type="dxa"/>
            <w:tcBorders>
              <w:top w:val="single" w:color="auto" w:sz="4" w:space="0"/>
              <w:left w:val="nil"/>
              <w:bottom w:val="single" w:color="auto" w:sz="4" w:space="0"/>
              <w:right w:val="single" w:color="auto" w:sz="4" w:space="0"/>
            </w:tcBorders>
            <w:shd w:val="clear" w:color="auto" w:fill="auto"/>
            <w:vAlign w:val="center"/>
          </w:tcPr>
          <w:p w14:paraId="3F35CE9E">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根据投标人施工阶段造价控制健全、完整、可行程度，经评审充分得6-</w:t>
            </w:r>
            <w:r>
              <w:rPr>
                <w:rFonts w:hint="eastAsia" w:ascii="宋体" w:hAnsi="宋体" w:cs="宋体"/>
                <w:snapToGrid w:val="0"/>
                <w:color w:val="auto"/>
                <w:kern w:val="0"/>
                <w:sz w:val="24"/>
                <w:szCs w:val="24"/>
                <w:lang w:val="en-US" w:eastAsia="zh-CN" w:bidi="ar"/>
              </w:rPr>
              <w:t>8</w:t>
            </w:r>
            <w:r>
              <w:rPr>
                <w:rFonts w:hint="eastAsia" w:ascii="宋体" w:hAnsi="宋体" w:eastAsia="宋体" w:cs="宋体"/>
                <w:snapToGrid w:val="0"/>
                <w:color w:val="auto"/>
                <w:kern w:val="0"/>
                <w:sz w:val="24"/>
                <w:szCs w:val="24"/>
                <w:lang w:val="en-US" w:eastAsia="zh-CN" w:bidi="ar"/>
              </w:rPr>
              <w:t>分；较健全、较完整、可行程度高的得4-6分；比较健全、比较完整、可行程度比较高，比较合理的得2-4分；健全、完整、可行程度，基本合理的得1-2分。无此项内容不得分。</w:t>
            </w:r>
          </w:p>
        </w:tc>
      </w:tr>
      <w:tr w14:paraId="33A86F1F">
        <w:tblPrEx>
          <w:tblCellMar>
            <w:top w:w="0" w:type="dxa"/>
            <w:left w:w="108" w:type="dxa"/>
            <w:bottom w:w="0" w:type="dxa"/>
            <w:right w:w="108" w:type="dxa"/>
          </w:tblCellMar>
        </w:tblPrEx>
        <w:trPr>
          <w:trHeight w:val="1772" w:hRule="atLeast"/>
        </w:trPr>
        <w:tc>
          <w:tcPr>
            <w:tcW w:w="1231" w:type="dxa"/>
            <w:vMerge w:val="continue"/>
            <w:tcBorders>
              <w:top w:val="single" w:color="auto" w:sz="4" w:space="0"/>
              <w:left w:val="single" w:color="auto" w:sz="4" w:space="0"/>
              <w:right w:val="single" w:color="auto" w:sz="4" w:space="0"/>
            </w:tcBorders>
            <w:vAlign w:val="center"/>
          </w:tcPr>
          <w:p w14:paraId="68C84C66">
            <w:pPr>
              <w:pStyle w:val="88"/>
              <w:spacing w:line="364" w:lineRule="auto"/>
              <w:ind w:left="108" w:right="100"/>
              <w:jc w:val="center"/>
              <w:rPr>
                <w:rFonts w:hint="eastAsia"/>
                <w:color w:val="auto"/>
                <w:sz w:val="24"/>
                <w:szCs w:val="24"/>
                <w:lang w:eastAsia="zh-CN"/>
              </w:rPr>
            </w:pPr>
          </w:p>
        </w:tc>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14:paraId="17C18ADD">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人员管理</w:t>
            </w:r>
          </w:p>
          <w:p w14:paraId="56218A24">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制度</w:t>
            </w:r>
          </w:p>
          <w:p w14:paraId="43E9B8D3">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center"/>
              <w:textAlignment w:val="baseline"/>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0"/>
                <w:sz w:val="24"/>
                <w:szCs w:val="24"/>
                <w:lang w:val="en-US" w:eastAsia="zh-CN" w:bidi="ar"/>
              </w:rPr>
              <w:t>（</w:t>
            </w:r>
            <w:r>
              <w:rPr>
                <w:rFonts w:hint="eastAsia" w:ascii="宋体" w:hAnsi="宋体" w:cs="宋体"/>
                <w:color w:val="auto"/>
                <w:kern w:val="0"/>
                <w:sz w:val="24"/>
                <w:szCs w:val="24"/>
                <w:lang w:val="en-US" w:eastAsia="zh-CN" w:bidi="ar"/>
              </w:rPr>
              <w:t>8</w:t>
            </w:r>
            <w:r>
              <w:rPr>
                <w:rFonts w:hint="eastAsia" w:ascii="宋体" w:hAnsi="宋体" w:eastAsia="宋体" w:cs="宋体"/>
                <w:color w:val="auto"/>
                <w:kern w:val="0"/>
                <w:sz w:val="24"/>
                <w:szCs w:val="24"/>
                <w:lang w:val="en-US" w:eastAsia="zh-CN" w:bidi="ar"/>
              </w:rPr>
              <w:t>分）</w:t>
            </w:r>
          </w:p>
        </w:tc>
        <w:tc>
          <w:tcPr>
            <w:tcW w:w="6384" w:type="dxa"/>
            <w:tcBorders>
              <w:top w:val="single" w:color="auto" w:sz="4" w:space="0"/>
              <w:left w:val="nil"/>
              <w:bottom w:val="single" w:color="auto" w:sz="4" w:space="0"/>
              <w:right w:val="single" w:color="auto" w:sz="4" w:space="0"/>
            </w:tcBorders>
            <w:shd w:val="clear" w:color="auto" w:fill="auto"/>
            <w:vAlign w:val="top"/>
          </w:tcPr>
          <w:p w14:paraId="70469AE9">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项目组管理人员配备合理，分工明确、组织机构设置合理科学，具有详细可行的人员管理制度，经评审充分得6-</w:t>
            </w:r>
            <w:r>
              <w:rPr>
                <w:rFonts w:hint="eastAsia" w:ascii="宋体" w:hAnsi="宋体" w:cs="宋体"/>
                <w:snapToGrid w:val="0"/>
                <w:color w:val="auto"/>
                <w:kern w:val="0"/>
                <w:sz w:val="24"/>
                <w:szCs w:val="24"/>
                <w:lang w:val="en-US" w:eastAsia="zh-CN" w:bidi="ar"/>
              </w:rPr>
              <w:t>8</w:t>
            </w:r>
            <w:r>
              <w:rPr>
                <w:rFonts w:hint="eastAsia" w:ascii="宋体" w:hAnsi="宋体" w:eastAsia="宋体" w:cs="宋体"/>
                <w:snapToGrid w:val="0"/>
                <w:color w:val="auto"/>
                <w:kern w:val="0"/>
                <w:sz w:val="24"/>
                <w:szCs w:val="24"/>
                <w:lang w:val="en-US" w:eastAsia="zh-CN" w:bidi="ar"/>
              </w:rPr>
              <w:t>分；较合理，分工较明确、组织机构设置较合理科学，较详细可行的人员管理制度的得4-6分；比较合理，分工比较明确、组织机构设置比较合理科学，比较详细可行的人员管理制度的得2-4分；基本合理，分工基本明确、组织机构设置基本合理科学，基本上合理详细可行的人员管理制度的得1-2分；无此项内容不得分。</w:t>
            </w:r>
          </w:p>
        </w:tc>
      </w:tr>
      <w:tr w14:paraId="06A0269A">
        <w:tblPrEx>
          <w:tblCellMar>
            <w:top w:w="0" w:type="dxa"/>
            <w:left w:w="108" w:type="dxa"/>
            <w:bottom w:w="0" w:type="dxa"/>
            <w:right w:w="108" w:type="dxa"/>
          </w:tblCellMar>
        </w:tblPrEx>
        <w:trPr>
          <w:trHeight w:val="1772" w:hRule="atLeast"/>
        </w:trPr>
        <w:tc>
          <w:tcPr>
            <w:tcW w:w="1231" w:type="dxa"/>
            <w:vMerge w:val="continue"/>
            <w:tcBorders>
              <w:left w:val="single" w:color="auto" w:sz="4" w:space="0"/>
              <w:right w:val="single" w:color="auto" w:sz="4" w:space="0"/>
            </w:tcBorders>
            <w:vAlign w:val="center"/>
          </w:tcPr>
          <w:p w14:paraId="6C3823E8">
            <w:pPr>
              <w:pStyle w:val="88"/>
              <w:spacing w:line="364" w:lineRule="auto"/>
              <w:ind w:left="108" w:right="100"/>
              <w:jc w:val="center"/>
              <w:rPr>
                <w:rFonts w:hint="eastAsia" w:ascii="宋体" w:hAnsi="宋体" w:cs="宋体"/>
                <w:sz w:val="24"/>
                <w:szCs w:val="24"/>
                <w:highlight w:val="none"/>
              </w:rPr>
            </w:pPr>
          </w:p>
        </w:tc>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14:paraId="0FFDF4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跟踪审计资料档案管理制度</w:t>
            </w:r>
          </w:p>
          <w:p w14:paraId="0D3C976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0"/>
                <w:sz w:val="24"/>
                <w:szCs w:val="24"/>
                <w:lang w:val="en-US" w:eastAsia="zh-CN" w:bidi="ar"/>
              </w:rPr>
              <w:t>（</w:t>
            </w:r>
            <w:r>
              <w:rPr>
                <w:rFonts w:hint="eastAsia" w:ascii="宋体" w:hAnsi="宋体" w:cs="宋体"/>
                <w:color w:val="auto"/>
                <w:kern w:val="0"/>
                <w:sz w:val="24"/>
                <w:szCs w:val="24"/>
                <w:lang w:val="en-US" w:eastAsia="zh-CN" w:bidi="ar"/>
              </w:rPr>
              <w:t>8</w:t>
            </w:r>
            <w:r>
              <w:rPr>
                <w:rFonts w:hint="eastAsia" w:ascii="宋体" w:hAnsi="宋体" w:eastAsia="宋体" w:cs="宋体"/>
                <w:color w:val="auto"/>
                <w:kern w:val="0"/>
                <w:sz w:val="24"/>
                <w:szCs w:val="24"/>
                <w:lang w:val="en-US" w:eastAsia="zh-CN" w:bidi="ar"/>
              </w:rPr>
              <w:t>分）</w:t>
            </w:r>
          </w:p>
        </w:tc>
        <w:tc>
          <w:tcPr>
            <w:tcW w:w="6384" w:type="dxa"/>
            <w:tcBorders>
              <w:top w:val="single" w:color="auto" w:sz="4" w:space="0"/>
              <w:left w:val="nil"/>
              <w:bottom w:val="single" w:color="auto" w:sz="4" w:space="0"/>
              <w:right w:val="single" w:color="auto" w:sz="4" w:space="0"/>
            </w:tcBorders>
            <w:shd w:val="clear" w:color="auto" w:fill="auto"/>
            <w:vAlign w:val="center"/>
          </w:tcPr>
          <w:p w14:paraId="47F01945">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对跟踪审计资料的真实性、合法性负责，根据审计资料的管理及保</w:t>
            </w:r>
            <w:r>
              <w:rPr>
                <w:rFonts w:hint="eastAsia" w:ascii="宋体" w:hAnsi="宋体" w:eastAsia="宋体" w:cs="宋体"/>
                <w:snapToGrid w:val="0"/>
                <w:color w:val="000000"/>
                <w:kern w:val="0"/>
                <w:sz w:val="24"/>
                <w:szCs w:val="24"/>
                <w:shd w:val="clear" w:color="auto" w:fill="auto"/>
                <w:lang w:val="en-US" w:eastAsia="zh-CN" w:bidi="ar"/>
              </w:rPr>
              <w:t>密制度措施可行性、有效程度，经评审充分得6-</w:t>
            </w:r>
            <w:r>
              <w:rPr>
                <w:rFonts w:hint="eastAsia" w:ascii="宋体" w:hAnsi="宋体" w:cs="宋体"/>
                <w:snapToGrid w:val="0"/>
                <w:color w:val="000000"/>
                <w:kern w:val="0"/>
                <w:sz w:val="24"/>
                <w:szCs w:val="24"/>
                <w:shd w:val="clear" w:color="auto" w:fill="auto"/>
                <w:lang w:val="en-US" w:eastAsia="zh-CN" w:bidi="ar"/>
              </w:rPr>
              <w:t>8</w:t>
            </w:r>
            <w:r>
              <w:rPr>
                <w:rFonts w:hint="eastAsia" w:ascii="宋体" w:hAnsi="宋体" w:eastAsia="宋体" w:cs="宋体"/>
                <w:snapToGrid w:val="0"/>
                <w:color w:val="000000"/>
                <w:kern w:val="0"/>
                <w:sz w:val="24"/>
                <w:szCs w:val="24"/>
                <w:shd w:val="clear" w:color="auto" w:fill="auto"/>
                <w:lang w:val="en-US" w:eastAsia="zh-CN" w:bidi="ar"/>
              </w:rPr>
              <w:t>分；</w:t>
            </w:r>
            <w:r>
              <w:rPr>
                <w:rFonts w:hint="eastAsia" w:ascii="宋体" w:hAnsi="宋体" w:eastAsia="宋体" w:cs="宋体"/>
                <w:snapToGrid w:val="0"/>
                <w:color w:val="auto"/>
                <w:kern w:val="0"/>
                <w:sz w:val="24"/>
                <w:szCs w:val="24"/>
                <w:highlight w:val="none"/>
                <w:shd w:val="clear" w:color="auto" w:fill="auto"/>
                <w:lang w:val="en-US" w:eastAsia="zh-CN" w:bidi="ar"/>
              </w:rPr>
              <w:t>较可行性、有效程度较高，经评审的得4-6分；比较可行性、有效程度比较高，经评审的得2-4分；可行性、有效程度基本合理的得1-2分。无此项内容不得分。</w:t>
            </w:r>
          </w:p>
        </w:tc>
      </w:tr>
      <w:tr w14:paraId="41841844">
        <w:tblPrEx>
          <w:tblCellMar>
            <w:top w:w="0" w:type="dxa"/>
            <w:left w:w="108" w:type="dxa"/>
            <w:bottom w:w="0" w:type="dxa"/>
            <w:right w:w="108" w:type="dxa"/>
          </w:tblCellMar>
        </w:tblPrEx>
        <w:trPr>
          <w:trHeight w:val="1772" w:hRule="atLeast"/>
        </w:trPr>
        <w:tc>
          <w:tcPr>
            <w:tcW w:w="1231" w:type="dxa"/>
            <w:vMerge w:val="continue"/>
            <w:tcBorders>
              <w:left w:val="single" w:color="auto" w:sz="4" w:space="0"/>
              <w:right w:val="single" w:color="auto" w:sz="4" w:space="0"/>
            </w:tcBorders>
            <w:vAlign w:val="center"/>
          </w:tcPr>
          <w:p w14:paraId="6610FC44">
            <w:pPr>
              <w:pStyle w:val="88"/>
              <w:spacing w:line="364" w:lineRule="auto"/>
              <w:ind w:left="108" w:right="100"/>
              <w:jc w:val="center"/>
              <w:rPr>
                <w:rFonts w:hint="eastAsia" w:ascii="宋体" w:hAnsi="宋体" w:cs="宋体"/>
                <w:sz w:val="24"/>
                <w:szCs w:val="24"/>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751C1B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设施设备</w:t>
            </w:r>
          </w:p>
          <w:p w14:paraId="2400E35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color w:val="auto"/>
                <w:kern w:val="0"/>
                <w:sz w:val="24"/>
                <w:szCs w:val="24"/>
                <w:lang w:val="en-US" w:eastAsia="zh-CN" w:bidi="ar"/>
              </w:rPr>
              <w:t>（5分）</w:t>
            </w:r>
          </w:p>
        </w:tc>
        <w:tc>
          <w:tcPr>
            <w:tcW w:w="6384" w:type="dxa"/>
            <w:tcBorders>
              <w:top w:val="single" w:color="auto" w:sz="4" w:space="0"/>
              <w:left w:val="nil"/>
              <w:bottom w:val="single" w:color="auto" w:sz="4" w:space="0"/>
              <w:right w:val="single" w:color="auto" w:sz="4" w:space="0"/>
            </w:tcBorders>
            <w:vAlign w:val="center"/>
          </w:tcPr>
          <w:p w14:paraId="36EFFA6A">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cs="宋体"/>
                <w:sz w:val="24"/>
                <w:szCs w:val="24"/>
                <w:highlight w:val="none"/>
              </w:rPr>
            </w:pPr>
            <w:r>
              <w:rPr>
                <w:rFonts w:hint="eastAsia" w:ascii="宋体" w:hAnsi="宋体" w:eastAsia="宋体" w:cs="宋体"/>
                <w:snapToGrid w:val="0"/>
                <w:color w:val="auto"/>
                <w:kern w:val="0"/>
                <w:sz w:val="24"/>
                <w:szCs w:val="24"/>
                <w:lang w:val="en-US" w:eastAsia="zh-CN" w:bidi="ar"/>
              </w:rPr>
              <w:t>拟投入本工程的各项设施：投入设施设备完善、合理的得4-5分；较完善、较合理的得3-4分；拟投入本工程的各项设施：比较设备完善、比较合理的得2-3分；基本完善、基本合理的得1-2分；无此项内容不得分。</w:t>
            </w:r>
          </w:p>
        </w:tc>
      </w:tr>
      <w:tr w14:paraId="614910AE">
        <w:tblPrEx>
          <w:tblCellMar>
            <w:top w:w="0" w:type="dxa"/>
            <w:left w:w="108" w:type="dxa"/>
            <w:bottom w:w="0" w:type="dxa"/>
            <w:right w:w="108" w:type="dxa"/>
          </w:tblCellMar>
        </w:tblPrEx>
        <w:trPr>
          <w:trHeight w:val="1772" w:hRule="atLeast"/>
        </w:trPr>
        <w:tc>
          <w:tcPr>
            <w:tcW w:w="1231" w:type="dxa"/>
            <w:vMerge w:val="continue"/>
            <w:tcBorders>
              <w:left w:val="single" w:color="auto" w:sz="4" w:space="0"/>
              <w:right w:val="single" w:color="auto" w:sz="4" w:space="0"/>
            </w:tcBorders>
            <w:vAlign w:val="center"/>
          </w:tcPr>
          <w:p w14:paraId="7C733B5B">
            <w:pPr>
              <w:pStyle w:val="88"/>
              <w:spacing w:line="364" w:lineRule="auto"/>
              <w:ind w:left="108" w:right="100"/>
              <w:jc w:val="center"/>
              <w:rPr>
                <w:rFonts w:hint="eastAsia" w:ascii="宋体" w:hAnsi="宋体" w:cs="宋体"/>
                <w:sz w:val="24"/>
                <w:szCs w:val="24"/>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2151AA98">
            <w:pPr>
              <w:keepNext w:val="0"/>
              <w:keepLines w:val="0"/>
              <w:widowControl/>
              <w:suppressLineNumbers w:val="0"/>
              <w:jc w:val="center"/>
              <w:rPr>
                <w:color w:val="auto"/>
                <w:sz w:val="24"/>
                <w:szCs w:val="24"/>
              </w:rPr>
            </w:pPr>
            <w:r>
              <w:rPr>
                <w:rFonts w:hint="eastAsia" w:ascii="宋体" w:hAnsi="宋体" w:eastAsia="宋体" w:cs="宋体"/>
                <w:color w:val="auto"/>
                <w:kern w:val="0"/>
                <w:sz w:val="24"/>
                <w:szCs w:val="24"/>
                <w:lang w:val="en-US" w:eastAsia="zh-CN" w:bidi="ar"/>
              </w:rPr>
              <w:t>服务承诺</w:t>
            </w:r>
          </w:p>
          <w:p w14:paraId="6D3536B3">
            <w:pPr>
              <w:keepNext w:val="0"/>
              <w:keepLines w:val="0"/>
              <w:widowControl/>
              <w:suppressLineNumbers w:val="0"/>
              <w:jc w:val="center"/>
              <w:rPr>
                <w:rFonts w:hint="default" w:ascii="宋体" w:hAnsi="宋体" w:eastAsia="宋体" w:cs="宋体"/>
                <w:sz w:val="24"/>
                <w:szCs w:val="24"/>
                <w:highlight w:val="none"/>
                <w:lang w:val="en-US" w:eastAsia="zh-CN"/>
              </w:rPr>
            </w:pPr>
            <w:r>
              <w:rPr>
                <w:rFonts w:hint="eastAsia" w:ascii="宋体" w:hAnsi="宋体" w:eastAsia="宋体" w:cs="宋体"/>
                <w:color w:val="auto"/>
                <w:kern w:val="0"/>
                <w:sz w:val="24"/>
                <w:szCs w:val="24"/>
                <w:lang w:val="en-US" w:eastAsia="zh-CN" w:bidi="ar"/>
              </w:rPr>
              <w:t>（5分）</w:t>
            </w:r>
          </w:p>
        </w:tc>
        <w:tc>
          <w:tcPr>
            <w:tcW w:w="6384" w:type="dxa"/>
            <w:tcBorders>
              <w:top w:val="single" w:color="auto" w:sz="4" w:space="0"/>
              <w:left w:val="nil"/>
              <w:bottom w:val="single" w:color="auto" w:sz="4" w:space="0"/>
              <w:right w:val="single" w:color="auto" w:sz="4" w:space="0"/>
            </w:tcBorders>
            <w:vAlign w:val="center"/>
          </w:tcPr>
          <w:p w14:paraId="76F74234">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cs="宋体"/>
                <w:sz w:val="24"/>
                <w:szCs w:val="24"/>
                <w:highlight w:val="none"/>
              </w:rPr>
            </w:pPr>
            <w:r>
              <w:rPr>
                <w:rFonts w:hint="eastAsia" w:ascii="宋体" w:hAnsi="宋体" w:eastAsia="宋体" w:cs="宋体"/>
                <w:snapToGrid w:val="0"/>
                <w:color w:val="auto"/>
                <w:kern w:val="0"/>
                <w:sz w:val="24"/>
                <w:szCs w:val="24"/>
                <w:lang w:val="en-US" w:eastAsia="zh-CN" w:bidi="ar"/>
              </w:rPr>
              <w:t>评价投标人提供服务的及时性：能够确保提供及时服务、保证措施可行得4-5分；服务较及时、保证措施较可行的得3-4分；服务比较及时、保证措施比较可行的得2-3分；服务及时性不能得到保证，相关保障性材料可行性有所欠缺的得1-2分。无此项内容不得分。</w:t>
            </w:r>
          </w:p>
        </w:tc>
      </w:tr>
      <w:tr w14:paraId="416B45EF">
        <w:tblPrEx>
          <w:tblCellMar>
            <w:top w:w="0" w:type="dxa"/>
            <w:left w:w="108" w:type="dxa"/>
            <w:bottom w:w="0" w:type="dxa"/>
            <w:right w:w="108" w:type="dxa"/>
          </w:tblCellMar>
        </w:tblPrEx>
        <w:trPr>
          <w:trHeight w:val="1772" w:hRule="atLeast"/>
        </w:trPr>
        <w:tc>
          <w:tcPr>
            <w:tcW w:w="1231" w:type="dxa"/>
            <w:vMerge w:val="continue"/>
            <w:tcBorders>
              <w:left w:val="single" w:color="auto" w:sz="4" w:space="0"/>
              <w:bottom w:val="single" w:color="auto" w:sz="4" w:space="0"/>
              <w:right w:val="single" w:color="auto" w:sz="4" w:space="0"/>
            </w:tcBorders>
            <w:vAlign w:val="center"/>
          </w:tcPr>
          <w:p w14:paraId="1B48AC7A">
            <w:pPr>
              <w:pStyle w:val="88"/>
              <w:spacing w:line="364" w:lineRule="auto"/>
              <w:ind w:left="108" w:right="100"/>
              <w:jc w:val="center"/>
              <w:rPr>
                <w:rFonts w:hint="eastAsia" w:ascii="宋体" w:hAnsi="宋体" w:cs="宋体"/>
                <w:sz w:val="24"/>
                <w:szCs w:val="24"/>
                <w:highlight w:val="none"/>
              </w:rPr>
            </w:pPr>
          </w:p>
        </w:tc>
        <w:tc>
          <w:tcPr>
            <w:tcW w:w="1388" w:type="dxa"/>
            <w:tcBorders>
              <w:top w:val="single" w:color="auto" w:sz="4" w:space="0"/>
              <w:left w:val="single" w:color="auto" w:sz="4" w:space="0"/>
              <w:bottom w:val="single" w:color="auto" w:sz="4" w:space="0"/>
              <w:right w:val="single" w:color="auto" w:sz="4" w:space="0"/>
            </w:tcBorders>
            <w:vAlign w:val="center"/>
          </w:tcPr>
          <w:p w14:paraId="40DB1089">
            <w:pPr>
              <w:keepNext w:val="0"/>
              <w:keepLines w:val="0"/>
              <w:widowControl/>
              <w:suppressLineNumbers w:val="0"/>
              <w:jc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廉洁自律执业保证措施</w:t>
            </w:r>
          </w:p>
          <w:p w14:paraId="77B2B95C">
            <w:pPr>
              <w:keepNext w:val="0"/>
              <w:keepLines w:val="0"/>
              <w:widowControl/>
              <w:suppressLineNumbers w:val="0"/>
              <w:jc w:val="center"/>
              <w:rPr>
                <w:rFonts w:hint="default" w:ascii="宋体" w:hAnsi="宋体" w:eastAsia="宋体" w:cs="宋体"/>
                <w:sz w:val="24"/>
                <w:szCs w:val="24"/>
                <w:highlight w:val="none"/>
                <w:lang w:val="en-US" w:eastAsia="zh-CN"/>
              </w:rPr>
            </w:pPr>
            <w:r>
              <w:rPr>
                <w:rFonts w:hint="eastAsia" w:ascii="宋体" w:hAnsi="宋体" w:eastAsia="宋体" w:cs="宋体"/>
                <w:color w:val="auto"/>
                <w:kern w:val="0"/>
                <w:sz w:val="24"/>
                <w:szCs w:val="24"/>
                <w:lang w:val="en-US" w:eastAsia="zh-CN" w:bidi="ar"/>
              </w:rPr>
              <w:t>（5分）</w:t>
            </w:r>
          </w:p>
        </w:tc>
        <w:tc>
          <w:tcPr>
            <w:tcW w:w="6384" w:type="dxa"/>
            <w:tcBorders>
              <w:top w:val="single" w:color="auto" w:sz="4" w:space="0"/>
              <w:left w:val="nil"/>
              <w:bottom w:val="single" w:color="auto" w:sz="4" w:space="0"/>
              <w:right w:val="single" w:color="auto" w:sz="4" w:space="0"/>
            </w:tcBorders>
            <w:vAlign w:val="center"/>
          </w:tcPr>
          <w:p w14:paraId="5B4B5880">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cs="宋体"/>
                <w:sz w:val="24"/>
                <w:szCs w:val="24"/>
                <w:highlight w:val="none"/>
              </w:rPr>
            </w:pPr>
            <w:r>
              <w:rPr>
                <w:rFonts w:hint="eastAsia" w:ascii="宋体" w:hAnsi="宋体" w:eastAsia="宋体" w:cs="宋体"/>
                <w:snapToGrid w:val="0"/>
                <w:color w:val="auto"/>
                <w:kern w:val="0"/>
                <w:sz w:val="24"/>
                <w:szCs w:val="24"/>
                <w:lang w:val="en-US" w:eastAsia="zh-CN" w:bidi="ar"/>
              </w:rPr>
              <w:t>以预防、监控和处置为手段针对审计人员廉洁自律方面制定相应的工作计划和廉洁风险防范管理措施，经评审充分的得4-5分，合理的得3-4分，较合理的得2-3分，基本符合的得1-2分。无此项内容不得分。</w:t>
            </w:r>
          </w:p>
        </w:tc>
      </w:tr>
      <w:tr w14:paraId="599A7E6C">
        <w:tblPrEx>
          <w:tblCellMar>
            <w:top w:w="0" w:type="dxa"/>
            <w:left w:w="108" w:type="dxa"/>
            <w:bottom w:w="0" w:type="dxa"/>
            <w:right w:w="108" w:type="dxa"/>
          </w:tblCellMar>
        </w:tblPrEx>
        <w:trPr>
          <w:trHeight w:val="592" w:hRule="atLeast"/>
        </w:trPr>
        <w:tc>
          <w:tcPr>
            <w:tcW w:w="2619" w:type="dxa"/>
            <w:gridSpan w:val="2"/>
            <w:tcBorders>
              <w:top w:val="single" w:color="auto" w:sz="4" w:space="0"/>
              <w:left w:val="single" w:color="auto" w:sz="4" w:space="0"/>
              <w:bottom w:val="single" w:color="auto" w:sz="4" w:space="0"/>
              <w:right w:val="single" w:color="auto" w:sz="4" w:space="0"/>
            </w:tcBorders>
            <w:vAlign w:val="center"/>
          </w:tcPr>
          <w:p w14:paraId="66E6FFE1">
            <w:pPr>
              <w:spacing w:line="460" w:lineRule="exact"/>
              <w:jc w:val="center"/>
              <w:rPr>
                <w:rFonts w:ascii="宋体" w:hAnsi="宋体" w:cs="宋体"/>
                <w:sz w:val="24"/>
                <w:szCs w:val="24"/>
                <w:highlight w:val="none"/>
              </w:rPr>
            </w:pPr>
            <w:r>
              <w:rPr>
                <w:rFonts w:hint="eastAsia" w:ascii="宋体" w:hAnsi="宋体" w:cs="宋体"/>
                <w:sz w:val="24"/>
                <w:szCs w:val="24"/>
                <w:highlight w:val="none"/>
              </w:rPr>
              <w:t>备注</w:t>
            </w:r>
          </w:p>
        </w:tc>
        <w:tc>
          <w:tcPr>
            <w:tcW w:w="6384" w:type="dxa"/>
            <w:tcBorders>
              <w:top w:val="single" w:color="auto" w:sz="4" w:space="0"/>
              <w:left w:val="nil"/>
              <w:bottom w:val="single" w:color="auto" w:sz="4" w:space="0"/>
              <w:right w:val="single" w:color="auto" w:sz="4" w:space="0"/>
            </w:tcBorders>
            <w:vAlign w:val="center"/>
          </w:tcPr>
          <w:p w14:paraId="505FC0B1">
            <w:pPr>
              <w:spacing w:line="420" w:lineRule="exact"/>
              <w:rPr>
                <w:rFonts w:hint="default" w:ascii="宋体" w:hAnsi="宋体" w:cs="宋体" w:eastAsiaTheme="minorEastAsia"/>
                <w:sz w:val="24"/>
                <w:szCs w:val="24"/>
                <w:highlight w:val="none"/>
                <w:lang w:val="en-US" w:eastAsia="zh-CN"/>
              </w:rPr>
            </w:pPr>
            <w:r>
              <w:rPr>
                <w:rFonts w:hint="eastAsia" w:ascii="宋体" w:hAnsi="宋体" w:cs="宋体"/>
                <w:sz w:val="24"/>
                <w:szCs w:val="24"/>
                <w:highlight w:val="none"/>
              </w:rPr>
              <w:t>1、计算某一投标人的综合分数时，各专家的平均分数（四舍五入，小数点后保留两位小数）为该投标人的最终得分。</w:t>
            </w:r>
          </w:p>
        </w:tc>
      </w:tr>
    </w:tbl>
    <w:p w14:paraId="34A547EC">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cs="宋体"/>
          <w:kern w:val="0"/>
          <w:sz w:val="24"/>
          <w:highlight w:val="none"/>
          <w:lang w:val="en-US" w:eastAsia="zh-CN"/>
        </w:rPr>
      </w:pPr>
      <w:r>
        <w:rPr>
          <w:rFonts w:hint="eastAsia" w:ascii="宋体" w:hAnsi="宋体" w:cs="宋体"/>
          <w:kern w:val="0"/>
          <w:sz w:val="24"/>
          <w:highlight w:val="none"/>
        </w:rPr>
        <w:t>注：</w:t>
      </w:r>
      <w:r>
        <w:rPr>
          <w:rFonts w:hint="eastAsia" w:ascii="宋体" w:hAnsi="宋体" w:cs="宋体"/>
          <w:kern w:val="0"/>
          <w:sz w:val="24"/>
          <w:highlight w:val="none"/>
          <w:lang w:val="en-US" w:eastAsia="zh-CN"/>
        </w:rPr>
        <w:t>1、本评标办法凡涉及资格审查、计分的有关证件和材料，均需将原件扫描件放至电子投标文件中，否则不予认可。</w:t>
      </w:r>
    </w:p>
    <w:p w14:paraId="62D18E9B">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2、在本次评审办法中所涉及到的有关证件等，提供虚假证件者，责任自负，其投标文件按无效处理，并提请有关主管部门依法进行处理。</w:t>
      </w:r>
    </w:p>
    <w:p w14:paraId="0ED6C7CB">
      <w:pPr>
        <w:keepNext w:val="0"/>
        <w:keepLines w:val="0"/>
        <w:pageBreakBefore w:val="0"/>
        <w:widowControl w:val="0"/>
        <w:kinsoku/>
        <w:wordWrap/>
        <w:overflowPunct/>
        <w:topLinePunct w:val="0"/>
        <w:autoSpaceDE/>
        <w:autoSpaceDN/>
        <w:bidi w:val="0"/>
        <w:adjustRightInd/>
        <w:snapToGrid/>
        <w:spacing w:line="480" w:lineRule="exact"/>
        <w:ind w:firstLine="117" w:firstLineChars="49"/>
        <w:textAlignment w:val="auto"/>
        <w:outlineLvl w:val="1"/>
        <w:rPr>
          <w:rStyle w:val="42"/>
          <w:rFonts w:hint="eastAsia" w:ascii="宋体" w:hAnsi="宋体" w:eastAsia="宋体" w:cs="宋体"/>
          <w:b/>
          <w:bCs/>
          <w:sz w:val="24"/>
          <w:szCs w:val="24"/>
          <w:highlight w:val="none"/>
        </w:rPr>
      </w:pPr>
      <w:bookmarkStart w:id="146" w:name="_Toc27573"/>
      <w:bookmarkStart w:id="147" w:name="_Toc30436"/>
      <w:r>
        <w:rPr>
          <w:rFonts w:hint="eastAsia" w:ascii="宋体" w:hAnsi="宋体" w:cs="宋体"/>
          <w:kern w:val="0"/>
          <w:sz w:val="24"/>
          <w:highlight w:val="none"/>
          <w:lang w:val="en-US" w:eastAsia="zh-CN"/>
        </w:rPr>
        <w:t>3、计算分值保留到小数点后两位数，第三位数四舍五入。</w:t>
      </w:r>
      <w:bookmarkEnd w:id="146"/>
      <w:bookmarkEnd w:id="147"/>
    </w:p>
    <w:bookmarkEnd w:id="144"/>
    <w:bookmarkEnd w:id="145"/>
    <w:p w14:paraId="19686D02">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bCs/>
          <w:kern w:val="0"/>
          <w:sz w:val="24"/>
          <w:szCs w:val="24"/>
          <w:highlight w:val="none"/>
          <w:lang w:val="zh-CN"/>
        </w:rPr>
      </w:pPr>
      <w:bookmarkStart w:id="148" w:name="_Toc309377244"/>
      <w:bookmarkStart w:id="149" w:name="_Toc366167585"/>
      <w:r>
        <w:rPr>
          <w:rFonts w:hint="eastAsia" w:ascii="宋体" w:hAnsi="宋体" w:eastAsia="宋体" w:cs="宋体"/>
          <w:b/>
          <w:bCs/>
          <w:kern w:val="0"/>
          <w:sz w:val="24"/>
          <w:szCs w:val="24"/>
          <w:highlight w:val="none"/>
          <w:lang w:val="zh-CN"/>
        </w:rPr>
        <w:t>需要补充的其他内容：</w:t>
      </w:r>
    </w:p>
    <w:p w14:paraId="5F786014">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bCs/>
          <w:kern w:val="0"/>
          <w:sz w:val="24"/>
          <w:szCs w:val="24"/>
          <w:highlight w:val="none"/>
          <w:lang w:val="zh-CN"/>
        </w:rPr>
      </w:pPr>
      <w:r>
        <w:rPr>
          <w:rFonts w:hint="eastAsia" w:ascii="宋体" w:hAnsi="宋体" w:eastAsia="宋体" w:cs="宋体"/>
          <w:b/>
          <w:sz w:val="24"/>
          <w:highlight w:val="none"/>
        </w:rPr>
        <w:t>政策性功能</w:t>
      </w:r>
      <w:r>
        <w:rPr>
          <w:rFonts w:hint="eastAsia" w:ascii="宋体" w:hAnsi="宋体" w:eastAsia="宋体" w:cs="宋体"/>
          <w:b/>
          <w:bCs/>
          <w:kern w:val="0"/>
          <w:sz w:val="24"/>
          <w:szCs w:val="24"/>
          <w:highlight w:val="none"/>
          <w:lang w:val="zh-CN"/>
        </w:rPr>
        <w:t>：</w:t>
      </w:r>
    </w:p>
    <w:p w14:paraId="20DE29CF">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outlineLvl w:val="0"/>
        <w:rPr>
          <w:rFonts w:hint="eastAsia" w:ascii="宋体" w:hAnsi="宋体" w:eastAsia="宋体" w:cs="宋体"/>
          <w:b w:val="0"/>
          <w:bCs w:val="0"/>
          <w:kern w:val="0"/>
          <w:sz w:val="24"/>
          <w:szCs w:val="24"/>
          <w:highlight w:val="none"/>
          <w:lang w:val="en-US" w:eastAsia="zh-CN" w:bidi="ar-SA"/>
        </w:rPr>
      </w:pPr>
      <w:bookmarkStart w:id="150" w:name="_Toc13336"/>
      <w:bookmarkStart w:id="151" w:name="_Toc24036"/>
      <w:bookmarkStart w:id="152" w:name="_Toc30014"/>
      <w:r>
        <w:rPr>
          <w:rFonts w:hint="eastAsia" w:ascii="宋体" w:hAnsi="宋体" w:eastAsia="宋体" w:cs="宋体"/>
          <w:b w:val="0"/>
          <w:bCs w:val="0"/>
          <w:kern w:val="0"/>
          <w:sz w:val="24"/>
          <w:szCs w:val="24"/>
          <w:highlight w:val="none"/>
          <w:lang w:val="en-US" w:eastAsia="zh-CN" w:bidi="ar-SA"/>
        </w:rPr>
        <w:t>小微企业价格加分</w:t>
      </w:r>
      <w:bookmarkEnd w:id="150"/>
      <w:bookmarkEnd w:id="151"/>
      <w:bookmarkEnd w:id="152"/>
    </w:p>
    <w:p w14:paraId="4A43E664">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53" w:name="_Toc11366"/>
      <w:bookmarkStart w:id="154" w:name="_Toc3498"/>
      <w:r>
        <w:rPr>
          <w:rFonts w:hint="eastAsia" w:ascii="宋体" w:hAnsi="宋体" w:eastAsia="宋体" w:cs="宋体"/>
          <w:b w:val="0"/>
          <w:bCs w:val="0"/>
          <w:kern w:val="0"/>
          <w:sz w:val="24"/>
          <w:szCs w:val="24"/>
          <w:highlight w:val="none"/>
          <w:lang w:val="en-US" w:eastAsia="zh-CN" w:bidi="ar-SA"/>
        </w:rPr>
        <w:t>根据财政部、工业和信息化部颁发的《政府采购促进中小企业发展管理办法》（财库[2020]46号）的规定给予小型和微型企业在原报价进行评分的基础上增加其价格得分的 3%作为其价格分：</w:t>
      </w:r>
      <w:bookmarkEnd w:id="153"/>
      <w:bookmarkEnd w:id="154"/>
    </w:p>
    <w:p w14:paraId="04671989">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55" w:name="_Toc25994"/>
      <w:bookmarkStart w:id="156" w:name="_Toc29118"/>
      <w:r>
        <w:rPr>
          <w:rFonts w:hint="eastAsia" w:ascii="宋体" w:hAnsi="宋体" w:eastAsia="宋体" w:cs="宋体"/>
          <w:b w:val="0"/>
          <w:bCs w:val="0"/>
          <w:kern w:val="0"/>
          <w:sz w:val="24"/>
          <w:szCs w:val="24"/>
          <w:highlight w:val="none"/>
          <w:lang w:val="en-US" w:eastAsia="zh-CN" w:bidi="ar-SA"/>
        </w:rPr>
        <w:t>计算方法如下：最终报价得分＝投标人的报价得分*（1+3%）</w:t>
      </w:r>
      <w:bookmarkEnd w:id="155"/>
      <w:bookmarkEnd w:id="156"/>
      <w:r>
        <w:rPr>
          <w:rFonts w:hint="eastAsia" w:ascii="宋体" w:hAnsi="宋体" w:eastAsia="宋体" w:cs="宋体"/>
          <w:b w:val="0"/>
          <w:bCs w:val="0"/>
          <w:kern w:val="0"/>
          <w:sz w:val="24"/>
          <w:szCs w:val="24"/>
          <w:highlight w:val="none"/>
          <w:lang w:val="en-US" w:eastAsia="zh-CN" w:bidi="ar-SA"/>
        </w:rPr>
        <w:t xml:space="preserve"> </w:t>
      </w:r>
    </w:p>
    <w:p w14:paraId="69E5D237">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57" w:name="_Toc32401"/>
      <w:bookmarkStart w:id="158" w:name="_Toc6189"/>
      <w:r>
        <w:rPr>
          <w:rFonts w:hint="eastAsia" w:ascii="宋体" w:hAnsi="宋体" w:eastAsia="宋体" w:cs="宋体"/>
          <w:b w:val="0"/>
          <w:bCs w:val="0"/>
          <w:kern w:val="0"/>
          <w:sz w:val="24"/>
          <w:szCs w:val="24"/>
          <w:highlight w:val="none"/>
          <w:lang w:val="en-US" w:eastAsia="zh-CN" w:bidi="ar-SA"/>
        </w:rPr>
        <w:t>投标人须提供中小企业声明函，否则不给予价格加分。开标时，投标人须提供中小企业声明函原件扫描件附到投标文件中。</w:t>
      </w:r>
      <w:bookmarkEnd w:id="157"/>
      <w:bookmarkEnd w:id="158"/>
    </w:p>
    <w:p w14:paraId="6D6248F7">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59" w:name="_Toc3797"/>
      <w:bookmarkStart w:id="160" w:name="_Toc23757"/>
      <w:r>
        <w:rPr>
          <w:rFonts w:hint="eastAsia" w:ascii="宋体" w:hAnsi="宋体" w:eastAsia="宋体" w:cs="宋体"/>
          <w:b w:val="0"/>
          <w:bCs w:val="0"/>
          <w:kern w:val="0"/>
          <w:sz w:val="24"/>
          <w:szCs w:val="24"/>
          <w:highlight w:val="none"/>
          <w:lang w:val="en-US" w:eastAsia="zh-CN" w:bidi="ar-SA"/>
        </w:rPr>
        <w:t>以联合体形式参加政府采购活动，联合体各方均为中小企业的，联合体视同中小企业。其中，联合体各方均为小微企业的，联合体视同小微企业。</w:t>
      </w:r>
      <w:bookmarkEnd w:id="159"/>
      <w:bookmarkEnd w:id="160"/>
    </w:p>
    <w:p w14:paraId="5230FBCE">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61" w:name="_Toc5972"/>
      <w:bookmarkStart w:id="162" w:name="_Toc4593"/>
      <w:r>
        <w:rPr>
          <w:rFonts w:hint="eastAsia" w:ascii="宋体" w:hAnsi="宋体" w:eastAsia="宋体" w:cs="宋体"/>
          <w:b w:val="0"/>
          <w:bCs w:val="0"/>
          <w:kern w:val="0"/>
          <w:sz w:val="24"/>
          <w:szCs w:val="24"/>
          <w:highlight w:val="none"/>
          <w:lang w:val="en-US" w:eastAsia="zh-CN" w:bidi="ar-SA"/>
        </w:rPr>
        <w:t>大中型企业和其他自然人、法定代表人或者其他组织与小型、微型企业组成联合体投标，联合体协议中约定，小型、微型企业的协议合同金额占到联合体协议合同金额30%以上的，可给予联合体在原报价进行评分的基础上增加其价格得分的1%作为其价格分：</w:t>
      </w:r>
      <w:bookmarkEnd w:id="161"/>
      <w:bookmarkEnd w:id="162"/>
    </w:p>
    <w:p w14:paraId="356F0830">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63" w:name="_Toc32254"/>
      <w:bookmarkStart w:id="164" w:name="_Toc23323"/>
      <w:r>
        <w:rPr>
          <w:rFonts w:hint="eastAsia" w:ascii="宋体" w:hAnsi="宋体" w:eastAsia="宋体" w:cs="宋体"/>
          <w:b w:val="0"/>
          <w:bCs w:val="0"/>
          <w:kern w:val="0"/>
          <w:sz w:val="24"/>
          <w:szCs w:val="24"/>
          <w:highlight w:val="none"/>
          <w:lang w:val="en-US" w:eastAsia="zh-CN" w:bidi="ar-SA"/>
        </w:rPr>
        <w:t>联合体报价得分计算方法如下：最终报价得分＝投标人的报价得分*（1+1%）</w:t>
      </w:r>
      <w:bookmarkEnd w:id="163"/>
      <w:bookmarkEnd w:id="164"/>
      <w:r>
        <w:rPr>
          <w:rFonts w:hint="eastAsia" w:ascii="宋体" w:hAnsi="宋体" w:eastAsia="宋体" w:cs="宋体"/>
          <w:b w:val="0"/>
          <w:bCs w:val="0"/>
          <w:kern w:val="0"/>
          <w:sz w:val="24"/>
          <w:szCs w:val="24"/>
          <w:highlight w:val="none"/>
          <w:lang w:val="en-US" w:eastAsia="zh-CN" w:bidi="ar-SA"/>
        </w:rPr>
        <w:t xml:space="preserve"> </w:t>
      </w:r>
    </w:p>
    <w:p w14:paraId="22C946EC">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65" w:name="_Toc14573"/>
      <w:bookmarkStart w:id="166" w:name="_Toc32143"/>
      <w:r>
        <w:rPr>
          <w:rFonts w:hint="eastAsia" w:ascii="宋体" w:hAnsi="宋体" w:eastAsia="宋体" w:cs="宋体"/>
          <w:b w:val="0"/>
          <w:bCs w:val="0"/>
          <w:kern w:val="0"/>
          <w:sz w:val="24"/>
          <w:szCs w:val="24"/>
          <w:highlight w:val="none"/>
          <w:lang w:val="en-US" w:eastAsia="zh-CN" w:bidi="ar-SA"/>
        </w:rPr>
        <w:t>开标时，投标人须结合本公司实际情况，如实填写中小企业声明函，并在提交投标文件截止时间前提交，否则不给予价格</w:t>
      </w:r>
      <w:r>
        <w:rPr>
          <w:rFonts w:hint="eastAsia" w:ascii="宋体" w:hAnsi="宋体" w:cs="宋体"/>
          <w:b w:val="0"/>
          <w:bCs w:val="0"/>
          <w:kern w:val="0"/>
          <w:sz w:val="24"/>
          <w:szCs w:val="24"/>
          <w:highlight w:val="none"/>
          <w:lang w:val="en-US" w:eastAsia="zh-CN" w:bidi="ar-SA"/>
        </w:rPr>
        <w:t>加分</w:t>
      </w:r>
      <w:r>
        <w:rPr>
          <w:rFonts w:hint="eastAsia" w:ascii="宋体" w:hAnsi="宋体" w:eastAsia="宋体" w:cs="宋体"/>
          <w:b w:val="0"/>
          <w:bCs w:val="0"/>
          <w:kern w:val="0"/>
          <w:sz w:val="24"/>
          <w:szCs w:val="24"/>
          <w:highlight w:val="none"/>
          <w:lang w:val="en-US" w:eastAsia="zh-CN" w:bidi="ar-SA"/>
        </w:rPr>
        <w:t>。</w:t>
      </w:r>
      <w:bookmarkEnd w:id="165"/>
      <w:bookmarkEnd w:id="166"/>
    </w:p>
    <w:p w14:paraId="10D8E949">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67" w:name="_Toc31751"/>
      <w:bookmarkStart w:id="168" w:name="_Toc26184"/>
      <w:r>
        <w:rPr>
          <w:rFonts w:hint="eastAsia" w:ascii="宋体" w:hAnsi="宋体" w:eastAsia="宋体" w:cs="宋体"/>
          <w:b w:val="0"/>
          <w:bCs w:val="0"/>
          <w:kern w:val="0"/>
          <w:sz w:val="24"/>
          <w:szCs w:val="24"/>
          <w:highlight w:val="none"/>
          <w:lang w:val="en-US" w:eastAsia="zh-CN" w:bidi="ar-SA"/>
        </w:rPr>
        <w:t>监狱企业价格加分</w:t>
      </w:r>
      <w:bookmarkEnd w:id="167"/>
      <w:bookmarkEnd w:id="168"/>
    </w:p>
    <w:p w14:paraId="5FD23EBF">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69" w:name="_Toc28694"/>
      <w:bookmarkStart w:id="170" w:name="_Toc757"/>
      <w:r>
        <w:rPr>
          <w:rFonts w:hint="eastAsia" w:ascii="宋体" w:hAnsi="宋体" w:eastAsia="宋体" w:cs="宋体"/>
          <w:b w:val="0"/>
          <w:bCs w:val="0"/>
          <w:kern w:val="0"/>
          <w:sz w:val="24"/>
          <w:szCs w:val="24"/>
          <w:highlight w:val="none"/>
          <w:lang w:val="en-US" w:eastAsia="zh-CN" w:bidi="ar-SA"/>
        </w:rPr>
        <w:t>根据《关于政府采购支持监狱企业发展有关问题的通知》（ 财库[2014]68号文件规定：在政府采购活动中，监狱企业和戒毒企业视同小型、微型企业，评审中享受同小型、微型企业相同的价格</w:t>
      </w:r>
      <w:r>
        <w:rPr>
          <w:rFonts w:hint="eastAsia" w:ascii="宋体" w:hAnsi="宋体" w:cs="宋体"/>
          <w:b w:val="0"/>
          <w:bCs w:val="0"/>
          <w:kern w:val="0"/>
          <w:sz w:val="24"/>
          <w:szCs w:val="24"/>
          <w:highlight w:val="none"/>
          <w:lang w:val="en-US" w:eastAsia="zh-CN" w:bidi="ar-SA"/>
        </w:rPr>
        <w:t>加分</w:t>
      </w:r>
      <w:r>
        <w:rPr>
          <w:rFonts w:hint="eastAsia" w:ascii="宋体" w:hAnsi="宋体" w:eastAsia="宋体" w:cs="宋体"/>
          <w:b w:val="0"/>
          <w:bCs w:val="0"/>
          <w:kern w:val="0"/>
          <w:sz w:val="24"/>
          <w:szCs w:val="24"/>
          <w:highlight w:val="none"/>
          <w:lang w:val="en-US" w:eastAsia="zh-CN" w:bidi="ar-SA"/>
        </w:rPr>
        <w:t>。监狱企业和戒毒企业参加政府采购活动时，应当提供由省级以上监狱管理局、戒毒管理局（含新疆生产建设兵团）出具的属于监狱企业的证明文件原件扫描件附到投标文件中，否则不给予价格加分。</w:t>
      </w:r>
      <w:bookmarkEnd w:id="169"/>
      <w:bookmarkEnd w:id="170"/>
    </w:p>
    <w:p w14:paraId="2A785530">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71" w:name="_Toc8887"/>
      <w:bookmarkStart w:id="172" w:name="_Toc16676"/>
      <w:r>
        <w:rPr>
          <w:rFonts w:hint="eastAsia" w:ascii="宋体" w:hAnsi="宋体" w:eastAsia="宋体" w:cs="宋体"/>
          <w:b w:val="0"/>
          <w:bCs w:val="0"/>
          <w:kern w:val="0"/>
          <w:sz w:val="24"/>
          <w:szCs w:val="24"/>
          <w:highlight w:val="none"/>
          <w:lang w:val="en-US" w:eastAsia="zh-CN" w:bidi="ar-SA"/>
        </w:rPr>
        <w:t>残疾人福利性单位价格加分</w:t>
      </w:r>
      <w:bookmarkEnd w:id="171"/>
      <w:bookmarkEnd w:id="172"/>
    </w:p>
    <w:p w14:paraId="76C9E547">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173" w:name="_Toc1749"/>
      <w:bookmarkStart w:id="174" w:name="_Toc674"/>
      <w:r>
        <w:rPr>
          <w:rFonts w:hint="eastAsia" w:ascii="宋体" w:hAnsi="宋体" w:eastAsia="宋体" w:cs="宋体"/>
          <w:b w:val="0"/>
          <w:bCs w:val="0"/>
          <w:kern w:val="0"/>
          <w:sz w:val="24"/>
          <w:szCs w:val="24"/>
          <w:highlight w:val="none"/>
          <w:lang w:val="en-US" w:eastAsia="zh-CN" w:bidi="ar-SA"/>
        </w:rPr>
        <w:t>符合条件的残疾人福利性单位在参加政府采购活动时，应当提供《残疾人福利性单位声明函》，并对声明的真实性负责。任何单位或者个人在政府采购活动中均不得要求残疾人福利性单位提供其他证明声明函内容的材料。在政府采购活动中，残疾人福利性单位视同小型、微型企业，享受预留份额、评审中价格</w:t>
      </w:r>
      <w:r>
        <w:rPr>
          <w:rFonts w:hint="eastAsia" w:ascii="宋体" w:hAnsi="宋体" w:cs="宋体"/>
          <w:b w:val="0"/>
          <w:bCs w:val="0"/>
          <w:kern w:val="0"/>
          <w:sz w:val="24"/>
          <w:szCs w:val="24"/>
          <w:highlight w:val="none"/>
          <w:lang w:val="en-US" w:eastAsia="zh-CN" w:bidi="ar-SA"/>
        </w:rPr>
        <w:t>加分</w:t>
      </w:r>
      <w:r>
        <w:rPr>
          <w:rFonts w:hint="eastAsia" w:ascii="宋体" w:hAnsi="宋体" w:eastAsia="宋体" w:cs="宋体"/>
          <w:b w:val="0"/>
          <w:bCs w:val="0"/>
          <w:kern w:val="0"/>
          <w:sz w:val="24"/>
          <w:szCs w:val="24"/>
          <w:highlight w:val="none"/>
          <w:lang w:val="en-US" w:eastAsia="zh-CN" w:bidi="ar-SA"/>
        </w:rPr>
        <w:t>等促进中小企业发展的政府采购政策。向残疾人福利性单位采购的金额，计面向中小企业采购的统计数据。残疾人福利性单位属于小型、微型企业的，不重复享受政策；开标时，投标人须提供《残疾人福利性单位声明函》原件扫描件附到投标文件中，否则不给予价格加分。</w:t>
      </w:r>
      <w:bookmarkEnd w:id="173"/>
      <w:bookmarkEnd w:id="174"/>
    </w:p>
    <w:p w14:paraId="2790AED6">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75C297D6">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5B129A59">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14BA8919">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3BDB4EA5">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7E0012C9">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2C4830BA">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09661E76">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3227C989">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4AF0EE7E">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00FE136C">
      <w:pPr>
        <w:adjustRightInd w:val="0"/>
        <w:snapToGrid w:val="0"/>
        <w:spacing w:line="420" w:lineRule="exact"/>
        <w:ind w:firstLine="630" w:firstLineChars="300"/>
        <w:jc w:val="left"/>
        <w:rPr>
          <w:rFonts w:hint="eastAsia" w:ascii="宋体" w:hAnsi="宋体" w:cs="宋体"/>
          <w:kern w:val="0"/>
          <w:szCs w:val="21"/>
          <w:highlight w:val="none"/>
        </w:rPr>
      </w:pPr>
    </w:p>
    <w:p w14:paraId="76B12271">
      <w:pPr>
        <w:pStyle w:val="53"/>
        <w:ind w:left="0" w:leftChars="0" w:firstLine="0" w:firstLineChars="0"/>
        <w:rPr>
          <w:rFonts w:hint="eastAsia" w:ascii="宋体" w:hAnsi="宋体" w:cs="宋体"/>
          <w:kern w:val="0"/>
          <w:szCs w:val="21"/>
          <w:highlight w:val="none"/>
        </w:rPr>
      </w:pPr>
    </w:p>
    <w:p w14:paraId="4FFBB734">
      <w:pPr>
        <w:rPr>
          <w:rFonts w:hint="eastAsia"/>
          <w:lang w:val="en-US" w:eastAsia="zh-CN"/>
        </w:rPr>
      </w:pPr>
      <w:bookmarkStart w:id="175" w:name="_Toc25518"/>
      <w:r>
        <w:rPr>
          <w:rFonts w:hint="eastAsia"/>
          <w:lang w:val="en-US" w:eastAsia="zh-CN"/>
        </w:rPr>
        <w:br w:type="page"/>
      </w:r>
    </w:p>
    <w:p w14:paraId="479B845D">
      <w:pPr>
        <w:pStyle w:val="2"/>
        <w:keepNext/>
        <w:keepLines/>
        <w:pageBreakBefore w:val="0"/>
        <w:widowControl w:val="0"/>
        <w:kinsoku/>
        <w:wordWrap/>
        <w:overflowPunct/>
        <w:topLinePunct w:val="0"/>
        <w:autoSpaceDE/>
        <w:autoSpaceDN/>
        <w:bidi w:val="0"/>
        <w:adjustRightInd/>
        <w:snapToGrid/>
        <w:spacing w:line="420" w:lineRule="auto"/>
        <w:textAlignment w:val="auto"/>
        <w:rPr>
          <w:rFonts w:hint="eastAsia"/>
          <w:lang w:val="en-US" w:eastAsia="zh-CN"/>
        </w:rPr>
      </w:pPr>
      <w:bookmarkStart w:id="176" w:name="_Toc24563"/>
      <w:r>
        <w:rPr>
          <w:rFonts w:hint="eastAsia"/>
          <w:lang w:val="en-US" w:eastAsia="zh-CN"/>
        </w:rPr>
        <w:t>第四章 定标方法</w:t>
      </w:r>
      <w:bookmarkEnd w:id="175"/>
      <w:bookmarkEnd w:id="176"/>
    </w:p>
    <w:tbl>
      <w:tblPr>
        <w:tblStyle w:val="36"/>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2"/>
        <w:gridCol w:w="1802"/>
        <w:gridCol w:w="6108"/>
      </w:tblGrid>
      <w:tr w14:paraId="3B65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771" w:type="pct"/>
            <w:noWrap w:val="0"/>
            <w:vAlign w:val="center"/>
          </w:tcPr>
          <w:p w14:paraId="5010C274">
            <w:pPr>
              <w:widowControl/>
              <w:spacing w:line="360" w:lineRule="auto"/>
              <w:ind w:firstLine="0" w:firstLineChars="0"/>
              <w:jc w:val="center"/>
              <w:rPr>
                <w:rFonts w:cs="宋体"/>
                <w:color w:val="000000"/>
                <w:sz w:val="24"/>
                <w:szCs w:val="24"/>
                <w:highlight w:val="none"/>
              </w:rPr>
            </w:pPr>
            <w:r>
              <w:rPr>
                <w:rFonts w:hint="eastAsia" w:cs="宋体"/>
                <w:b/>
                <w:bCs/>
                <w:color w:val="000000"/>
                <w:sz w:val="24"/>
                <w:szCs w:val="24"/>
                <w:highlight w:val="none"/>
              </w:rPr>
              <w:t>条款号</w:t>
            </w:r>
          </w:p>
        </w:tc>
        <w:tc>
          <w:tcPr>
            <w:tcW w:w="963" w:type="pct"/>
            <w:noWrap w:val="0"/>
            <w:vAlign w:val="center"/>
          </w:tcPr>
          <w:p w14:paraId="5D926E59">
            <w:pPr>
              <w:widowControl/>
              <w:spacing w:line="360" w:lineRule="auto"/>
              <w:ind w:firstLine="120" w:firstLineChars="50"/>
              <w:jc w:val="center"/>
              <w:rPr>
                <w:rFonts w:cs="宋体"/>
                <w:color w:val="000000"/>
                <w:sz w:val="24"/>
                <w:szCs w:val="24"/>
                <w:highlight w:val="none"/>
              </w:rPr>
            </w:pPr>
            <w:r>
              <w:rPr>
                <w:rFonts w:hint="eastAsia" w:cs="宋体"/>
                <w:b/>
                <w:bCs/>
                <w:color w:val="000000"/>
                <w:sz w:val="24"/>
                <w:szCs w:val="24"/>
                <w:highlight w:val="none"/>
              </w:rPr>
              <w:t>评审因素</w:t>
            </w:r>
          </w:p>
        </w:tc>
        <w:tc>
          <w:tcPr>
            <w:tcW w:w="3264" w:type="pct"/>
            <w:noWrap w:val="0"/>
            <w:vAlign w:val="center"/>
          </w:tcPr>
          <w:p w14:paraId="6BF7F4ED">
            <w:pPr>
              <w:widowControl/>
              <w:spacing w:line="360" w:lineRule="auto"/>
              <w:ind w:firstLine="120" w:firstLineChars="50"/>
              <w:jc w:val="center"/>
              <w:rPr>
                <w:rFonts w:cs="宋体"/>
                <w:color w:val="000000"/>
                <w:sz w:val="24"/>
                <w:szCs w:val="24"/>
                <w:highlight w:val="none"/>
              </w:rPr>
            </w:pPr>
            <w:r>
              <w:rPr>
                <w:rFonts w:hint="eastAsia" w:cs="宋体"/>
                <w:b/>
                <w:bCs/>
                <w:color w:val="000000"/>
                <w:sz w:val="24"/>
                <w:szCs w:val="24"/>
                <w:highlight w:val="none"/>
              </w:rPr>
              <w:t>评审标准</w:t>
            </w:r>
          </w:p>
        </w:tc>
      </w:tr>
      <w:tr w14:paraId="49636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7" w:hRule="atLeast"/>
        </w:trPr>
        <w:tc>
          <w:tcPr>
            <w:tcW w:w="771" w:type="pct"/>
            <w:noWrap w:val="0"/>
            <w:vAlign w:val="center"/>
          </w:tcPr>
          <w:p w14:paraId="2D6F4D7C">
            <w:pPr>
              <w:widowControl/>
              <w:spacing w:line="360" w:lineRule="auto"/>
              <w:ind w:firstLine="0" w:firstLineChars="0"/>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w:t>
            </w:r>
          </w:p>
        </w:tc>
        <w:tc>
          <w:tcPr>
            <w:tcW w:w="963" w:type="pct"/>
            <w:noWrap w:val="0"/>
            <w:tcMar>
              <w:left w:w="75" w:type="dxa"/>
            </w:tcMar>
            <w:vAlign w:val="center"/>
          </w:tcPr>
          <w:p w14:paraId="68BEA7B0">
            <w:pPr>
              <w:widowControl/>
              <w:adjustRightInd w:val="0"/>
              <w:snapToGrid w:val="0"/>
              <w:spacing w:line="360" w:lineRule="auto"/>
              <w:ind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定标方法</w:t>
            </w:r>
          </w:p>
        </w:tc>
        <w:tc>
          <w:tcPr>
            <w:tcW w:w="3264" w:type="pct"/>
            <w:noWrap w:val="0"/>
            <w:tcMar>
              <w:left w:w="75" w:type="dxa"/>
            </w:tcMar>
            <w:vAlign w:val="center"/>
          </w:tcPr>
          <w:p w14:paraId="0172D8D2">
            <w:pPr>
              <w:spacing w:line="360" w:lineRule="auto"/>
              <w:ind w:right="105" w:rightChars="50"/>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集体议事法</w:t>
            </w:r>
          </w:p>
          <w:p w14:paraId="02668E1E">
            <w:pPr>
              <w:spacing w:line="360" w:lineRule="auto"/>
              <w:ind w:right="105" w:rightChars="50"/>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票决定标法</w:t>
            </w:r>
          </w:p>
          <w:p w14:paraId="6961B6F5">
            <w:pPr>
              <w:widowControl/>
              <w:adjustRightInd w:val="0"/>
              <w:snapToGrid w:val="0"/>
              <w:spacing w:line="360" w:lineRule="auto"/>
              <w:ind w:firstLine="0" w:firstLineChars="0"/>
              <w:jc w:val="left"/>
              <w:rPr>
                <w:rFonts w:hint="eastAsia" w:ascii="宋体" w:hAnsi="宋体" w:eastAsia="宋体" w:cs="宋体"/>
                <w:color w:val="0000FF"/>
                <w:sz w:val="24"/>
                <w:szCs w:val="24"/>
                <w:highlight w:val="none"/>
                <w:u w:val="single"/>
              </w:rPr>
            </w:pPr>
            <w:r>
              <w:rPr>
                <w:rFonts w:hint="eastAsia" w:ascii="宋体" w:hAnsi="宋体" w:eastAsia="宋体" w:cs="宋体"/>
                <w:color w:val="auto"/>
                <w:sz w:val="24"/>
                <w:szCs w:val="24"/>
                <w:highlight w:val="none"/>
                <w:shd w:val="clear" w:color="auto" w:fill="auto"/>
                <w:lang w:val="en-US" w:eastAsia="zh-CN"/>
              </w:rPr>
              <w:t>□低中选优定标法</w:t>
            </w:r>
            <w:r>
              <w:rPr>
                <w:rFonts w:hint="eastAsia" w:ascii="宋体" w:hAnsi="宋体" w:eastAsia="宋体" w:cs="宋体"/>
                <w:color w:val="0000FF"/>
                <w:sz w:val="24"/>
                <w:szCs w:val="24"/>
                <w:highlight w:val="none"/>
                <w:u w:val="single"/>
              </w:rPr>
              <w:t xml:space="preserve">  </w:t>
            </w:r>
          </w:p>
          <w:p w14:paraId="7959AC37">
            <w:pPr>
              <w:widowControl/>
              <w:adjustRightInd w:val="0"/>
              <w:snapToGrid w:val="0"/>
              <w:spacing w:line="360" w:lineRule="auto"/>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000000"/>
                <w:kern w:val="0"/>
                <w:sz w:val="24"/>
                <w:szCs w:val="24"/>
                <w:highlight w:val="none"/>
              </w:rPr>
              <w:t>其他：</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FF"/>
                <w:sz w:val="24"/>
                <w:szCs w:val="24"/>
                <w:highlight w:val="none"/>
                <w:u w:val="single"/>
              </w:rPr>
              <w:t xml:space="preserve">      </w:t>
            </w:r>
          </w:p>
        </w:tc>
      </w:tr>
      <w:tr w14:paraId="3004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4" w:hRule="atLeast"/>
        </w:trPr>
        <w:tc>
          <w:tcPr>
            <w:tcW w:w="771" w:type="pct"/>
            <w:noWrap w:val="0"/>
            <w:vAlign w:val="center"/>
          </w:tcPr>
          <w:p w14:paraId="06A92328">
            <w:pPr>
              <w:snapToGrid w:val="0"/>
              <w:spacing w:line="360" w:lineRule="auto"/>
              <w:ind w:firstLine="0" w:firstLineChars="0"/>
              <w:jc w:val="center"/>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val="en-US" w:eastAsia="zh-CN"/>
              </w:rPr>
              <w:t>2</w:t>
            </w:r>
          </w:p>
        </w:tc>
        <w:tc>
          <w:tcPr>
            <w:tcW w:w="963" w:type="pct"/>
            <w:noWrap w:val="0"/>
            <w:tcMar>
              <w:left w:w="75" w:type="dxa"/>
            </w:tcMar>
            <w:vAlign w:val="center"/>
          </w:tcPr>
          <w:p w14:paraId="5C022725">
            <w:pPr>
              <w:snapToGrid w:val="0"/>
              <w:spacing w:line="360" w:lineRule="auto"/>
              <w:ind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定标规则</w:t>
            </w:r>
          </w:p>
        </w:tc>
        <w:tc>
          <w:tcPr>
            <w:tcW w:w="3264" w:type="pct"/>
            <w:noWrap w:val="0"/>
            <w:vAlign w:val="center"/>
          </w:tcPr>
          <w:p w14:paraId="6C50D66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集体议事法：由定标委员会集体商议，定标委员会成员各自发表意见，由定标委员会</w:t>
            </w:r>
            <w:r>
              <w:rPr>
                <w:rFonts w:hint="eastAsia" w:ascii="宋体" w:hAnsi="宋体" w:eastAsia="宋体" w:cs="宋体"/>
                <w:color w:val="000000"/>
                <w:kern w:val="0"/>
                <w:sz w:val="24"/>
                <w:szCs w:val="24"/>
                <w:highlight w:val="none"/>
                <w:lang w:val="en-US" w:eastAsia="zh-CN"/>
              </w:rPr>
              <w:t>组长</w:t>
            </w:r>
            <w:r>
              <w:rPr>
                <w:rFonts w:hint="eastAsia" w:ascii="宋体" w:hAnsi="宋体" w:eastAsia="宋体" w:cs="宋体"/>
                <w:color w:val="000000"/>
                <w:kern w:val="0"/>
                <w:sz w:val="24"/>
                <w:szCs w:val="24"/>
                <w:highlight w:val="none"/>
              </w:rPr>
              <w:t>最终确定中标人。</w:t>
            </w:r>
          </w:p>
          <w:p w14:paraId="1AB5029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票决</w:t>
            </w:r>
            <w:r>
              <w:rPr>
                <w:rFonts w:hint="eastAsia" w:ascii="宋体" w:hAnsi="宋体" w:eastAsia="宋体" w:cs="宋体"/>
                <w:color w:val="000000"/>
                <w:kern w:val="0"/>
                <w:sz w:val="24"/>
                <w:szCs w:val="24"/>
                <w:highlight w:val="none"/>
                <w:lang w:eastAsia="zh-CN"/>
              </w:rPr>
              <w:t>定标</w:t>
            </w:r>
            <w:r>
              <w:rPr>
                <w:rFonts w:hint="eastAsia" w:ascii="宋体" w:hAnsi="宋体" w:eastAsia="宋体" w:cs="宋体"/>
                <w:color w:val="000000"/>
                <w:kern w:val="0"/>
                <w:sz w:val="24"/>
                <w:szCs w:val="24"/>
                <w:highlight w:val="none"/>
              </w:rPr>
              <w:t>法（直接票决）：定标委员会成员在定标候选人中选择1家进行投票，推荐的得1票，最终按推荐得票数由高到低排序确定中标人。票决中出现推荐得票数相同以致影响中标人确定的，由定标委员会对推荐得票数最高且相同的定标候选人，按投标报价由低到高进行排序，报价最低者将被确定为中标人（若投标报价也相同的，由定标委员会对投标报价相同的投标人再次进行投票，得票数高的为中标人）。</w:t>
            </w:r>
          </w:p>
          <w:p w14:paraId="4042554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□票决</w:t>
            </w:r>
            <w:r>
              <w:rPr>
                <w:rFonts w:hint="eastAsia" w:ascii="宋体" w:hAnsi="宋体" w:eastAsia="宋体" w:cs="宋体"/>
                <w:color w:val="000000"/>
                <w:kern w:val="0"/>
                <w:sz w:val="24"/>
                <w:szCs w:val="24"/>
                <w:highlight w:val="none"/>
                <w:lang w:eastAsia="zh-CN"/>
              </w:rPr>
              <w:t>定标</w:t>
            </w:r>
            <w:r>
              <w:rPr>
                <w:rFonts w:hint="eastAsia" w:ascii="宋体" w:hAnsi="宋体" w:eastAsia="宋体" w:cs="宋体"/>
                <w:color w:val="000000"/>
                <w:kern w:val="0"/>
                <w:sz w:val="24"/>
                <w:szCs w:val="24"/>
                <w:highlight w:val="none"/>
              </w:rPr>
              <w:t>法（逐轮票决）：分为两轮。定标规则具体如下：</w:t>
            </w:r>
          </w:p>
          <w:p w14:paraId="06BAE95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第一轮，定标委员会在定标候选人中选择3家进行投票，按累计得票数由高到低顺序进行排序，票数高的3家进入第二轮。定标委员会对进入第二轮的定标候选人选择1家进行投票，推荐的得1票，最终按推荐得票数由高到低排序确定中标人。</w:t>
            </w:r>
          </w:p>
          <w:p w14:paraId="61EEFD65">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票决中出现推荐得票数相同且影响第二轮入围的，由定标委员会对推荐得票数相同的定标候选人，按投标报价由低到高进行排序，投标报价较低的依次入围第二轮（若投标报价也相同的，由定标委员会对报价相同的单位再次进行投票，得票数高的入围第二轮），直至入围家数满足3家；票决中出现推荐得票数相同且影响中标人确定的，由定标委员会对推荐得票数最高且相同的定标候选人，按投标报价由低到高进行排序，报价最低者将被确定为中标人（若投标报价也相同的，由定标委员会对报价相同的单位再次进行投票，得票数高的为中标人）。</w:t>
            </w:r>
          </w:p>
          <w:p w14:paraId="6D3B46C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000000"/>
                <w:kern w:val="0"/>
                <w:sz w:val="24"/>
                <w:szCs w:val="24"/>
                <w:highlight w:val="none"/>
                <w:lang w:eastAsia="zh-CN"/>
              </w:rPr>
              <w:t>低中选优定标法：</w:t>
            </w:r>
            <w:r>
              <w:rPr>
                <w:rFonts w:hint="eastAsia" w:ascii="宋体" w:hAnsi="宋体" w:eastAsia="宋体" w:cs="宋体"/>
                <w:color w:val="000000"/>
                <w:kern w:val="0"/>
                <w:sz w:val="24"/>
                <w:szCs w:val="24"/>
                <w:highlight w:val="none"/>
                <w:lang w:val="en-US" w:eastAsia="zh-CN"/>
              </w:rPr>
              <w:t>是指定标委员会对各定标侯选人复核审查无异议后,按照中标侯选人报价相对平均值较低的价格竞争方法, 综合考虑中标侯选人实力,包括企业规模、资质等级、专业技术人员规模、财务状况、过往业绩 (含业绩影响力和难易程度)、 信用评价情况等方面,合理选择中标人：</w:t>
            </w:r>
          </w:p>
          <w:p w14:paraId="0787567C">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定标委员会对所有定标候选人进行复核，选择定标候选人中报价低于评标基准价（依据评标阶段确定的基准价）的企业，进入下一阶段评审；</w:t>
            </w:r>
          </w:p>
          <w:p w14:paraId="2E8025AA">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对所有进行第二阶段评审的候选人横向比较，按照以下因素进行评审赋分：1）企业规模、2）资质等级、3）专业技术人员规模、4）财务状况、5）过往业绩 与履约情况、 6）信用评价情况；其中最好的得15分（情况基本相同的可并列，得相同分数），以后按每低一个档次少得一分的规则赋分；</w:t>
            </w:r>
          </w:p>
          <w:p w14:paraId="09686B69">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分别汇总每个定标候选人的各项因素得分，总分最高的即可确定为中标人。</w:t>
            </w:r>
          </w:p>
          <w:p w14:paraId="4DE0F179">
            <w:pPr>
              <w:widowControl/>
              <w:spacing w:line="360" w:lineRule="auto"/>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000000"/>
                <w:kern w:val="0"/>
                <w:sz w:val="24"/>
                <w:szCs w:val="24"/>
                <w:highlight w:val="none"/>
              </w:rPr>
              <w:t>其他：</w:t>
            </w:r>
            <w:r>
              <w:rPr>
                <w:rFonts w:hint="eastAsia" w:ascii="宋体" w:hAnsi="宋体" w:eastAsia="宋体" w:cs="宋体"/>
                <w:color w:val="000000"/>
                <w:kern w:val="0"/>
                <w:sz w:val="24"/>
                <w:szCs w:val="24"/>
                <w:highlight w:val="none"/>
                <w:u w:val="single"/>
              </w:rPr>
              <w:t xml:space="preserve">          </w:t>
            </w:r>
          </w:p>
        </w:tc>
      </w:tr>
    </w:tbl>
    <w:p w14:paraId="25686CDE">
      <w:pPr>
        <w:pStyle w:val="90"/>
        <w:rPr>
          <w:color w:val="000000"/>
          <w:highlight w:val="none"/>
          <w:lang w:val="zh-CN"/>
        </w:rPr>
      </w:pPr>
    </w:p>
    <w:p w14:paraId="5F2B18E8">
      <w:pPr>
        <w:pStyle w:val="3"/>
        <w:pageBreakBefore w:val="0"/>
        <w:widowControl w:val="0"/>
        <w:kinsoku/>
        <w:wordWrap/>
        <w:overflowPunct/>
        <w:topLinePunct w:val="0"/>
        <w:autoSpaceDE/>
        <w:autoSpaceDN/>
        <w:bidi w:val="0"/>
        <w:spacing w:line="480" w:lineRule="exact"/>
        <w:ind w:firstLine="480" w:firstLineChars="200"/>
        <w:outlineLvl w:val="9"/>
        <w:rPr>
          <w:rFonts w:hint="eastAsia" w:ascii="宋体" w:hAnsi="宋体" w:eastAsia="宋体" w:cs="宋体"/>
          <w:b w:val="0"/>
          <w:bCs w:val="0"/>
          <w:color w:val="000000"/>
          <w:sz w:val="24"/>
          <w:szCs w:val="24"/>
          <w:highlight w:val="none"/>
          <w:lang w:val="zh-CN"/>
        </w:rPr>
      </w:pPr>
      <w:bookmarkStart w:id="177" w:name="_Toc2087"/>
    </w:p>
    <w:p w14:paraId="26A4E57B">
      <w:pPr>
        <w:pStyle w:val="3"/>
        <w:pageBreakBefore w:val="0"/>
        <w:widowControl w:val="0"/>
        <w:kinsoku/>
        <w:wordWrap/>
        <w:overflowPunct/>
        <w:topLinePunct w:val="0"/>
        <w:autoSpaceDE/>
        <w:autoSpaceDN/>
        <w:bidi w:val="0"/>
        <w:spacing w:line="480" w:lineRule="exact"/>
        <w:ind w:firstLine="480" w:firstLineChars="200"/>
        <w:outlineLvl w:val="1"/>
        <w:rPr>
          <w:rFonts w:hint="eastAsia" w:ascii="宋体" w:hAnsi="宋体" w:eastAsia="宋体" w:cs="宋体"/>
          <w:b w:val="0"/>
          <w:bCs w:val="0"/>
          <w:color w:val="000000"/>
          <w:sz w:val="24"/>
          <w:szCs w:val="24"/>
          <w:highlight w:val="none"/>
          <w:lang w:val="zh-CN"/>
        </w:rPr>
      </w:pPr>
      <w:bookmarkStart w:id="178" w:name="_Toc24786"/>
      <w:bookmarkStart w:id="179" w:name="_Toc11813"/>
      <w:r>
        <w:rPr>
          <w:rFonts w:hint="eastAsia" w:ascii="宋体" w:hAnsi="宋体" w:eastAsia="宋体" w:cs="宋体"/>
          <w:b w:val="0"/>
          <w:bCs w:val="0"/>
          <w:color w:val="000000"/>
          <w:sz w:val="24"/>
          <w:szCs w:val="24"/>
          <w:highlight w:val="none"/>
          <w:lang w:val="zh-CN"/>
        </w:rPr>
        <w:t>1.定标方法</w:t>
      </w:r>
      <w:bookmarkEnd w:id="177"/>
      <w:bookmarkEnd w:id="178"/>
      <w:bookmarkEnd w:id="179"/>
      <w:r>
        <w:rPr>
          <w:rFonts w:hint="eastAsia" w:ascii="宋体" w:hAnsi="宋体" w:eastAsia="宋体" w:cs="宋体"/>
          <w:b w:val="0"/>
          <w:bCs w:val="0"/>
          <w:color w:val="000000"/>
          <w:sz w:val="24"/>
          <w:szCs w:val="24"/>
          <w:highlight w:val="none"/>
          <w:lang w:val="zh-CN"/>
        </w:rPr>
        <w:t xml:space="preserve"> </w:t>
      </w:r>
    </w:p>
    <w:p w14:paraId="64FA137B">
      <w:pPr>
        <w:pageBreakBefore w:val="0"/>
        <w:widowControl w:val="0"/>
        <w:kinsoku/>
        <w:wordWrap/>
        <w:overflowPunct/>
        <w:topLinePunct w:val="0"/>
        <w:autoSpaceDE/>
        <w:autoSpaceDN/>
        <w:bidi w:val="0"/>
        <w:adjustRightInd w:val="0"/>
        <w:snapToGrid w:val="0"/>
        <w:spacing w:line="480" w:lineRule="exact"/>
        <w:ind w:firstLine="480" w:firstLineChars="200"/>
        <w:textAlignment w:val="baseline"/>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本招标项目采用的定标方法</w:t>
      </w:r>
      <w:r>
        <w:rPr>
          <w:rFonts w:hint="eastAsia" w:ascii="宋体" w:hAnsi="宋体" w:eastAsia="宋体" w:cs="宋体"/>
          <w:color w:val="000000"/>
          <w:sz w:val="24"/>
          <w:szCs w:val="24"/>
          <w:highlight w:val="none"/>
          <w:lang w:val="en-US" w:eastAsia="zh-CN"/>
        </w:rPr>
        <w:t>见</w:t>
      </w:r>
      <w:r>
        <w:rPr>
          <w:rFonts w:hint="eastAsia" w:ascii="宋体" w:hAnsi="宋体" w:eastAsia="宋体" w:cs="宋体"/>
          <w:color w:val="000000"/>
          <w:sz w:val="24"/>
          <w:szCs w:val="24"/>
          <w:highlight w:val="none"/>
        </w:rPr>
        <w:t>前附表。</w:t>
      </w:r>
    </w:p>
    <w:p w14:paraId="7FD59A7C">
      <w:pPr>
        <w:pStyle w:val="3"/>
        <w:pageBreakBefore w:val="0"/>
        <w:widowControl w:val="0"/>
        <w:kinsoku/>
        <w:wordWrap/>
        <w:overflowPunct/>
        <w:topLinePunct w:val="0"/>
        <w:autoSpaceDE/>
        <w:autoSpaceDN/>
        <w:bidi w:val="0"/>
        <w:spacing w:line="480" w:lineRule="exact"/>
        <w:ind w:firstLine="480" w:firstLineChars="200"/>
        <w:outlineLvl w:val="1"/>
        <w:rPr>
          <w:rFonts w:hint="eastAsia" w:ascii="宋体" w:hAnsi="宋体" w:eastAsia="宋体" w:cs="宋体"/>
          <w:b w:val="0"/>
          <w:bCs w:val="0"/>
          <w:color w:val="000000"/>
          <w:sz w:val="24"/>
          <w:szCs w:val="24"/>
          <w:highlight w:val="none"/>
          <w:lang w:val="zh-CN"/>
        </w:rPr>
      </w:pPr>
      <w:bookmarkStart w:id="180" w:name="_Toc19332"/>
      <w:bookmarkStart w:id="181" w:name="_Toc27918"/>
      <w:bookmarkStart w:id="182" w:name="_Toc22831"/>
      <w:r>
        <w:rPr>
          <w:rFonts w:hint="eastAsia" w:ascii="宋体" w:hAnsi="宋体" w:eastAsia="宋体" w:cs="宋体"/>
          <w:b w:val="0"/>
          <w:bCs w:val="0"/>
          <w:color w:val="000000"/>
          <w:sz w:val="24"/>
          <w:szCs w:val="24"/>
          <w:highlight w:val="none"/>
          <w:lang w:val="zh-CN"/>
        </w:rPr>
        <w:t>2.定标程序</w:t>
      </w:r>
      <w:bookmarkEnd w:id="180"/>
      <w:bookmarkEnd w:id="181"/>
      <w:bookmarkEnd w:id="182"/>
      <w:r>
        <w:rPr>
          <w:rFonts w:hint="eastAsia" w:ascii="宋体" w:hAnsi="宋体" w:eastAsia="宋体" w:cs="宋体"/>
          <w:b w:val="0"/>
          <w:bCs w:val="0"/>
          <w:color w:val="000000"/>
          <w:sz w:val="24"/>
          <w:szCs w:val="24"/>
          <w:highlight w:val="none"/>
          <w:lang w:val="zh-CN"/>
        </w:rPr>
        <w:t xml:space="preserve"> </w:t>
      </w:r>
    </w:p>
    <w:p w14:paraId="0198062D">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定标会议由定标委员会</w:t>
      </w:r>
      <w:r>
        <w:rPr>
          <w:rFonts w:hint="eastAsia" w:ascii="宋体" w:hAnsi="宋体" w:eastAsia="宋体" w:cs="宋体"/>
          <w:kern w:val="0"/>
          <w:sz w:val="24"/>
          <w:szCs w:val="24"/>
          <w:highlight w:val="none"/>
          <w:lang w:val="zh-CN" w:eastAsia="zh-CN"/>
        </w:rPr>
        <w:t>组长</w:t>
      </w:r>
      <w:r>
        <w:rPr>
          <w:rFonts w:hint="eastAsia" w:ascii="宋体" w:hAnsi="宋体" w:eastAsia="宋体" w:cs="宋体"/>
          <w:kern w:val="0"/>
          <w:sz w:val="24"/>
          <w:szCs w:val="24"/>
          <w:highlight w:val="none"/>
          <w:lang w:val="zh-CN"/>
        </w:rPr>
        <w:t xml:space="preserve">主持，定标委员会可参照以下程序进行定标： </w:t>
      </w:r>
    </w:p>
    <w:p w14:paraId="488AC59D">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（1）</w:t>
      </w:r>
      <w:r>
        <w:rPr>
          <w:rFonts w:hint="eastAsia" w:ascii="宋体" w:hAnsi="宋体" w:eastAsia="宋体" w:cs="宋体"/>
          <w:kern w:val="0"/>
          <w:sz w:val="24"/>
          <w:szCs w:val="24"/>
          <w:highlight w:val="none"/>
          <w:lang w:val="zh-CN" w:eastAsia="zh-CN"/>
        </w:rPr>
        <w:t>招标人</w:t>
      </w:r>
      <w:r>
        <w:rPr>
          <w:rFonts w:hint="eastAsia" w:ascii="宋体" w:hAnsi="宋体" w:eastAsia="宋体" w:cs="宋体"/>
          <w:kern w:val="0"/>
          <w:sz w:val="24"/>
          <w:szCs w:val="24"/>
          <w:highlight w:val="none"/>
          <w:lang w:val="zh-CN"/>
        </w:rPr>
        <w:t>介绍定标程序及须知，定标成员签署承诺书；</w:t>
      </w:r>
    </w:p>
    <w:p w14:paraId="4A64BB28">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（2）招标人介绍项目基本情况、招标情况；</w:t>
      </w:r>
    </w:p>
    <w:p w14:paraId="4F146FFC">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（3）评标小组</w:t>
      </w:r>
      <w:r>
        <w:rPr>
          <w:rFonts w:hint="eastAsia" w:ascii="宋体" w:hAnsi="宋体" w:eastAsia="宋体" w:cs="宋体"/>
          <w:kern w:val="0"/>
          <w:sz w:val="24"/>
          <w:szCs w:val="24"/>
          <w:highlight w:val="none"/>
          <w:lang w:val="zh-CN" w:eastAsia="zh-CN"/>
        </w:rPr>
        <w:t>代表</w:t>
      </w:r>
      <w:r>
        <w:rPr>
          <w:rFonts w:hint="eastAsia" w:ascii="宋体" w:hAnsi="宋体" w:eastAsia="宋体" w:cs="宋体"/>
          <w:kern w:val="0"/>
          <w:sz w:val="24"/>
          <w:szCs w:val="24"/>
          <w:highlight w:val="none"/>
          <w:lang w:val="zh-CN"/>
        </w:rPr>
        <w:t>或招标人介绍评标情况、专家评审意见及提醒注意事项等；</w:t>
      </w:r>
    </w:p>
    <w:p w14:paraId="5F6C9BC0">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（4）招标人结合对定标候选人的考察、质询及相关资料，汇报各定标候选人的优势、不足、风险等；</w:t>
      </w:r>
    </w:p>
    <w:p w14:paraId="4FFC087A">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（5）</w:t>
      </w:r>
      <w:r>
        <w:rPr>
          <w:rFonts w:hint="eastAsia" w:ascii="宋体" w:hAnsi="宋体" w:eastAsia="宋体" w:cs="宋体"/>
          <w:kern w:val="0"/>
          <w:sz w:val="24"/>
          <w:szCs w:val="24"/>
          <w:highlight w:val="none"/>
          <w:lang w:val="zh-CN" w:eastAsia="zh-CN"/>
        </w:rPr>
        <w:t>招标人</w:t>
      </w:r>
      <w:r>
        <w:rPr>
          <w:rFonts w:hint="eastAsia" w:ascii="宋体" w:hAnsi="宋体" w:eastAsia="宋体" w:cs="宋体"/>
          <w:kern w:val="0"/>
          <w:sz w:val="24"/>
          <w:szCs w:val="24"/>
          <w:highlight w:val="none"/>
          <w:lang w:val="zh-CN"/>
        </w:rPr>
        <w:t>对上述程序的合法合规性、汇报内容及相关材料的真实性作出说明；</w:t>
      </w:r>
    </w:p>
    <w:p w14:paraId="07EB32C8">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（6）定标委员会成员提出疑问，相关人员解答；</w:t>
      </w:r>
    </w:p>
    <w:p w14:paraId="3D694346">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（7）非定标相关人员离场(不含监督小组等工作人员)；</w:t>
      </w:r>
    </w:p>
    <w:p w14:paraId="452C223C">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（8）采用集体议事法的，定标委员会成员各自发表意见，定标委员会</w:t>
      </w:r>
      <w:r>
        <w:rPr>
          <w:rFonts w:hint="eastAsia" w:ascii="宋体" w:hAnsi="宋体" w:eastAsia="宋体" w:cs="宋体"/>
          <w:kern w:val="0"/>
          <w:sz w:val="24"/>
          <w:szCs w:val="24"/>
          <w:highlight w:val="none"/>
          <w:lang w:val="zh-CN" w:eastAsia="zh-CN"/>
        </w:rPr>
        <w:t>组长</w:t>
      </w:r>
      <w:r>
        <w:rPr>
          <w:rFonts w:hint="eastAsia" w:ascii="宋体" w:hAnsi="宋体" w:eastAsia="宋体" w:cs="宋体"/>
          <w:kern w:val="0"/>
          <w:sz w:val="24"/>
          <w:szCs w:val="24"/>
          <w:highlight w:val="none"/>
          <w:lang w:val="zh-CN"/>
        </w:rPr>
        <w:t>定标；采用其他定标法的，按照招标文件规定的方式确定中标人；</w:t>
      </w:r>
    </w:p>
    <w:p w14:paraId="5A7716E8">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（9）形成定标报告。</w:t>
      </w:r>
    </w:p>
    <w:p w14:paraId="3687FDAA">
      <w:pPr>
        <w:pStyle w:val="3"/>
        <w:pageBreakBefore w:val="0"/>
        <w:widowControl w:val="0"/>
        <w:kinsoku/>
        <w:wordWrap/>
        <w:overflowPunct/>
        <w:topLinePunct w:val="0"/>
        <w:autoSpaceDE/>
        <w:autoSpaceDN/>
        <w:bidi w:val="0"/>
        <w:spacing w:line="480" w:lineRule="exact"/>
        <w:ind w:firstLine="480" w:firstLineChars="200"/>
        <w:outlineLvl w:val="1"/>
        <w:rPr>
          <w:rFonts w:hint="eastAsia" w:ascii="宋体" w:hAnsi="宋体" w:eastAsia="宋体" w:cs="宋体"/>
          <w:b w:val="0"/>
          <w:bCs w:val="0"/>
          <w:color w:val="000000"/>
          <w:sz w:val="24"/>
          <w:szCs w:val="24"/>
          <w:highlight w:val="none"/>
          <w:lang w:val="zh-CN"/>
        </w:rPr>
      </w:pPr>
      <w:bookmarkStart w:id="183" w:name="_Toc24001"/>
      <w:bookmarkStart w:id="184" w:name="_Toc28382"/>
      <w:bookmarkStart w:id="185" w:name="_Toc18789"/>
      <w:r>
        <w:rPr>
          <w:rFonts w:hint="eastAsia" w:ascii="宋体" w:hAnsi="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lang w:val="zh-CN"/>
        </w:rPr>
        <w:t>.定标规则</w:t>
      </w:r>
      <w:bookmarkEnd w:id="183"/>
      <w:bookmarkEnd w:id="184"/>
      <w:bookmarkEnd w:id="185"/>
    </w:p>
    <w:p w14:paraId="3C0A736A">
      <w:pPr>
        <w:pageBreakBefore w:val="0"/>
        <w:widowControl w:val="0"/>
        <w:kinsoku/>
        <w:wordWrap/>
        <w:overflowPunct/>
        <w:topLinePunct w:val="0"/>
        <w:autoSpaceDE/>
        <w:autoSpaceDN/>
        <w:bidi w:val="0"/>
        <w:adjustRightInd w:val="0"/>
        <w:snapToGrid w:val="0"/>
        <w:spacing w:line="480" w:lineRule="exact"/>
        <w:ind w:firstLine="480" w:firstLineChars="200"/>
        <w:textAlignment w:val="baseline"/>
        <w:rPr>
          <w:rFonts w:hint="eastAsia" w:ascii="宋体" w:hAnsi="宋体" w:eastAsia="宋体" w:cs="宋体"/>
          <w:color w:val="000000"/>
          <w:sz w:val="24"/>
          <w:szCs w:val="24"/>
          <w:highlight w:val="none"/>
        </w:rPr>
      </w:pPr>
      <w:r>
        <w:rPr>
          <w:rFonts w:hint="eastAsia" w:ascii="宋体" w:hAnsi="宋体" w:eastAsia="宋体" w:cs="宋体"/>
          <w:kern w:val="0"/>
          <w:sz w:val="24"/>
          <w:szCs w:val="24"/>
          <w:highlight w:val="none"/>
          <w:lang w:val="zh-CN"/>
        </w:rPr>
        <w:t>本招标项目定标规则详见定标办法前附表</w:t>
      </w:r>
      <w:r>
        <w:rPr>
          <w:rFonts w:hint="eastAsia" w:ascii="宋体" w:hAnsi="宋体" w:eastAsia="宋体" w:cs="宋体"/>
          <w:color w:val="000000"/>
          <w:sz w:val="24"/>
          <w:szCs w:val="24"/>
          <w:highlight w:val="none"/>
        </w:rPr>
        <w:t>。</w:t>
      </w:r>
    </w:p>
    <w:p w14:paraId="0B95412B">
      <w:pPr>
        <w:pStyle w:val="3"/>
        <w:pageBreakBefore w:val="0"/>
        <w:widowControl w:val="0"/>
        <w:kinsoku/>
        <w:wordWrap/>
        <w:overflowPunct/>
        <w:topLinePunct w:val="0"/>
        <w:autoSpaceDE/>
        <w:autoSpaceDN/>
        <w:bidi w:val="0"/>
        <w:spacing w:line="480" w:lineRule="exact"/>
        <w:ind w:firstLine="480" w:firstLineChars="200"/>
        <w:outlineLvl w:val="1"/>
        <w:rPr>
          <w:rFonts w:hint="eastAsia" w:ascii="宋体" w:hAnsi="宋体" w:eastAsia="宋体" w:cs="宋体"/>
          <w:b w:val="0"/>
          <w:bCs w:val="0"/>
          <w:color w:val="000000"/>
          <w:sz w:val="24"/>
          <w:szCs w:val="24"/>
          <w:highlight w:val="none"/>
          <w:lang w:val="zh-CN"/>
        </w:rPr>
      </w:pPr>
      <w:bookmarkStart w:id="186" w:name="_Toc8812"/>
      <w:bookmarkStart w:id="187" w:name="_Toc17832"/>
      <w:bookmarkStart w:id="188" w:name="_Toc20548"/>
      <w:r>
        <w:rPr>
          <w:rFonts w:hint="eastAsia" w:ascii="宋体" w:hAnsi="宋体" w:cs="宋体"/>
          <w:b w:val="0"/>
          <w:bCs w:val="0"/>
          <w:color w:val="000000"/>
          <w:sz w:val="24"/>
          <w:szCs w:val="24"/>
          <w:highlight w:val="none"/>
          <w:lang w:val="en-US" w:eastAsia="zh-CN"/>
        </w:rPr>
        <w:t>4</w:t>
      </w:r>
      <w:r>
        <w:rPr>
          <w:rFonts w:hint="eastAsia" w:ascii="宋体" w:hAnsi="宋体" w:eastAsia="宋体" w:cs="宋体"/>
          <w:b w:val="0"/>
          <w:bCs w:val="0"/>
          <w:color w:val="000000"/>
          <w:sz w:val="24"/>
          <w:szCs w:val="24"/>
          <w:highlight w:val="none"/>
          <w:lang w:val="zh-CN"/>
        </w:rPr>
        <w:t>.定标报告</w:t>
      </w:r>
      <w:bookmarkEnd w:id="186"/>
      <w:bookmarkEnd w:id="187"/>
      <w:bookmarkEnd w:id="188"/>
      <w:r>
        <w:rPr>
          <w:rFonts w:hint="eastAsia" w:ascii="宋体" w:hAnsi="宋体" w:eastAsia="宋体" w:cs="宋体"/>
          <w:b w:val="0"/>
          <w:bCs w:val="0"/>
          <w:color w:val="000000"/>
          <w:sz w:val="24"/>
          <w:szCs w:val="24"/>
          <w:highlight w:val="none"/>
          <w:lang w:val="zh-CN"/>
        </w:rPr>
        <w:t xml:space="preserve"> </w:t>
      </w:r>
    </w:p>
    <w:p w14:paraId="426B44B6">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定标报告由定标委员会全体成员签字。对定标结果有不同意见的定标委员会成员应当在定标报告说明其不同意见和理由。定标委员会成员拒绝在定标报告上签字又不说明其不同意见和理由的，视为同意定标结果。</w:t>
      </w:r>
    </w:p>
    <w:p w14:paraId="7977E219">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 xml:space="preserve">定标报告应包括以下内容： </w:t>
      </w:r>
    </w:p>
    <w:p w14:paraId="16709722">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一、定标前期准备工作（如涉及） </w:t>
      </w:r>
    </w:p>
    <w:p w14:paraId="7A10D900">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二、定标委员会组建情况 </w:t>
      </w:r>
    </w:p>
    <w:p w14:paraId="231A71A0">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三、定标情况 </w:t>
      </w:r>
    </w:p>
    <w:p w14:paraId="230933CA">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四、定标结果 </w:t>
      </w:r>
    </w:p>
    <w:p w14:paraId="0DF8BC4C">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五、澄清事项纪要（如涉及） </w:t>
      </w:r>
    </w:p>
    <w:p w14:paraId="552CBAB9">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六、定标过程中澄清、说明、补正事项纪要（如涉及） </w:t>
      </w:r>
    </w:p>
    <w:p w14:paraId="5A529D01">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七、定标监督情况（如涉及）</w:t>
      </w:r>
    </w:p>
    <w:p w14:paraId="63340FC4">
      <w:pPr>
        <w:pStyle w:val="2"/>
        <w:spacing w:before="120" w:beforeLines="50" w:after="120" w:afterLines="50" w:line="240" w:lineRule="auto"/>
        <w:outlineLvl w:val="9"/>
        <w:rPr>
          <w:rFonts w:hint="eastAsia" w:asciiTheme="majorEastAsia" w:hAnsiTheme="majorEastAsia" w:eastAsiaTheme="majorEastAsia" w:cstheme="majorEastAsia"/>
          <w:sz w:val="32"/>
          <w:highlight w:val="none"/>
        </w:rPr>
      </w:pPr>
    </w:p>
    <w:p w14:paraId="1FB925C1">
      <w:pPr>
        <w:rPr>
          <w:rFonts w:hint="eastAsia" w:asciiTheme="majorEastAsia" w:hAnsiTheme="majorEastAsia" w:eastAsiaTheme="majorEastAsia" w:cstheme="majorEastAsia"/>
          <w:sz w:val="32"/>
          <w:highlight w:val="none"/>
        </w:rPr>
      </w:pPr>
    </w:p>
    <w:p w14:paraId="62C35DE4">
      <w:pPr>
        <w:pStyle w:val="14"/>
        <w:rPr>
          <w:rFonts w:hint="eastAsia" w:asciiTheme="majorEastAsia" w:hAnsiTheme="majorEastAsia" w:eastAsiaTheme="majorEastAsia" w:cstheme="majorEastAsia"/>
          <w:sz w:val="32"/>
          <w:highlight w:val="none"/>
        </w:rPr>
      </w:pPr>
    </w:p>
    <w:p w14:paraId="6B947C0D">
      <w:pPr>
        <w:rPr>
          <w:rFonts w:hint="eastAsia" w:asciiTheme="majorEastAsia" w:hAnsiTheme="majorEastAsia" w:eastAsiaTheme="majorEastAsia" w:cstheme="majorEastAsia"/>
          <w:sz w:val="32"/>
          <w:highlight w:val="none"/>
        </w:rPr>
      </w:pPr>
    </w:p>
    <w:p w14:paraId="353BEEB2">
      <w:pPr>
        <w:pStyle w:val="14"/>
        <w:rPr>
          <w:rFonts w:hint="eastAsia" w:asciiTheme="majorEastAsia" w:hAnsiTheme="majorEastAsia" w:eastAsiaTheme="majorEastAsia" w:cstheme="majorEastAsia"/>
          <w:sz w:val="32"/>
          <w:highlight w:val="none"/>
        </w:rPr>
      </w:pPr>
    </w:p>
    <w:p w14:paraId="0EB20828">
      <w:pPr>
        <w:rPr>
          <w:rFonts w:hint="eastAsia"/>
        </w:rPr>
      </w:pPr>
    </w:p>
    <w:p w14:paraId="6FFF5E1C">
      <w:pPr>
        <w:pStyle w:val="14"/>
        <w:rPr>
          <w:rFonts w:hint="eastAsia"/>
        </w:rPr>
      </w:pPr>
    </w:p>
    <w:p w14:paraId="027137F9">
      <w:pPr>
        <w:pStyle w:val="2"/>
        <w:keepNext/>
        <w:keepLines/>
        <w:pageBreakBefore w:val="0"/>
        <w:widowControl w:val="0"/>
        <w:kinsoku/>
        <w:wordWrap/>
        <w:overflowPunct/>
        <w:topLinePunct w:val="0"/>
        <w:autoSpaceDE/>
        <w:autoSpaceDN/>
        <w:bidi w:val="0"/>
        <w:adjustRightInd/>
        <w:snapToGrid/>
        <w:spacing w:line="420" w:lineRule="auto"/>
        <w:textAlignment w:val="auto"/>
        <w:rPr>
          <w:rFonts w:hint="eastAsia"/>
        </w:rPr>
      </w:pPr>
      <w:bookmarkStart w:id="189" w:name="_Toc15357"/>
      <w:bookmarkStart w:id="190" w:name="_Toc5924"/>
      <w:r>
        <w:rPr>
          <w:rFonts w:hint="eastAsia"/>
        </w:rPr>
        <w:t>第</w:t>
      </w:r>
      <w:r>
        <w:rPr>
          <w:rFonts w:hint="eastAsia"/>
          <w:lang w:val="en-US" w:eastAsia="zh-CN"/>
        </w:rPr>
        <w:t>五</w:t>
      </w:r>
      <w:r>
        <w:rPr>
          <w:rFonts w:hint="eastAsia"/>
        </w:rPr>
        <w:t>章</w:t>
      </w:r>
      <w:bookmarkEnd w:id="148"/>
      <w:r>
        <w:rPr>
          <w:rFonts w:hint="eastAsia"/>
        </w:rPr>
        <w:t xml:space="preserve">  合同条款及格式</w:t>
      </w:r>
      <w:bookmarkEnd w:id="149"/>
      <w:bookmarkEnd w:id="189"/>
      <w:bookmarkEnd w:id="190"/>
      <w:bookmarkStart w:id="191" w:name="_Toc309377249"/>
      <w:bookmarkStart w:id="192" w:name="_Toc366167586"/>
    </w:p>
    <w:p w14:paraId="401A8719">
      <w:pPr>
        <w:pStyle w:val="55"/>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b/>
          <w:bCs/>
          <w:color w:val="auto"/>
          <w:kern w:val="2"/>
          <w:sz w:val="28"/>
          <w:szCs w:val="28"/>
          <w:lang w:val="zh-CN" w:bidi="zh-CN"/>
        </w:rPr>
      </w:pPr>
      <w:bookmarkStart w:id="193" w:name="_Toc14857"/>
      <w:bookmarkStart w:id="194" w:name="_Toc18512"/>
      <w:r>
        <w:rPr>
          <w:rFonts w:hint="eastAsia"/>
          <w:b/>
          <w:bCs/>
          <w:color w:val="auto"/>
          <w:kern w:val="2"/>
          <w:sz w:val="28"/>
          <w:szCs w:val="28"/>
          <w:lang w:val="zh-CN" w:bidi="zh-CN"/>
        </w:rPr>
        <w:t>（仅供参考，以</w:t>
      </w:r>
      <w:r>
        <w:rPr>
          <w:rFonts w:hint="eastAsia"/>
          <w:b/>
          <w:bCs/>
          <w:color w:val="auto"/>
          <w:kern w:val="2"/>
          <w:sz w:val="28"/>
          <w:szCs w:val="28"/>
          <w:lang w:val="en-US" w:bidi="zh-CN"/>
        </w:rPr>
        <w:t>招标</w:t>
      </w:r>
      <w:r>
        <w:rPr>
          <w:rFonts w:hint="eastAsia"/>
          <w:b/>
          <w:bCs/>
          <w:color w:val="auto"/>
          <w:kern w:val="2"/>
          <w:sz w:val="28"/>
          <w:szCs w:val="28"/>
          <w:lang w:val="zh-CN" w:bidi="zh-CN"/>
        </w:rPr>
        <w:t>人最终确定版为准）</w:t>
      </w:r>
    </w:p>
    <w:p w14:paraId="3D8C3636">
      <w:pPr>
        <w:rPr>
          <w:rFonts w:hint="eastAsia"/>
          <w:b/>
          <w:bCs/>
          <w:color w:val="auto"/>
          <w:kern w:val="2"/>
          <w:sz w:val="28"/>
          <w:szCs w:val="28"/>
          <w:lang w:val="zh-CN" w:bidi="zh-CN"/>
        </w:rPr>
      </w:pPr>
    </w:p>
    <w:p w14:paraId="2B69290D">
      <w:pPr>
        <w:rPr>
          <w:rFonts w:hint="eastAsia"/>
          <w:b/>
          <w:bCs/>
          <w:color w:val="auto"/>
          <w:kern w:val="2"/>
          <w:sz w:val="28"/>
          <w:szCs w:val="28"/>
          <w:lang w:val="zh-CN" w:bidi="zh-CN"/>
        </w:rPr>
      </w:pPr>
    </w:p>
    <w:p w14:paraId="244C47C0">
      <w:pPr>
        <w:rPr>
          <w:rFonts w:hint="eastAsia"/>
          <w:b/>
          <w:bCs/>
          <w:color w:val="auto"/>
          <w:kern w:val="2"/>
          <w:sz w:val="28"/>
          <w:szCs w:val="28"/>
          <w:lang w:val="zh-CN" w:bidi="zh-CN"/>
        </w:rPr>
      </w:pPr>
    </w:p>
    <w:bookmarkEnd w:id="193"/>
    <w:bookmarkEnd w:id="194"/>
    <w:p w14:paraId="1D0A5A2B"/>
    <w:bookmarkEnd w:id="191"/>
    <w:bookmarkEnd w:id="192"/>
    <w:p w14:paraId="5D27CF81">
      <w:pPr>
        <w:rPr>
          <w:b/>
          <w:color w:val="auto"/>
          <w:sz w:val="24"/>
        </w:rPr>
      </w:pPr>
      <w:bookmarkStart w:id="195" w:name="_Toc366167587"/>
      <w:bookmarkStart w:id="196" w:name="_Toc309377250"/>
      <w:r>
        <w:rPr>
          <w:b/>
          <w:color w:val="auto"/>
          <w:sz w:val="24"/>
        </w:rPr>
        <w:t>GF—2015—0212</w:t>
      </w:r>
    </w:p>
    <w:p w14:paraId="6A306E9F">
      <w:pPr>
        <w:jc w:val="center"/>
        <w:rPr>
          <w:rFonts w:hint="eastAsia"/>
          <w:b/>
          <w:color w:val="auto"/>
          <w:sz w:val="28"/>
          <w:szCs w:val="28"/>
        </w:rPr>
      </w:pPr>
      <w:r>
        <w:rPr>
          <w:rFonts w:hint="eastAsia"/>
          <w:b/>
          <w:color w:val="auto"/>
          <w:sz w:val="28"/>
          <w:szCs w:val="28"/>
        </w:rPr>
        <w:t xml:space="preserve">                         合同编号：</w:t>
      </w:r>
    </w:p>
    <w:p w14:paraId="22133E8C">
      <w:pPr>
        <w:jc w:val="center"/>
        <w:rPr>
          <w:rFonts w:hint="eastAsia"/>
          <w:b/>
          <w:color w:val="auto"/>
          <w:sz w:val="28"/>
          <w:szCs w:val="28"/>
        </w:rPr>
      </w:pPr>
    </w:p>
    <w:p w14:paraId="50ED389A">
      <w:pPr>
        <w:jc w:val="center"/>
        <w:rPr>
          <w:rFonts w:hint="eastAsia"/>
          <w:b/>
          <w:color w:val="auto"/>
          <w:sz w:val="28"/>
          <w:szCs w:val="28"/>
        </w:rPr>
      </w:pPr>
    </w:p>
    <w:p w14:paraId="4914E9B0">
      <w:pPr>
        <w:jc w:val="center"/>
        <w:rPr>
          <w:rFonts w:hint="eastAsia"/>
          <w:b/>
          <w:color w:val="auto"/>
          <w:sz w:val="28"/>
          <w:szCs w:val="28"/>
        </w:rPr>
      </w:pPr>
    </w:p>
    <w:p w14:paraId="5938BCF2">
      <w:pPr>
        <w:jc w:val="center"/>
        <w:rPr>
          <w:rFonts w:hint="eastAsia"/>
          <w:b/>
          <w:color w:val="auto"/>
          <w:sz w:val="44"/>
          <w:szCs w:val="44"/>
        </w:rPr>
      </w:pPr>
      <w:r>
        <w:rPr>
          <w:rFonts w:hint="eastAsia"/>
          <w:b/>
          <w:color w:val="auto"/>
          <w:sz w:val="44"/>
          <w:szCs w:val="44"/>
        </w:rPr>
        <w:t>建设工程造价咨询合同</w:t>
      </w:r>
    </w:p>
    <w:p w14:paraId="5EC89A56">
      <w:pPr>
        <w:jc w:val="center"/>
        <w:rPr>
          <w:rFonts w:hint="eastAsia"/>
          <w:b/>
          <w:color w:val="auto"/>
          <w:sz w:val="52"/>
          <w:szCs w:val="52"/>
        </w:rPr>
      </w:pPr>
    </w:p>
    <w:p w14:paraId="3426E8CE">
      <w:pPr>
        <w:jc w:val="center"/>
        <w:rPr>
          <w:rFonts w:hint="eastAsia"/>
          <w:b/>
          <w:color w:val="auto"/>
          <w:sz w:val="52"/>
          <w:szCs w:val="52"/>
        </w:rPr>
      </w:pPr>
    </w:p>
    <w:p w14:paraId="433206F8">
      <w:pPr>
        <w:jc w:val="center"/>
        <w:rPr>
          <w:rFonts w:hint="eastAsia"/>
          <w:b/>
          <w:color w:val="auto"/>
          <w:sz w:val="52"/>
          <w:szCs w:val="52"/>
        </w:rPr>
      </w:pPr>
    </w:p>
    <w:p w14:paraId="7E3356A5">
      <w:pPr>
        <w:jc w:val="center"/>
        <w:rPr>
          <w:rFonts w:hint="eastAsia"/>
          <w:b/>
          <w:color w:val="auto"/>
          <w:sz w:val="52"/>
          <w:szCs w:val="52"/>
        </w:rPr>
      </w:pPr>
    </w:p>
    <w:p w14:paraId="252A6EAA">
      <w:pPr>
        <w:jc w:val="center"/>
        <w:rPr>
          <w:rFonts w:hint="eastAsia"/>
          <w:b/>
          <w:color w:val="auto"/>
          <w:sz w:val="52"/>
          <w:szCs w:val="52"/>
        </w:rPr>
      </w:pPr>
    </w:p>
    <w:p w14:paraId="2454AC03">
      <w:pPr>
        <w:jc w:val="center"/>
        <w:rPr>
          <w:rFonts w:hint="eastAsia"/>
          <w:b/>
          <w:color w:val="auto"/>
          <w:sz w:val="52"/>
          <w:szCs w:val="52"/>
        </w:rPr>
      </w:pPr>
    </w:p>
    <w:p w14:paraId="78B34450">
      <w:pPr>
        <w:jc w:val="center"/>
        <w:rPr>
          <w:rFonts w:hint="eastAsia"/>
          <w:b/>
          <w:color w:val="auto"/>
          <w:sz w:val="52"/>
          <w:szCs w:val="52"/>
        </w:rPr>
      </w:pPr>
    </w:p>
    <w:p w14:paraId="128BE91A">
      <w:pPr>
        <w:jc w:val="center"/>
        <w:rPr>
          <w:rFonts w:hint="eastAsia"/>
          <w:b/>
          <w:color w:val="auto"/>
          <w:sz w:val="52"/>
          <w:szCs w:val="52"/>
        </w:rPr>
      </w:pPr>
    </w:p>
    <w:p w14:paraId="1ADB5617">
      <w:pPr>
        <w:jc w:val="center"/>
        <w:rPr>
          <w:rFonts w:hint="eastAsia"/>
          <w:b/>
          <w:color w:val="auto"/>
          <w:sz w:val="52"/>
          <w:szCs w:val="52"/>
        </w:rPr>
      </w:pPr>
    </w:p>
    <w:p w14:paraId="6A081F58">
      <w:pPr>
        <w:jc w:val="center"/>
        <w:rPr>
          <w:rFonts w:hint="eastAsia"/>
          <w:b/>
          <w:color w:val="auto"/>
          <w:sz w:val="52"/>
          <w:szCs w:val="52"/>
        </w:rPr>
      </w:pPr>
    </w:p>
    <w:p w14:paraId="4F5F1F76">
      <w:pPr>
        <w:rPr>
          <w:rFonts w:hint="eastAsia"/>
          <w:b/>
          <w:color w:val="auto"/>
          <w:sz w:val="52"/>
          <w:szCs w:val="52"/>
        </w:rPr>
      </w:pPr>
    </w:p>
    <w:p w14:paraId="488FFB73">
      <w:pPr>
        <w:spacing w:line="340" w:lineRule="exact"/>
        <w:ind w:firstLine="2397" w:firstLineChars="796"/>
        <w:rPr>
          <w:rFonts w:hint="eastAsia"/>
          <w:b/>
          <w:color w:val="auto"/>
          <w:sz w:val="30"/>
          <w:szCs w:val="30"/>
        </w:rPr>
      </w:pPr>
      <w:r>
        <w:rPr>
          <w:rFonts w:hint="eastAsia"/>
          <w:b/>
          <w:color w:val="auto"/>
          <w:sz w:val="30"/>
          <w:szCs w:val="30"/>
        </w:rPr>
        <w:t>住 房 城 乡 建 设 部</w:t>
      </w:r>
    </w:p>
    <w:p w14:paraId="2675A860">
      <w:pPr>
        <w:spacing w:line="340" w:lineRule="exact"/>
        <w:jc w:val="center"/>
        <w:rPr>
          <w:rFonts w:hint="eastAsia"/>
          <w:b/>
          <w:color w:val="auto"/>
          <w:sz w:val="30"/>
          <w:szCs w:val="30"/>
        </w:rPr>
      </w:pPr>
      <w:r>
        <w:rPr>
          <w:rFonts w:hint="eastAsia"/>
          <w:b/>
          <w:color w:val="auto"/>
          <w:sz w:val="30"/>
          <w:szCs w:val="30"/>
        </w:rPr>
        <w:t xml:space="preserve">                       制定</w:t>
      </w:r>
    </w:p>
    <w:p w14:paraId="32E566A1">
      <w:pPr>
        <w:spacing w:line="340" w:lineRule="exact"/>
        <w:ind w:firstLine="2397" w:firstLineChars="796"/>
        <w:rPr>
          <w:rFonts w:hint="eastAsia"/>
          <w:b/>
          <w:color w:val="auto"/>
          <w:sz w:val="30"/>
          <w:szCs w:val="30"/>
        </w:rPr>
      </w:pPr>
      <w:r>
        <w:rPr>
          <w:rFonts w:hint="eastAsia"/>
          <w:b/>
          <w:color w:val="auto"/>
          <w:sz w:val="30"/>
          <w:szCs w:val="30"/>
        </w:rPr>
        <w:t>国家工商行政管理总局</w:t>
      </w:r>
    </w:p>
    <w:p w14:paraId="44869728">
      <w:pPr>
        <w:pStyle w:val="34"/>
        <w:rPr>
          <w:rFonts w:hint="eastAsia"/>
          <w:color w:val="auto"/>
        </w:rPr>
      </w:pPr>
    </w:p>
    <w:p w14:paraId="1C668A8E">
      <w:pPr>
        <w:jc w:val="center"/>
        <w:rPr>
          <w:rFonts w:hint="eastAsia"/>
          <w:b/>
          <w:color w:val="auto"/>
          <w:sz w:val="36"/>
          <w:szCs w:val="36"/>
        </w:rPr>
      </w:pPr>
    </w:p>
    <w:p w14:paraId="788707E2">
      <w:pPr>
        <w:jc w:val="center"/>
        <w:rPr>
          <w:rFonts w:hint="eastAsia"/>
          <w:b/>
          <w:color w:val="auto"/>
          <w:sz w:val="36"/>
          <w:szCs w:val="36"/>
        </w:rPr>
      </w:pPr>
    </w:p>
    <w:p w14:paraId="621667A3">
      <w:pPr>
        <w:jc w:val="center"/>
        <w:rPr>
          <w:rFonts w:hint="eastAsia"/>
          <w:b/>
          <w:color w:val="auto"/>
          <w:sz w:val="36"/>
          <w:szCs w:val="36"/>
        </w:rPr>
      </w:pPr>
    </w:p>
    <w:p w14:paraId="19DE5D94">
      <w:pPr>
        <w:jc w:val="center"/>
        <w:rPr>
          <w:rFonts w:hint="eastAsia"/>
          <w:b/>
          <w:color w:val="auto"/>
          <w:sz w:val="36"/>
          <w:szCs w:val="36"/>
        </w:rPr>
      </w:pPr>
    </w:p>
    <w:p w14:paraId="2613E41F">
      <w:pPr>
        <w:jc w:val="center"/>
        <w:rPr>
          <w:rFonts w:hint="eastAsia"/>
          <w:b/>
          <w:color w:val="auto"/>
          <w:sz w:val="36"/>
          <w:szCs w:val="36"/>
        </w:rPr>
      </w:pPr>
    </w:p>
    <w:p w14:paraId="0E2C2C7E">
      <w:pPr>
        <w:jc w:val="center"/>
        <w:rPr>
          <w:rFonts w:hint="eastAsia"/>
          <w:b/>
          <w:color w:val="auto"/>
          <w:sz w:val="36"/>
          <w:szCs w:val="36"/>
        </w:rPr>
      </w:pPr>
    </w:p>
    <w:p w14:paraId="0B37E305">
      <w:pPr>
        <w:jc w:val="center"/>
        <w:rPr>
          <w:rFonts w:hint="eastAsia"/>
          <w:b/>
          <w:color w:val="auto"/>
          <w:sz w:val="36"/>
          <w:szCs w:val="36"/>
        </w:rPr>
      </w:pPr>
      <w:r>
        <w:rPr>
          <w:rFonts w:hint="eastAsia"/>
          <w:b/>
          <w:color w:val="auto"/>
          <w:sz w:val="36"/>
          <w:szCs w:val="36"/>
        </w:rPr>
        <w:t>第一部分 协议书</w:t>
      </w:r>
    </w:p>
    <w:p w14:paraId="1B4E932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olor w:val="auto"/>
          <w:sz w:val="24"/>
          <w:u w:val="single"/>
          <w:lang w:val="en-US" w:eastAsia="zh-CN"/>
        </w:rPr>
      </w:pPr>
      <w:r>
        <w:rPr>
          <w:rFonts w:hint="eastAsia" w:ascii="宋体" w:hAnsi="宋体"/>
          <w:color w:val="auto"/>
          <w:sz w:val="24"/>
        </w:rPr>
        <w:t>委托人（全称）：</w:t>
      </w:r>
      <w:r>
        <w:rPr>
          <w:rFonts w:hint="eastAsia" w:ascii="宋体" w:hAnsi="宋体"/>
          <w:color w:val="auto"/>
          <w:sz w:val="24"/>
          <w:u w:val="single"/>
          <w:lang w:val="en-US" w:eastAsia="zh-CN"/>
        </w:rPr>
        <w:t xml:space="preserve">                         </w:t>
      </w:r>
    </w:p>
    <w:p w14:paraId="743BB67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u w:val="single"/>
        </w:rPr>
      </w:pPr>
      <w:r>
        <w:rPr>
          <w:rFonts w:hint="eastAsia" w:ascii="宋体" w:hAnsi="宋体"/>
          <w:color w:val="auto"/>
          <w:sz w:val="24"/>
        </w:rPr>
        <w:t>咨询人（全称）：</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p>
    <w:p w14:paraId="54C839A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根据《中华人民共和国</w:t>
      </w:r>
      <w:r>
        <w:rPr>
          <w:rFonts w:hint="eastAsia" w:ascii="宋体" w:hAnsi="宋体"/>
          <w:color w:val="auto"/>
          <w:sz w:val="24"/>
          <w:lang w:eastAsia="zh-CN"/>
        </w:rPr>
        <w:t>民法典</w:t>
      </w:r>
      <w:r>
        <w:rPr>
          <w:rFonts w:hint="eastAsia" w:ascii="宋体" w:hAnsi="宋体"/>
          <w:color w:val="auto"/>
          <w:sz w:val="24"/>
        </w:rPr>
        <w:t>》及其他有关法律、法规，遵循平等、自愿、公平和诚实信用的原则，双方就下述建设工程委托造价咨询与其他服务事项协商一致，订立本合同。</w:t>
      </w:r>
    </w:p>
    <w:p w14:paraId="4BDD0894">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一、工程概况</w:t>
      </w:r>
    </w:p>
    <w:p w14:paraId="003A1D2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1.工程名称：</w:t>
      </w:r>
      <w:r>
        <w:rPr>
          <w:rFonts w:hint="eastAsia" w:ascii="宋体" w:hAnsi="宋体"/>
          <w:color w:val="auto"/>
          <w:sz w:val="24"/>
          <w:u w:val="single"/>
          <w:lang w:val="en-US" w:eastAsia="zh-CN"/>
        </w:rPr>
        <w:t xml:space="preserve">                   </w:t>
      </w:r>
      <w:r>
        <w:rPr>
          <w:rFonts w:hint="eastAsia" w:ascii="宋体" w:hAnsi="宋体"/>
          <w:color w:val="auto"/>
          <w:sz w:val="24"/>
        </w:rPr>
        <w:t>。</w:t>
      </w:r>
    </w:p>
    <w:p w14:paraId="0F2F2F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2.工程地点：</w:t>
      </w:r>
      <w:r>
        <w:rPr>
          <w:rFonts w:hint="eastAsia" w:ascii="宋体" w:cs="宋体"/>
          <w:color w:val="auto"/>
          <w:szCs w:val="21"/>
          <w:highlight w:val="none"/>
          <w:u w:val="single"/>
          <w:lang w:eastAsia="zh-CN"/>
        </w:rPr>
        <w:t>具体地点由招标人指定</w:t>
      </w:r>
      <w:r>
        <w:rPr>
          <w:rFonts w:hint="eastAsia" w:ascii="宋体" w:hAnsi="宋体"/>
          <w:color w:val="auto"/>
          <w:sz w:val="24"/>
          <w:highlight w:val="none"/>
        </w:rPr>
        <w:t>。</w:t>
      </w:r>
    </w:p>
    <w:p w14:paraId="7291525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u w:val="single"/>
        </w:rPr>
      </w:pPr>
      <w:r>
        <w:rPr>
          <w:rFonts w:hint="eastAsia" w:ascii="宋体" w:hAnsi="宋体"/>
          <w:color w:val="auto"/>
          <w:sz w:val="24"/>
        </w:rPr>
        <w:t>3.投资金额：约</w:t>
      </w:r>
      <w:r>
        <w:rPr>
          <w:rFonts w:hint="eastAsia" w:ascii="宋体" w:hAnsi="宋体"/>
          <w:color w:val="auto"/>
          <w:sz w:val="24"/>
          <w:u w:val="single"/>
          <w:lang w:val="en-US" w:eastAsia="zh-CN"/>
        </w:rPr>
        <w:t xml:space="preserve">             </w:t>
      </w:r>
      <w:r>
        <w:rPr>
          <w:rFonts w:hint="eastAsia" w:ascii="宋体" w:hAnsi="宋体"/>
          <w:color w:val="auto"/>
          <w:sz w:val="24"/>
          <w:u w:val="single"/>
        </w:rPr>
        <w:t>元</w:t>
      </w:r>
      <w:r>
        <w:rPr>
          <w:rFonts w:hint="eastAsia" w:ascii="宋体" w:hAnsi="宋体"/>
          <w:color w:val="auto"/>
          <w:sz w:val="24"/>
        </w:rPr>
        <w:t>。</w:t>
      </w:r>
    </w:p>
    <w:p w14:paraId="77C36C1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u w:val="single"/>
        </w:rPr>
      </w:pPr>
      <w:r>
        <w:rPr>
          <w:rFonts w:hint="eastAsia" w:ascii="宋体" w:hAnsi="宋体"/>
          <w:color w:val="auto"/>
          <w:sz w:val="24"/>
        </w:rPr>
        <w:t>4.资金来源：</w:t>
      </w:r>
      <w:r>
        <w:rPr>
          <w:rFonts w:hint="eastAsia" w:ascii="宋体" w:hAnsi="宋体"/>
          <w:color w:val="auto"/>
          <w:sz w:val="24"/>
          <w:u w:val="single"/>
          <w:lang w:val="en-US" w:eastAsia="zh-CN"/>
        </w:rPr>
        <w:t>财政资金</w:t>
      </w:r>
      <w:r>
        <w:rPr>
          <w:rFonts w:hint="eastAsia" w:ascii="宋体" w:hAnsi="宋体"/>
          <w:color w:val="auto"/>
          <w:sz w:val="24"/>
        </w:rPr>
        <w:t>。</w:t>
      </w:r>
    </w:p>
    <w:p w14:paraId="67DB978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u w:val="single"/>
        </w:rPr>
      </w:pPr>
      <w:r>
        <w:rPr>
          <w:rFonts w:hint="eastAsia" w:ascii="宋体" w:hAnsi="宋体"/>
          <w:color w:val="auto"/>
          <w:sz w:val="24"/>
        </w:rPr>
        <w:t>5.建设工期或周期：</w:t>
      </w:r>
      <w:r>
        <w:rPr>
          <w:rFonts w:hint="eastAsia" w:ascii="宋体" w:hAnsi="宋体"/>
          <w:color w:val="auto"/>
          <w:sz w:val="24"/>
          <w:u w:val="single"/>
          <w:lang w:val="en-US" w:eastAsia="zh-CN"/>
        </w:rPr>
        <w:t xml:space="preserve">           </w:t>
      </w:r>
      <w:r>
        <w:rPr>
          <w:rFonts w:hint="eastAsia" w:ascii="宋体" w:hAnsi="宋体"/>
          <w:color w:val="auto"/>
          <w:sz w:val="24"/>
        </w:rPr>
        <w:t>。</w:t>
      </w:r>
    </w:p>
    <w:p w14:paraId="3B59EACE">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二、服务范围及工作内容</w:t>
      </w:r>
    </w:p>
    <w:p w14:paraId="3D6B8DBB">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为全过程跟踪审计服务，并出具结算审计报告，包括但不限于以下内容： </w:t>
      </w:r>
    </w:p>
    <w:p w14:paraId="7AC0B135">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 xml:space="preserve">）成立跟踪审计项目组，明确驻地人员，编制跟踪审计实施方案，确定投资控制目标、重点环节及应对措施。 </w:t>
      </w:r>
    </w:p>
    <w:p w14:paraId="1D2ABF48">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2</w:t>
      </w:r>
      <w:r>
        <w:rPr>
          <w:rFonts w:hint="eastAsia" w:ascii="宋体" w:hAnsi="宋体" w:eastAsia="宋体" w:cs="宋体"/>
          <w:color w:val="auto"/>
          <w:sz w:val="24"/>
          <w:highlight w:val="none"/>
          <w:lang w:val="en-US" w:eastAsia="zh-CN"/>
        </w:rPr>
        <w:t xml:space="preserve">）参加参与项目建设管理的有关会议，对项目投资控制的有关事项发表独立审计意见； </w:t>
      </w:r>
    </w:p>
    <w:p w14:paraId="098DCC6F">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3</w:t>
      </w:r>
      <w:r>
        <w:rPr>
          <w:rFonts w:hint="eastAsia" w:ascii="宋体" w:hAnsi="宋体" w:eastAsia="宋体" w:cs="宋体"/>
          <w:color w:val="auto"/>
          <w:sz w:val="24"/>
          <w:highlight w:val="none"/>
          <w:lang w:val="en-US" w:eastAsia="zh-CN"/>
        </w:rPr>
        <w:t xml:space="preserve">）根据工程进度编制工程用款计划；审核施工单位报送的完成工作量进度报表，对量、价进行审核，经建设单位同意后作为支付进度款的依据； </w:t>
      </w:r>
    </w:p>
    <w:p w14:paraId="5E2D7045">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4</w:t>
      </w:r>
      <w:r>
        <w:rPr>
          <w:rFonts w:hint="eastAsia" w:ascii="宋体" w:hAnsi="宋体" w:eastAsia="宋体" w:cs="宋体"/>
          <w:color w:val="auto"/>
          <w:sz w:val="24"/>
          <w:highlight w:val="none"/>
          <w:lang w:val="en-US" w:eastAsia="zh-CN"/>
        </w:rPr>
        <w:t xml:space="preserve">）及时核定分阶段完工的分部工程结算； </w:t>
      </w:r>
    </w:p>
    <w:p w14:paraId="239271E2">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5</w:t>
      </w:r>
      <w:r>
        <w:rPr>
          <w:rFonts w:hint="eastAsia" w:ascii="宋体" w:hAnsi="宋体" w:eastAsia="宋体" w:cs="宋体"/>
          <w:color w:val="auto"/>
          <w:sz w:val="24"/>
          <w:highlight w:val="none"/>
          <w:lang w:val="en-US" w:eastAsia="zh-CN"/>
        </w:rPr>
        <w:t xml:space="preserve">）协助业主审核因设计变更、现场签证等发生的费用，超过一定限额的，提请建设单位履行报批程序； </w:t>
      </w:r>
    </w:p>
    <w:p w14:paraId="1B1291B6">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6</w:t>
      </w:r>
      <w:r>
        <w:rPr>
          <w:rFonts w:hint="eastAsia" w:ascii="宋体" w:hAnsi="宋体" w:eastAsia="宋体" w:cs="宋体"/>
          <w:color w:val="auto"/>
          <w:sz w:val="24"/>
          <w:highlight w:val="none"/>
          <w:lang w:val="en-US" w:eastAsia="zh-CN"/>
        </w:rPr>
        <w:t xml:space="preserve">）及时向业主提供造价控制动态分析报告； </w:t>
      </w:r>
    </w:p>
    <w:p w14:paraId="430B69EF">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7</w:t>
      </w:r>
      <w:r>
        <w:rPr>
          <w:rFonts w:hint="eastAsia" w:ascii="宋体" w:hAnsi="宋体" w:eastAsia="宋体" w:cs="宋体"/>
          <w:color w:val="auto"/>
          <w:sz w:val="24"/>
          <w:highlight w:val="none"/>
          <w:lang w:val="en-US" w:eastAsia="zh-CN"/>
        </w:rPr>
        <w:t xml:space="preserve">）承发包双方发生工程价款结算争议时或提出工程索赔时，为业主提供咨询意见； </w:t>
      </w:r>
    </w:p>
    <w:p w14:paraId="363E9C32">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8</w:t>
      </w:r>
      <w:r>
        <w:rPr>
          <w:rFonts w:hint="eastAsia" w:ascii="宋体" w:hAnsi="宋体" w:eastAsia="宋体" w:cs="宋体"/>
          <w:color w:val="auto"/>
          <w:sz w:val="24"/>
          <w:highlight w:val="none"/>
          <w:lang w:val="en-US" w:eastAsia="zh-CN"/>
        </w:rPr>
        <w:t xml:space="preserve">）参与隐蔽工程验收、工程量签证等工作； </w:t>
      </w:r>
    </w:p>
    <w:p w14:paraId="6B7D1AAD">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9</w:t>
      </w:r>
      <w:r>
        <w:rPr>
          <w:rFonts w:hint="eastAsia" w:ascii="宋体" w:hAnsi="宋体" w:eastAsia="宋体" w:cs="宋体"/>
          <w:color w:val="auto"/>
          <w:sz w:val="24"/>
          <w:highlight w:val="none"/>
          <w:lang w:val="en-US" w:eastAsia="zh-CN"/>
        </w:rPr>
        <w:t xml:space="preserve">）根据跟踪审计情况，出具跟踪审计报告； </w:t>
      </w:r>
    </w:p>
    <w:p w14:paraId="3AEF048F">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10</w:t>
      </w:r>
      <w:r>
        <w:rPr>
          <w:rFonts w:hint="eastAsia" w:ascii="宋体" w:hAnsi="宋体" w:eastAsia="宋体" w:cs="宋体"/>
          <w:color w:val="auto"/>
          <w:sz w:val="24"/>
          <w:highlight w:val="none"/>
          <w:lang w:val="en-US" w:eastAsia="zh-CN"/>
        </w:rPr>
        <w:t xml:space="preserve">）配合上级部门对本项目的检查、审计、稽查等工作； </w:t>
      </w:r>
    </w:p>
    <w:p w14:paraId="2BC757AA">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11</w:t>
      </w:r>
      <w:r>
        <w:rPr>
          <w:rFonts w:hint="eastAsia" w:ascii="宋体" w:hAnsi="宋体" w:eastAsia="宋体" w:cs="宋体"/>
          <w:color w:val="auto"/>
          <w:sz w:val="24"/>
          <w:highlight w:val="none"/>
          <w:lang w:val="en-US" w:eastAsia="zh-CN"/>
        </w:rPr>
        <w:t xml:space="preserve">）工作实施所需的电脑、文具、通讯设备、测量工具等为完成项目所需的所有工具，须由供应商自备，自行考虑。 </w:t>
      </w:r>
    </w:p>
    <w:p w14:paraId="724BADCB">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12</w:t>
      </w:r>
      <w:r>
        <w:rPr>
          <w:rFonts w:hint="eastAsia" w:ascii="宋体" w:hAnsi="宋体" w:eastAsia="宋体" w:cs="宋体"/>
          <w:color w:val="auto"/>
          <w:sz w:val="24"/>
          <w:highlight w:val="none"/>
          <w:lang w:val="en-US" w:eastAsia="zh-CN"/>
        </w:rPr>
        <w:t xml:space="preserve">）审计人员应完整、准确、真实地反映和记录的工作情况，出具相应报告，做好各类资料的归集、存档和保管工作。 </w:t>
      </w:r>
    </w:p>
    <w:p w14:paraId="0A75CDE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13</w:t>
      </w:r>
      <w:r>
        <w:rPr>
          <w:rFonts w:hint="eastAsia" w:ascii="宋体" w:hAnsi="宋体" w:eastAsia="宋体" w:cs="宋体"/>
          <w:color w:val="auto"/>
          <w:sz w:val="24"/>
          <w:highlight w:val="none"/>
          <w:lang w:val="en-US" w:eastAsia="zh-CN"/>
        </w:rPr>
        <w:t>）其他与项目投资控制相关的工作。</w:t>
      </w:r>
    </w:p>
    <w:p w14:paraId="30D93124">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color w:val="auto"/>
          <w:sz w:val="24"/>
          <w:highlight w:val="none"/>
        </w:rPr>
      </w:pPr>
      <w:r>
        <w:rPr>
          <w:rFonts w:hint="eastAsia" w:ascii="宋体" w:hAnsi="宋体"/>
          <w:b/>
          <w:color w:val="auto"/>
          <w:sz w:val="24"/>
        </w:rPr>
        <w:t>三、服务期限</w:t>
      </w:r>
    </w:p>
    <w:p w14:paraId="7E6C352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本合同约定的建设工程造价咨询服务自</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rPr>
        <w:t>日开始实施，至</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日终结。</w:t>
      </w:r>
    </w:p>
    <w:p w14:paraId="5C502B16">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四、质量标准</w:t>
      </w:r>
    </w:p>
    <w:p w14:paraId="3B5C3F9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工程造价咨询成果文件应符合：</w:t>
      </w:r>
      <w:r>
        <w:rPr>
          <w:rFonts w:hint="eastAsia" w:ascii="宋体" w:hAnsi="宋体"/>
          <w:color w:val="auto"/>
          <w:sz w:val="24"/>
          <w:u w:val="single"/>
        </w:rPr>
        <w:t>《建设工程造价咨询规范》的规定及其他相应国家规定</w:t>
      </w:r>
      <w:r>
        <w:rPr>
          <w:rFonts w:hint="eastAsia" w:ascii="宋体" w:hAnsi="宋体"/>
          <w:color w:val="auto"/>
          <w:sz w:val="24"/>
        </w:rPr>
        <w:t>。</w:t>
      </w:r>
    </w:p>
    <w:p w14:paraId="1030993B">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五、酬金或计取方式</w:t>
      </w:r>
    </w:p>
    <w:p w14:paraId="0B0B4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u w:val="none"/>
        </w:rPr>
      </w:pPr>
      <w:r>
        <w:rPr>
          <w:rFonts w:hint="eastAsia" w:ascii="宋体" w:hAnsi="宋体" w:eastAsia="宋体" w:cs="宋体"/>
          <w:color w:val="auto"/>
          <w:sz w:val="24"/>
          <w:szCs w:val="24"/>
        </w:rPr>
        <w:t>酬金计取方式：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w:t>
      </w:r>
    </w:p>
    <w:p w14:paraId="5F27841A">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yellow"/>
        </w:rPr>
      </w:pPr>
      <w:r>
        <w:rPr>
          <w:rFonts w:hint="eastAsia" w:ascii="宋体" w:hAnsi="宋体" w:eastAsia="宋体" w:cs="宋体"/>
          <w:color w:val="auto"/>
          <w:kern w:val="0"/>
          <w:sz w:val="24"/>
          <w:szCs w:val="24"/>
          <w:lang w:val="en-US" w:eastAsia="zh-CN" w:bidi="ar"/>
        </w:rPr>
        <w:t>付款方</w:t>
      </w:r>
      <w:r>
        <w:rPr>
          <w:rFonts w:hint="eastAsia" w:ascii="宋体" w:hAnsi="宋体" w:eastAsia="宋体" w:cs="宋体"/>
          <w:color w:val="auto"/>
          <w:kern w:val="0"/>
          <w:sz w:val="24"/>
          <w:szCs w:val="24"/>
          <w:highlight w:val="none"/>
          <w:lang w:val="en-US" w:eastAsia="zh-CN" w:bidi="ar"/>
        </w:rPr>
        <w:t>式：</w:t>
      </w:r>
      <w:r>
        <w:rPr>
          <w:rFonts w:hint="eastAsia" w:ascii="宋体" w:hAnsi="宋体" w:cs="宋体"/>
          <w:color w:val="auto"/>
          <w:kern w:val="0"/>
          <w:sz w:val="24"/>
          <w:szCs w:val="24"/>
          <w:highlight w:val="none"/>
          <w:u w:val="single"/>
          <w:lang w:val="en-US" w:eastAsia="zh-CN" w:bidi="ar"/>
        </w:rPr>
        <w:t>详见投标人须知前附表</w:t>
      </w:r>
      <w:r>
        <w:rPr>
          <w:rFonts w:hint="eastAsia" w:ascii="宋体" w:hAnsi="宋体" w:eastAsia="宋体" w:cs="宋体"/>
          <w:color w:val="auto"/>
          <w:kern w:val="0"/>
          <w:sz w:val="24"/>
          <w:szCs w:val="24"/>
          <w:highlight w:val="none"/>
          <w:u w:val="none"/>
          <w:lang w:val="en-US" w:eastAsia="zh-CN" w:bidi="ar"/>
        </w:rPr>
        <w:t>。</w:t>
      </w:r>
    </w:p>
    <w:p w14:paraId="03DA75B1">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六、合同文件的构成</w:t>
      </w:r>
    </w:p>
    <w:p w14:paraId="58BC1D0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本协议书与下列文件一起构成合同文件:</w:t>
      </w:r>
    </w:p>
    <w:p w14:paraId="2A2A401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1.本合同协议书；</w:t>
      </w:r>
    </w:p>
    <w:p w14:paraId="35F5B7F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2.专用条件；</w:t>
      </w:r>
    </w:p>
    <w:p w14:paraId="207F3B2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3.通用条件；</w:t>
      </w:r>
    </w:p>
    <w:p w14:paraId="44A716D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4.其他合同文件。</w:t>
      </w:r>
    </w:p>
    <w:p w14:paraId="463805D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上述各项合同文件包括合同当事人就该项合同文件所作出的补充和修改，属于同一类内容的文件，应以最新签署的为准。在合同订立及履行过程中形成的与合同有关的文件（包括补充协议）均构成合同文件的组成部分。</w:t>
      </w:r>
    </w:p>
    <w:p w14:paraId="305CC126">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七、词语定义</w:t>
      </w:r>
    </w:p>
    <w:p w14:paraId="1CBACDB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协议书中相关词语的含义与通用条件中的定义与解释相同。</w:t>
      </w:r>
    </w:p>
    <w:p w14:paraId="046E72E0">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八、合同订立</w:t>
      </w:r>
    </w:p>
    <w:p w14:paraId="1607448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1.订立时间：</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6EBA8F9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u w:val="single"/>
        </w:rPr>
      </w:pPr>
      <w:r>
        <w:rPr>
          <w:rFonts w:hint="eastAsia" w:ascii="宋体" w:hAnsi="宋体"/>
          <w:color w:val="auto"/>
          <w:sz w:val="24"/>
        </w:rPr>
        <w:t>2.订立地点：</w:t>
      </w:r>
      <w:r>
        <w:rPr>
          <w:rFonts w:hint="eastAsia" w:ascii="宋体" w:hAnsi="宋体"/>
          <w:color w:val="auto"/>
          <w:sz w:val="24"/>
          <w:u w:val="single"/>
        </w:rPr>
        <w:t xml:space="preserve">                 </w:t>
      </w:r>
    </w:p>
    <w:p w14:paraId="562B9EF0">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九、合同生效</w:t>
      </w:r>
    </w:p>
    <w:p w14:paraId="038E464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本合同自</w:t>
      </w:r>
      <w:r>
        <w:rPr>
          <w:rFonts w:hint="eastAsia" w:ascii="宋体" w:hAnsi="宋体"/>
          <w:color w:val="auto"/>
          <w:sz w:val="24"/>
          <w:u w:val="single"/>
        </w:rPr>
        <w:t>签订之日起</w:t>
      </w:r>
      <w:r>
        <w:rPr>
          <w:rFonts w:hint="eastAsia" w:ascii="宋体" w:hAnsi="宋体"/>
          <w:color w:val="auto"/>
          <w:sz w:val="24"/>
        </w:rPr>
        <w:t>生效。</w:t>
      </w:r>
    </w:p>
    <w:p w14:paraId="7D23AE26">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b/>
          <w:color w:val="auto"/>
          <w:sz w:val="24"/>
        </w:rPr>
      </w:pPr>
      <w:r>
        <w:rPr>
          <w:rFonts w:hint="eastAsia" w:ascii="宋体" w:hAnsi="宋体"/>
          <w:b/>
          <w:color w:val="auto"/>
          <w:sz w:val="24"/>
        </w:rPr>
        <w:t>十、合同份数</w:t>
      </w:r>
    </w:p>
    <w:p w14:paraId="6AC6AB3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olor w:val="auto"/>
          <w:sz w:val="24"/>
        </w:rPr>
      </w:pPr>
      <w:r>
        <w:rPr>
          <w:rFonts w:hint="eastAsia" w:ascii="宋体" w:hAnsi="宋体"/>
          <w:color w:val="auto"/>
          <w:sz w:val="24"/>
        </w:rPr>
        <w:t>本合同一式</w:t>
      </w:r>
      <w:r>
        <w:rPr>
          <w:rFonts w:hint="eastAsia" w:ascii="宋体" w:hAnsi="宋体"/>
          <w:color w:val="auto"/>
          <w:sz w:val="24"/>
          <w:u w:val="single"/>
          <w:lang w:val="en-US" w:eastAsia="zh-CN"/>
        </w:rPr>
        <w:t xml:space="preserve">   </w:t>
      </w:r>
      <w:r>
        <w:rPr>
          <w:rFonts w:hint="eastAsia" w:ascii="宋体" w:hAnsi="宋体"/>
          <w:color w:val="auto"/>
          <w:sz w:val="24"/>
        </w:rPr>
        <w:t>份，具有同等法律效力，其中委托人执</w:t>
      </w:r>
      <w:r>
        <w:rPr>
          <w:rFonts w:hint="eastAsia" w:ascii="宋体" w:hAnsi="宋体"/>
          <w:color w:val="auto"/>
          <w:sz w:val="24"/>
          <w:u w:val="single"/>
          <w:lang w:val="en-US" w:eastAsia="zh-CN"/>
        </w:rPr>
        <w:t xml:space="preserve">   </w:t>
      </w:r>
      <w:r>
        <w:rPr>
          <w:rFonts w:hint="eastAsia" w:ascii="宋体" w:hAnsi="宋体"/>
          <w:color w:val="auto"/>
          <w:sz w:val="24"/>
        </w:rPr>
        <w:t>份，咨询人执</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rPr>
        <w:t>份。</w:t>
      </w:r>
    </w:p>
    <w:p w14:paraId="707A312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委 托 人：</w:t>
      </w:r>
      <w:r>
        <w:rPr>
          <w:rFonts w:hint="eastAsia" w:ascii="宋体" w:hAnsi="宋体"/>
          <w:color w:val="auto"/>
          <w:sz w:val="24"/>
          <w:u w:val="single"/>
        </w:rPr>
        <w:t xml:space="preserve">         </w:t>
      </w:r>
      <w:r>
        <w:rPr>
          <w:rFonts w:hint="eastAsia" w:ascii="宋体" w:hAnsi="宋体"/>
          <w:color w:val="auto"/>
          <w:sz w:val="24"/>
        </w:rPr>
        <w:t>（盖章）            咨 询 人：</w:t>
      </w:r>
      <w:r>
        <w:rPr>
          <w:rFonts w:hint="eastAsia" w:ascii="宋体" w:hAnsi="宋体"/>
          <w:color w:val="auto"/>
          <w:sz w:val="24"/>
          <w:u w:val="single"/>
        </w:rPr>
        <w:t xml:space="preserve">        </w:t>
      </w:r>
      <w:r>
        <w:rPr>
          <w:rFonts w:hint="eastAsia" w:ascii="宋体" w:hAnsi="宋体"/>
          <w:color w:val="auto"/>
          <w:sz w:val="24"/>
        </w:rPr>
        <w:t>（盖章）</w:t>
      </w:r>
    </w:p>
    <w:p w14:paraId="4A35563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法定代表人或其授权的                   法定代表人或其授权的</w:t>
      </w:r>
    </w:p>
    <w:p w14:paraId="3FC27C9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代 理 人：</w:t>
      </w:r>
      <w:r>
        <w:rPr>
          <w:rFonts w:hint="eastAsia" w:ascii="宋体" w:hAnsi="宋体"/>
          <w:color w:val="auto"/>
          <w:sz w:val="24"/>
          <w:u w:val="single"/>
        </w:rPr>
        <w:t xml:space="preserve">         </w:t>
      </w:r>
      <w:r>
        <w:rPr>
          <w:rFonts w:hint="eastAsia" w:ascii="宋体" w:hAnsi="宋体"/>
          <w:color w:val="auto"/>
          <w:sz w:val="24"/>
        </w:rPr>
        <w:t>（签字）            代 理 人：</w:t>
      </w:r>
      <w:r>
        <w:rPr>
          <w:rFonts w:hint="eastAsia" w:ascii="宋体" w:hAnsi="宋体"/>
          <w:color w:val="auto"/>
          <w:sz w:val="24"/>
          <w:u w:val="single"/>
        </w:rPr>
        <w:t xml:space="preserve">        </w:t>
      </w:r>
      <w:r>
        <w:rPr>
          <w:rFonts w:hint="eastAsia" w:ascii="宋体" w:hAnsi="宋体"/>
          <w:color w:val="auto"/>
          <w:sz w:val="24"/>
        </w:rPr>
        <w:t>（签字）</w:t>
      </w:r>
    </w:p>
    <w:p w14:paraId="0F4B64A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组织机构代码：                         组织机构代码：</w:t>
      </w:r>
    </w:p>
    <w:p w14:paraId="1D7AE36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纳税人识别码：                         纳税人识别码：</w:t>
      </w:r>
    </w:p>
    <w:p w14:paraId="2A28464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住 所：                                住 所：</w:t>
      </w:r>
    </w:p>
    <w:p w14:paraId="49FC56B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账 号：                                账 号：</w:t>
      </w:r>
    </w:p>
    <w:p w14:paraId="33C27BD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开户银行：                             开户银行：</w:t>
      </w:r>
    </w:p>
    <w:p w14:paraId="0B8B457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邮政编码：                             邮政编码：</w:t>
      </w:r>
    </w:p>
    <w:p w14:paraId="1341555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rPr>
      </w:pPr>
      <w:r>
        <w:rPr>
          <w:rFonts w:hint="eastAsia" w:ascii="宋体" w:hAnsi="宋体"/>
          <w:color w:val="auto"/>
          <w:sz w:val="24"/>
        </w:rPr>
        <w:t>电 话：                                电 话：</w:t>
      </w:r>
    </w:p>
    <w:p w14:paraId="69263F4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8"/>
          <w:szCs w:val="28"/>
        </w:rPr>
      </w:pPr>
      <w:r>
        <w:rPr>
          <w:rFonts w:hint="eastAsia" w:ascii="宋体" w:hAnsi="宋体"/>
          <w:color w:val="auto"/>
          <w:sz w:val="24"/>
        </w:rPr>
        <w:t>电子信箱：                             电子信箱：</w:t>
      </w:r>
    </w:p>
    <w:p w14:paraId="726E6AE0">
      <w:pPr>
        <w:spacing w:line="440" w:lineRule="exact"/>
        <w:jc w:val="center"/>
        <w:rPr>
          <w:rFonts w:hint="eastAsia"/>
          <w:b/>
          <w:color w:val="auto"/>
          <w:sz w:val="30"/>
          <w:szCs w:val="30"/>
        </w:rPr>
      </w:pPr>
    </w:p>
    <w:p w14:paraId="506363FD">
      <w:pPr>
        <w:spacing w:line="440" w:lineRule="exact"/>
        <w:jc w:val="center"/>
        <w:rPr>
          <w:rFonts w:hint="eastAsia"/>
          <w:b/>
          <w:color w:val="auto"/>
          <w:sz w:val="30"/>
          <w:szCs w:val="30"/>
        </w:rPr>
      </w:pPr>
    </w:p>
    <w:p w14:paraId="5E3FC3A0">
      <w:pPr>
        <w:spacing w:line="440" w:lineRule="exact"/>
        <w:jc w:val="center"/>
        <w:rPr>
          <w:rFonts w:hint="eastAsia"/>
          <w:b/>
          <w:color w:val="auto"/>
          <w:sz w:val="30"/>
          <w:szCs w:val="30"/>
        </w:rPr>
      </w:pPr>
    </w:p>
    <w:p w14:paraId="41E988C7">
      <w:pPr>
        <w:spacing w:line="440" w:lineRule="exact"/>
        <w:jc w:val="center"/>
        <w:rPr>
          <w:rFonts w:hint="eastAsia"/>
          <w:b/>
          <w:color w:val="auto"/>
          <w:sz w:val="30"/>
          <w:szCs w:val="30"/>
        </w:rPr>
      </w:pPr>
    </w:p>
    <w:p w14:paraId="089BA922">
      <w:pPr>
        <w:spacing w:line="440" w:lineRule="exact"/>
        <w:jc w:val="center"/>
        <w:rPr>
          <w:rFonts w:hint="eastAsia"/>
          <w:b/>
          <w:color w:val="auto"/>
          <w:sz w:val="30"/>
          <w:szCs w:val="30"/>
        </w:rPr>
      </w:pPr>
    </w:p>
    <w:p w14:paraId="19C2E818">
      <w:pPr>
        <w:spacing w:line="440" w:lineRule="exact"/>
        <w:jc w:val="center"/>
        <w:rPr>
          <w:rFonts w:hint="eastAsia"/>
          <w:b/>
          <w:color w:val="auto"/>
          <w:sz w:val="30"/>
          <w:szCs w:val="30"/>
        </w:rPr>
      </w:pPr>
    </w:p>
    <w:p w14:paraId="143C3BD2">
      <w:pPr>
        <w:spacing w:line="440" w:lineRule="exact"/>
        <w:jc w:val="center"/>
        <w:rPr>
          <w:rFonts w:hint="eastAsia"/>
          <w:b/>
          <w:color w:val="auto"/>
          <w:sz w:val="30"/>
          <w:szCs w:val="30"/>
        </w:rPr>
      </w:pPr>
    </w:p>
    <w:p w14:paraId="5A2ACFC8">
      <w:pPr>
        <w:spacing w:line="440" w:lineRule="exact"/>
        <w:jc w:val="center"/>
        <w:rPr>
          <w:rFonts w:hint="eastAsia"/>
          <w:b/>
          <w:color w:val="auto"/>
          <w:sz w:val="30"/>
          <w:szCs w:val="30"/>
        </w:rPr>
      </w:pPr>
    </w:p>
    <w:p w14:paraId="6AD3826F">
      <w:pPr>
        <w:spacing w:line="440" w:lineRule="exact"/>
        <w:jc w:val="center"/>
        <w:rPr>
          <w:rFonts w:hint="eastAsia"/>
          <w:b/>
          <w:color w:val="auto"/>
          <w:sz w:val="30"/>
          <w:szCs w:val="30"/>
        </w:rPr>
      </w:pPr>
    </w:p>
    <w:p w14:paraId="64CCC827">
      <w:pPr>
        <w:spacing w:line="440" w:lineRule="exact"/>
        <w:jc w:val="center"/>
        <w:rPr>
          <w:rFonts w:hint="eastAsia"/>
          <w:b/>
          <w:color w:val="auto"/>
          <w:sz w:val="30"/>
          <w:szCs w:val="30"/>
        </w:rPr>
      </w:pPr>
    </w:p>
    <w:p w14:paraId="19E66999">
      <w:pPr>
        <w:spacing w:line="440" w:lineRule="exact"/>
        <w:jc w:val="center"/>
        <w:rPr>
          <w:rFonts w:hint="eastAsia"/>
          <w:b/>
          <w:color w:val="auto"/>
          <w:sz w:val="30"/>
          <w:szCs w:val="30"/>
        </w:rPr>
      </w:pPr>
    </w:p>
    <w:p w14:paraId="0702675C">
      <w:pPr>
        <w:spacing w:line="440" w:lineRule="exact"/>
        <w:jc w:val="center"/>
        <w:rPr>
          <w:rFonts w:hint="eastAsia"/>
          <w:b/>
          <w:color w:val="auto"/>
          <w:sz w:val="30"/>
          <w:szCs w:val="30"/>
        </w:rPr>
      </w:pPr>
    </w:p>
    <w:p w14:paraId="66802B8D">
      <w:pPr>
        <w:spacing w:line="440" w:lineRule="exact"/>
        <w:jc w:val="center"/>
        <w:rPr>
          <w:rFonts w:hint="eastAsia"/>
          <w:b/>
          <w:color w:val="auto"/>
          <w:sz w:val="30"/>
          <w:szCs w:val="30"/>
        </w:rPr>
      </w:pPr>
    </w:p>
    <w:p w14:paraId="0EA4E4E1">
      <w:pPr>
        <w:spacing w:line="440" w:lineRule="exact"/>
        <w:jc w:val="center"/>
        <w:rPr>
          <w:rFonts w:hint="eastAsia"/>
          <w:b/>
          <w:color w:val="auto"/>
          <w:sz w:val="30"/>
          <w:szCs w:val="30"/>
        </w:rPr>
      </w:pPr>
    </w:p>
    <w:p w14:paraId="49F77A10">
      <w:pPr>
        <w:spacing w:line="440" w:lineRule="exact"/>
        <w:jc w:val="center"/>
        <w:rPr>
          <w:rFonts w:hint="eastAsia"/>
          <w:b/>
          <w:color w:val="auto"/>
          <w:sz w:val="30"/>
          <w:szCs w:val="30"/>
        </w:rPr>
      </w:pPr>
    </w:p>
    <w:p w14:paraId="030215FE">
      <w:pPr>
        <w:spacing w:line="440" w:lineRule="exact"/>
        <w:jc w:val="center"/>
        <w:rPr>
          <w:rFonts w:hint="eastAsia"/>
          <w:b/>
          <w:color w:val="auto"/>
          <w:sz w:val="30"/>
          <w:szCs w:val="30"/>
        </w:rPr>
      </w:pPr>
      <w:r>
        <w:rPr>
          <w:rFonts w:hint="eastAsia"/>
          <w:b/>
          <w:color w:val="auto"/>
          <w:sz w:val="30"/>
          <w:szCs w:val="30"/>
        </w:rPr>
        <w:t>第二部分 通用条件</w:t>
      </w:r>
    </w:p>
    <w:p w14:paraId="115C14BA">
      <w:pPr>
        <w:spacing w:line="540" w:lineRule="exact"/>
        <w:ind w:firstLine="482" w:firstLineChars="200"/>
        <w:rPr>
          <w:rFonts w:hint="eastAsia" w:ascii="宋体" w:hAnsi="宋体"/>
          <w:b/>
          <w:color w:val="auto"/>
          <w:sz w:val="24"/>
        </w:rPr>
      </w:pPr>
      <w:r>
        <w:rPr>
          <w:rFonts w:hint="eastAsia" w:ascii="宋体" w:hAnsi="宋体"/>
          <w:b/>
          <w:color w:val="auto"/>
          <w:sz w:val="24"/>
        </w:rPr>
        <w:t>1. 词语定义、语言、解释顺序与适用法律</w:t>
      </w:r>
    </w:p>
    <w:p w14:paraId="1A264AFB">
      <w:pPr>
        <w:spacing w:line="540" w:lineRule="exact"/>
        <w:ind w:firstLine="480" w:firstLineChars="200"/>
        <w:rPr>
          <w:rFonts w:hint="eastAsia" w:ascii="宋体" w:hAnsi="宋体"/>
          <w:color w:val="auto"/>
          <w:sz w:val="24"/>
        </w:rPr>
      </w:pPr>
      <w:r>
        <w:rPr>
          <w:rFonts w:hint="eastAsia" w:ascii="宋体" w:hAnsi="宋体"/>
          <w:color w:val="auto"/>
          <w:sz w:val="24"/>
        </w:rPr>
        <w:t>1.1 词语定义</w:t>
      </w:r>
    </w:p>
    <w:p w14:paraId="244EC3C1">
      <w:pPr>
        <w:spacing w:line="540" w:lineRule="exact"/>
        <w:ind w:firstLine="480" w:firstLineChars="200"/>
        <w:rPr>
          <w:rFonts w:hint="eastAsia" w:ascii="宋体" w:hAnsi="宋体"/>
          <w:color w:val="auto"/>
          <w:sz w:val="24"/>
        </w:rPr>
      </w:pPr>
      <w:r>
        <w:rPr>
          <w:rFonts w:hint="eastAsia" w:ascii="宋体" w:hAnsi="宋体"/>
          <w:color w:val="auto"/>
          <w:sz w:val="24"/>
        </w:rPr>
        <w:t>组成本合同的全部文件中的下列名词和用语应具有本款所赋予的含义：</w:t>
      </w:r>
    </w:p>
    <w:p w14:paraId="297BA26D">
      <w:pPr>
        <w:spacing w:line="540" w:lineRule="exact"/>
        <w:ind w:firstLine="480" w:firstLineChars="200"/>
        <w:rPr>
          <w:rFonts w:hint="eastAsia" w:ascii="宋体" w:hAnsi="宋体"/>
          <w:color w:val="auto"/>
          <w:sz w:val="24"/>
        </w:rPr>
      </w:pPr>
      <w:r>
        <w:rPr>
          <w:rFonts w:hint="eastAsia" w:ascii="宋体" w:hAnsi="宋体"/>
          <w:color w:val="auto"/>
          <w:sz w:val="24"/>
        </w:rPr>
        <w:t>1.1.1“工程”是指按照本合同约定实施造价咨询与其他服务的建设工程。</w:t>
      </w:r>
    </w:p>
    <w:p w14:paraId="17615C05">
      <w:pPr>
        <w:spacing w:line="540" w:lineRule="exact"/>
        <w:ind w:firstLine="480" w:firstLineChars="200"/>
        <w:rPr>
          <w:rFonts w:hint="eastAsia" w:ascii="宋体" w:hAnsi="宋体"/>
          <w:color w:val="auto"/>
          <w:sz w:val="24"/>
        </w:rPr>
      </w:pPr>
      <w:r>
        <w:rPr>
          <w:rFonts w:hint="eastAsia" w:ascii="宋体" w:hAnsi="宋体"/>
          <w:color w:val="auto"/>
          <w:sz w:val="24"/>
        </w:rPr>
        <w:t>1.1.2“工程造价”是指工程项目建设过程中预计或实际支出的全部费用。</w:t>
      </w:r>
    </w:p>
    <w:p w14:paraId="26010FD7">
      <w:pPr>
        <w:spacing w:line="540" w:lineRule="exact"/>
        <w:ind w:firstLine="480" w:firstLineChars="200"/>
        <w:rPr>
          <w:rFonts w:hint="eastAsia" w:ascii="宋体" w:hAnsi="宋体"/>
          <w:color w:val="auto"/>
          <w:sz w:val="24"/>
        </w:rPr>
      </w:pPr>
      <w:r>
        <w:rPr>
          <w:rFonts w:hint="eastAsia" w:ascii="宋体" w:hAnsi="宋体"/>
          <w:color w:val="auto"/>
          <w:sz w:val="24"/>
        </w:rPr>
        <w:t>1.1.3“委托人”是指本合同中委托造价咨询与其他服务的一方，及其合法的继承人或受让人。</w:t>
      </w:r>
    </w:p>
    <w:p w14:paraId="6BBF514C">
      <w:pPr>
        <w:spacing w:line="540" w:lineRule="exact"/>
        <w:ind w:firstLine="480" w:firstLineChars="200"/>
        <w:rPr>
          <w:rFonts w:hint="eastAsia" w:ascii="宋体" w:hAnsi="宋体"/>
          <w:color w:val="auto"/>
          <w:sz w:val="24"/>
        </w:rPr>
      </w:pPr>
      <w:r>
        <w:rPr>
          <w:rFonts w:hint="eastAsia" w:ascii="宋体" w:hAnsi="宋体"/>
          <w:color w:val="auto"/>
          <w:sz w:val="24"/>
        </w:rPr>
        <w:t>1.1.4“咨询人”是指本合同中提供造价咨询与其他服务的一方 ，及其合法的继承人。</w:t>
      </w:r>
    </w:p>
    <w:p w14:paraId="08B23736">
      <w:pPr>
        <w:spacing w:line="540" w:lineRule="exact"/>
        <w:ind w:firstLine="480" w:firstLineChars="200"/>
        <w:rPr>
          <w:rFonts w:hint="eastAsia" w:ascii="宋体" w:hAnsi="宋体"/>
          <w:color w:val="auto"/>
          <w:sz w:val="24"/>
        </w:rPr>
      </w:pPr>
      <w:r>
        <w:rPr>
          <w:rFonts w:hint="eastAsia" w:ascii="宋体" w:hAnsi="宋体"/>
          <w:color w:val="auto"/>
          <w:sz w:val="24"/>
        </w:rPr>
        <w:t>1.1.5“第三人”是指除委托人、咨询人以外与本咨询业务有关的当事人。</w:t>
      </w:r>
    </w:p>
    <w:p w14:paraId="1CFDF6A2">
      <w:pPr>
        <w:spacing w:line="540" w:lineRule="exact"/>
        <w:ind w:firstLine="480" w:firstLineChars="200"/>
        <w:rPr>
          <w:rFonts w:hint="eastAsia" w:ascii="宋体" w:hAnsi="宋体"/>
          <w:color w:val="auto"/>
          <w:sz w:val="24"/>
        </w:rPr>
      </w:pPr>
      <w:r>
        <w:rPr>
          <w:rFonts w:hint="eastAsia" w:ascii="宋体" w:hAnsi="宋体"/>
          <w:color w:val="auto"/>
          <w:sz w:val="24"/>
        </w:rPr>
        <w:t>1.1.6“正常工作”是指本合同订立时通用条件和专用条件中约定的咨询人的工作。</w:t>
      </w:r>
    </w:p>
    <w:p w14:paraId="3C52DC5A">
      <w:pPr>
        <w:spacing w:line="540" w:lineRule="exact"/>
        <w:ind w:firstLine="480" w:firstLineChars="200"/>
        <w:rPr>
          <w:rFonts w:hint="eastAsia" w:ascii="宋体" w:hAnsi="宋体"/>
          <w:color w:val="auto"/>
          <w:sz w:val="24"/>
        </w:rPr>
      </w:pPr>
      <w:r>
        <w:rPr>
          <w:rFonts w:hint="eastAsia" w:ascii="宋体" w:hAnsi="宋体"/>
          <w:color w:val="auto"/>
          <w:sz w:val="24"/>
        </w:rPr>
        <w:t>1.1.7“附加工作”是指咨询人根据合同条件完成的正常工作以外的工作。</w:t>
      </w:r>
    </w:p>
    <w:p w14:paraId="245EA209">
      <w:pPr>
        <w:spacing w:line="540" w:lineRule="exact"/>
        <w:ind w:firstLine="480" w:firstLineChars="200"/>
        <w:rPr>
          <w:rFonts w:hint="eastAsia" w:ascii="宋体" w:hAnsi="宋体"/>
          <w:color w:val="auto"/>
          <w:sz w:val="24"/>
        </w:rPr>
      </w:pPr>
      <w:r>
        <w:rPr>
          <w:rFonts w:hint="eastAsia" w:ascii="宋体" w:hAnsi="宋体"/>
          <w:color w:val="auto"/>
          <w:sz w:val="24"/>
        </w:rPr>
        <w:t>1.1.8“项目咨询团队”是指咨询人指派负责履行本合同的团队，其团队成员为本合同的项目咨询人员。</w:t>
      </w:r>
    </w:p>
    <w:p w14:paraId="3BA08F13">
      <w:pPr>
        <w:spacing w:line="540" w:lineRule="exact"/>
        <w:ind w:firstLine="480" w:firstLineChars="200"/>
        <w:rPr>
          <w:rFonts w:hint="eastAsia" w:ascii="宋体" w:hAnsi="宋体"/>
          <w:color w:val="auto"/>
          <w:sz w:val="24"/>
        </w:rPr>
      </w:pPr>
      <w:r>
        <w:rPr>
          <w:rFonts w:hint="eastAsia" w:ascii="宋体" w:hAnsi="宋体"/>
          <w:color w:val="auto"/>
          <w:sz w:val="24"/>
        </w:rPr>
        <w:t>1.1.9“项目负责人”是指由咨询人的法定代表人书面授权，在授权范围内负责履行本合同、主持项目咨询团队工作的负责人。</w:t>
      </w:r>
    </w:p>
    <w:p w14:paraId="47918AA6">
      <w:pPr>
        <w:spacing w:line="540" w:lineRule="exact"/>
        <w:ind w:firstLine="480" w:firstLineChars="200"/>
        <w:rPr>
          <w:rFonts w:hint="eastAsia" w:ascii="宋体" w:hAnsi="宋体"/>
          <w:color w:val="auto"/>
          <w:sz w:val="24"/>
        </w:rPr>
      </w:pPr>
      <w:r>
        <w:rPr>
          <w:rFonts w:hint="eastAsia" w:ascii="宋体" w:hAnsi="宋体"/>
          <w:color w:val="auto"/>
          <w:sz w:val="24"/>
        </w:rPr>
        <w:t>1.1.10“委托人代表”是指由委托人的法定代表人书面授权，在授权范围内行使委托人权利的人。</w:t>
      </w:r>
    </w:p>
    <w:p w14:paraId="6F9EE1B5">
      <w:pPr>
        <w:spacing w:line="540" w:lineRule="exact"/>
        <w:ind w:firstLine="480" w:firstLineChars="200"/>
        <w:rPr>
          <w:rFonts w:hint="eastAsia" w:ascii="宋体" w:hAnsi="宋体"/>
          <w:color w:val="auto"/>
          <w:sz w:val="24"/>
        </w:rPr>
      </w:pPr>
      <w:r>
        <w:rPr>
          <w:rFonts w:hint="eastAsia" w:ascii="宋体" w:hAnsi="宋体"/>
          <w:color w:val="auto"/>
          <w:sz w:val="24"/>
        </w:rPr>
        <w:t>1.1.11“酬金”是指咨询人履行本合同义务，委托人按照本合同约定给付咨询人的金额。</w:t>
      </w:r>
    </w:p>
    <w:p w14:paraId="55D7AA2C">
      <w:pPr>
        <w:spacing w:line="540" w:lineRule="exact"/>
        <w:ind w:firstLine="480" w:firstLineChars="200"/>
        <w:rPr>
          <w:rFonts w:hint="eastAsia" w:ascii="宋体" w:hAnsi="宋体"/>
          <w:color w:val="auto"/>
          <w:sz w:val="24"/>
        </w:rPr>
      </w:pPr>
      <w:r>
        <w:rPr>
          <w:rFonts w:hint="eastAsia" w:ascii="宋体" w:hAnsi="宋体"/>
          <w:color w:val="auto"/>
          <w:sz w:val="24"/>
        </w:rPr>
        <w:t>1.1.12“正常工作酬金”是指在协议书中载明的，咨询人完成正常工作，委托人应给付咨询人的酬金。</w:t>
      </w:r>
    </w:p>
    <w:p w14:paraId="1BA0F0D7">
      <w:pPr>
        <w:spacing w:line="540" w:lineRule="exact"/>
        <w:ind w:firstLine="480" w:firstLineChars="200"/>
        <w:rPr>
          <w:rFonts w:hint="eastAsia" w:ascii="宋体" w:hAnsi="宋体"/>
          <w:color w:val="auto"/>
          <w:sz w:val="24"/>
        </w:rPr>
      </w:pPr>
      <w:r>
        <w:rPr>
          <w:rFonts w:hint="eastAsia" w:ascii="宋体" w:hAnsi="宋体"/>
          <w:color w:val="auto"/>
          <w:sz w:val="24"/>
        </w:rPr>
        <w:t>1.1.13“附加工作酬金”是指咨询人完成附加工作，委托人应给付咨询人的酬金。</w:t>
      </w:r>
    </w:p>
    <w:p w14:paraId="5571AE83">
      <w:pPr>
        <w:spacing w:line="540" w:lineRule="exact"/>
        <w:ind w:firstLine="480" w:firstLineChars="200"/>
        <w:rPr>
          <w:rFonts w:hint="eastAsia" w:ascii="宋体" w:hAnsi="宋体"/>
          <w:color w:val="auto"/>
          <w:sz w:val="24"/>
        </w:rPr>
      </w:pPr>
      <w:r>
        <w:rPr>
          <w:rFonts w:hint="eastAsia" w:ascii="宋体" w:hAnsi="宋体"/>
          <w:color w:val="auto"/>
          <w:sz w:val="24"/>
        </w:rPr>
        <w:t>1.1.14 “书面形式”是指合同书、信件和数据电文（包括电报、电传、传真、电子数据交换和电子邮件）等可以有形地表现所载内容的形式。</w:t>
      </w:r>
    </w:p>
    <w:p w14:paraId="7355D9A1">
      <w:pPr>
        <w:spacing w:line="540" w:lineRule="exact"/>
        <w:ind w:firstLine="480" w:firstLineChars="200"/>
        <w:rPr>
          <w:rFonts w:hint="eastAsia" w:ascii="宋体" w:hAnsi="宋体"/>
          <w:color w:val="auto"/>
          <w:sz w:val="24"/>
        </w:rPr>
      </w:pPr>
      <w:r>
        <w:rPr>
          <w:rFonts w:hint="eastAsia" w:ascii="宋体" w:hAnsi="宋体"/>
          <w:color w:val="auto"/>
          <w:sz w:val="24"/>
        </w:rPr>
        <w:t>1.1.15 “不可抗力”是指委托人和咨询人在订立本合同时不可预见，在合同履行过程中不可避免并不能克服的自然灾害和社会性突发事件，如地震、海啸、瘟疫、水灾、骚乱、暴动、战争等情形。</w:t>
      </w:r>
    </w:p>
    <w:p w14:paraId="7B3301E6">
      <w:pPr>
        <w:spacing w:line="540" w:lineRule="exact"/>
        <w:ind w:firstLine="480" w:firstLineChars="200"/>
        <w:rPr>
          <w:rFonts w:hint="eastAsia" w:ascii="宋体" w:hAnsi="宋体"/>
          <w:color w:val="auto"/>
          <w:sz w:val="24"/>
        </w:rPr>
      </w:pPr>
      <w:r>
        <w:rPr>
          <w:rFonts w:hint="eastAsia" w:ascii="宋体" w:hAnsi="宋体"/>
          <w:color w:val="auto"/>
          <w:sz w:val="24"/>
        </w:rPr>
        <w:t>1.2 语言</w:t>
      </w:r>
    </w:p>
    <w:p w14:paraId="1624A749">
      <w:pPr>
        <w:spacing w:line="540" w:lineRule="exact"/>
        <w:ind w:firstLine="480" w:firstLineChars="200"/>
        <w:rPr>
          <w:rFonts w:hint="eastAsia" w:ascii="宋体" w:hAnsi="宋体"/>
          <w:color w:val="auto"/>
          <w:sz w:val="24"/>
        </w:rPr>
      </w:pPr>
      <w:r>
        <w:rPr>
          <w:rFonts w:hint="eastAsia" w:ascii="宋体" w:hAnsi="宋体"/>
          <w:color w:val="auto"/>
          <w:sz w:val="24"/>
        </w:rPr>
        <w:t>本合同使用中文书写、解释和说明。如专用条件约定使用两种及以上语言文字时，应以中文为准。</w:t>
      </w:r>
    </w:p>
    <w:p w14:paraId="2329D3F8">
      <w:pPr>
        <w:spacing w:line="540" w:lineRule="exact"/>
        <w:ind w:firstLine="480" w:firstLineChars="200"/>
        <w:rPr>
          <w:rFonts w:hint="eastAsia" w:ascii="宋体" w:hAnsi="宋体"/>
          <w:color w:val="auto"/>
          <w:sz w:val="24"/>
        </w:rPr>
      </w:pPr>
      <w:r>
        <w:rPr>
          <w:rFonts w:hint="eastAsia" w:ascii="宋体" w:hAnsi="宋体"/>
          <w:color w:val="auto"/>
          <w:sz w:val="24"/>
        </w:rPr>
        <w:t>1.3 合同文件的优先顺序</w:t>
      </w:r>
    </w:p>
    <w:p w14:paraId="0D1F4072">
      <w:pPr>
        <w:spacing w:line="540" w:lineRule="exact"/>
        <w:ind w:firstLine="480" w:firstLineChars="200"/>
        <w:rPr>
          <w:rFonts w:hint="eastAsia" w:ascii="宋体" w:hAnsi="宋体"/>
          <w:color w:val="auto"/>
          <w:sz w:val="24"/>
        </w:rPr>
      </w:pPr>
      <w:r>
        <w:rPr>
          <w:rFonts w:hint="eastAsia" w:ascii="宋体" w:hAnsi="宋体"/>
          <w:color w:val="auto"/>
          <w:sz w:val="24"/>
        </w:rPr>
        <w:t>组成本合同的下列文件彼此应能相互解释、互为说明。除专用条件另有约定外，本合同文件的解释顺序如下：</w:t>
      </w:r>
    </w:p>
    <w:p w14:paraId="5DA1BDBD">
      <w:pPr>
        <w:spacing w:line="540" w:lineRule="exact"/>
        <w:ind w:firstLine="480" w:firstLineChars="200"/>
        <w:rPr>
          <w:rFonts w:hint="eastAsia" w:ascii="宋体" w:hAnsi="宋体"/>
          <w:color w:val="auto"/>
          <w:sz w:val="24"/>
        </w:rPr>
      </w:pPr>
      <w:r>
        <w:rPr>
          <w:rFonts w:hint="eastAsia" w:ascii="宋体" w:hAnsi="宋体"/>
          <w:color w:val="auto"/>
          <w:sz w:val="24"/>
        </w:rPr>
        <w:t>1.协议书</w:t>
      </w:r>
    </w:p>
    <w:p w14:paraId="1D2219A6">
      <w:pPr>
        <w:spacing w:line="540" w:lineRule="exact"/>
        <w:ind w:firstLine="480" w:firstLineChars="200"/>
        <w:rPr>
          <w:rFonts w:hint="eastAsia" w:ascii="宋体" w:hAnsi="宋体"/>
          <w:color w:val="auto"/>
          <w:sz w:val="24"/>
        </w:rPr>
      </w:pPr>
      <w:r>
        <w:rPr>
          <w:rFonts w:hint="eastAsia" w:ascii="宋体" w:hAnsi="宋体"/>
          <w:color w:val="auto"/>
          <w:sz w:val="24"/>
        </w:rPr>
        <w:t>2.中标通知书或委托书（如果有）；</w:t>
      </w:r>
    </w:p>
    <w:p w14:paraId="2784C143">
      <w:pPr>
        <w:spacing w:line="540" w:lineRule="exact"/>
        <w:ind w:firstLine="480" w:firstLineChars="200"/>
        <w:rPr>
          <w:rFonts w:hint="eastAsia" w:ascii="宋体" w:hAnsi="宋体"/>
          <w:color w:val="auto"/>
          <w:sz w:val="24"/>
        </w:rPr>
      </w:pPr>
      <w:r>
        <w:rPr>
          <w:rFonts w:hint="eastAsia" w:ascii="宋体" w:hAnsi="宋体"/>
          <w:color w:val="auto"/>
          <w:sz w:val="24"/>
        </w:rPr>
        <w:t>3.专用条件及附录；</w:t>
      </w:r>
    </w:p>
    <w:p w14:paraId="0B7C7136">
      <w:pPr>
        <w:spacing w:line="540" w:lineRule="exact"/>
        <w:ind w:firstLine="480" w:firstLineChars="200"/>
        <w:rPr>
          <w:rFonts w:hint="eastAsia" w:ascii="宋体" w:hAnsi="宋体"/>
          <w:color w:val="auto"/>
          <w:sz w:val="24"/>
        </w:rPr>
      </w:pPr>
      <w:r>
        <w:rPr>
          <w:rFonts w:hint="eastAsia" w:ascii="宋体" w:hAnsi="宋体"/>
          <w:color w:val="auto"/>
          <w:sz w:val="24"/>
        </w:rPr>
        <w:t>4.通用条件；</w:t>
      </w:r>
    </w:p>
    <w:p w14:paraId="19DC5D84">
      <w:pPr>
        <w:spacing w:line="540" w:lineRule="exact"/>
        <w:ind w:firstLine="480" w:firstLineChars="200"/>
        <w:rPr>
          <w:rFonts w:hint="eastAsia" w:ascii="宋体" w:hAnsi="宋体"/>
          <w:color w:val="auto"/>
          <w:sz w:val="24"/>
        </w:rPr>
      </w:pPr>
      <w:r>
        <w:rPr>
          <w:rFonts w:hint="eastAsia" w:ascii="宋体" w:hAnsi="宋体"/>
          <w:color w:val="auto"/>
          <w:sz w:val="24"/>
        </w:rPr>
        <w:t>5.投标函及投标函附录或造价咨询服务建议书（如果有）；</w:t>
      </w:r>
    </w:p>
    <w:p w14:paraId="1F1B09ED">
      <w:pPr>
        <w:spacing w:line="540" w:lineRule="exact"/>
        <w:ind w:firstLine="480" w:firstLineChars="200"/>
        <w:rPr>
          <w:rFonts w:hint="eastAsia" w:ascii="宋体" w:hAnsi="宋体"/>
          <w:color w:val="auto"/>
          <w:sz w:val="24"/>
        </w:rPr>
      </w:pPr>
      <w:r>
        <w:rPr>
          <w:rFonts w:hint="eastAsia" w:ascii="宋体" w:hAnsi="宋体"/>
          <w:color w:val="auto"/>
          <w:sz w:val="24"/>
        </w:rPr>
        <w:t>6.其他合同文件。</w:t>
      </w:r>
    </w:p>
    <w:p w14:paraId="61CF8A33">
      <w:pPr>
        <w:spacing w:line="540" w:lineRule="exact"/>
        <w:ind w:firstLine="480" w:firstLineChars="200"/>
        <w:rPr>
          <w:rFonts w:hint="eastAsia" w:ascii="宋体" w:hAnsi="宋体"/>
          <w:color w:val="auto"/>
          <w:sz w:val="24"/>
        </w:rPr>
      </w:pPr>
      <w:r>
        <w:rPr>
          <w:rFonts w:hint="eastAsia" w:ascii="宋体" w:hAnsi="宋体"/>
          <w:color w:val="auto"/>
          <w:sz w:val="24"/>
        </w:rPr>
        <w:t>上述各项合同文件包括合同当事人就该项合同文件所作出的补充和修改，属于同一类内容的文件，应以最新签署的为准。在合同订立及履行过程中形成的与合同有关的文件均构成合同文件的组成部分。</w:t>
      </w:r>
    </w:p>
    <w:p w14:paraId="5230729F">
      <w:pPr>
        <w:spacing w:line="540" w:lineRule="exact"/>
        <w:ind w:firstLine="480" w:firstLineChars="200"/>
        <w:rPr>
          <w:rFonts w:hint="eastAsia" w:ascii="宋体" w:hAnsi="宋体"/>
          <w:color w:val="auto"/>
          <w:sz w:val="24"/>
        </w:rPr>
      </w:pPr>
      <w:r>
        <w:rPr>
          <w:rFonts w:hint="eastAsia" w:ascii="宋体" w:hAnsi="宋体"/>
          <w:color w:val="auto"/>
          <w:sz w:val="24"/>
        </w:rPr>
        <w:t>1.4 适用法律</w:t>
      </w:r>
    </w:p>
    <w:p w14:paraId="3895D28C">
      <w:pPr>
        <w:spacing w:line="540" w:lineRule="exact"/>
        <w:ind w:firstLine="480" w:firstLineChars="200"/>
        <w:rPr>
          <w:rFonts w:hint="eastAsia" w:ascii="宋体" w:hAnsi="宋体"/>
          <w:color w:val="auto"/>
          <w:sz w:val="24"/>
        </w:rPr>
      </w:pPr>
      <w:r>
        <w:rPr>
          <w:rFonts w:hint="eastAsia" w:ascii="宋体" w:hAnsi="宋体"/>
          <w:color w:val="auto"/>
          <w:sz w:val="24"/>
        </w:rPr>
        <w:t>本合同适用中华人民共和国法律、行政法规、部门规章以及工程所在地的地方性法规、自治条例、单行条例和地方政府规章等。</w:t>
      </w:r>
    </w:p>
    <w:p w14:paraId="7B047836">
      <w:pPr>
        <w:spacing w:line="540" w:lineRule="exact"/>
        <w:ind w:firstLine="480" w:firstLineChars="200"/>
        <w:rPr>
          <w:rFonts w:hint="eastAsia" w:ascii="宋体" w:hAnsi="宋体"/>
          <w:color w:val="auto"/>
          <w:sz w:val="24"/>
        </w:rPr>
      </w:pPr>
      <w:r>
        <w:rPr>
          <w:rFonts w:hint="eastAsia" w:ascii="宋体" w:hAnsi="宋体"/>
          <w:color w:val="auto"/>
          <w:sz w:val="24"/>
        </w:rPr>
        <w:t>合同当事人可以在专用条件中约定本合同适用的其他规范、规程、定额、技术标准等规范性文件。</w:t>
      </w:r>
    </w:p>
    <w:p w14:paraId="2181C435">
      <w:pPr>
        <w:spacing w:line="540" w:lineRule="exact"/>
        <w:ind w:firstLine="482" w:firstLineChars="200"/>
        <w:rPr>
          <w:rFonts w:hint="eastAsia" w:ascii="宋体" w:hAnsi="宋体"/>
          <w:b/>
          <w:color w:val="auto"/>
          <w:sz w:val="24"/>
        </w:rPr>
      </w:pPr>
      <w:r>
        <w:rPr>
          <w:rFonts w:hint="eastAsia" w:ascii="宋体" w:hAnsi="宋体"/>
          <w:b/>
          <w:color w:val="auto"/>
          <w:sz w:val="24"/>
        </w:rPr>
        <w:t>2. 委托人的义务</w:t>
      </w:r>
    </w:p>
    <w:p w14:paraId="77D5A22D">
      <w:pPr>
        <w:spacing w:line="540" w:lineRule="exact"/>
        <w:ind w:firstLine="480" w:firstLineChars="200"/>
        <w:rPr>
          <w:rFonts w:hint="eastAsia" w:ascii="宋体" w:hAnsi="宋体"/>
          <w:b/>
          <w:color w:val="auto"/>
          <w:sz w:val="24"/>
        </w:rPr>
      </w:pPr>
      <w:r>
        <w:rPr>
          <w:rFonts w:hint="eastAsia" w:ascii="宋体" w:hAnsi="宋体"/>
          <w:color w:val="auto"/>
          <w:sz w:val="24"/>
        </w:rPr>
        <w:t>2.1 提供资料</w:t>
      </w:r>
    </w:p>
    <w:p w14:paraId="278F32AD">
      <w:pPr>
        <w:spacing w:line="540" w:lineRule="exact"/>
        <w:ind w:firstLine="480" w:firstLineChars="200"/>
        <w:rPr>
          <w:rFonts w:hint="eastAsia" w:ascii="宋体" w:hAnsi="宋体"/>
          <w:b/>
          <w:color w:val="auto"/>
          <w:sz w:val="24"/>
        </w:rPr>
      </w:pPr>
      <w:r>
        <w:rPr>
          <w:rFonts w:hint="eastAsia" w:ascii="宋体" w:hAnsi="宋体"/>
          <w:color w:val="auto"/>
          <w:sz w:val="24"/>
        </w:rPr>
        <w:t>委托人应当在专用条件约定的时间内，按照附录 C 的约定无偿向咨询人提供与本合同咨询业务有关的资料。在本合同履行过程中，委托人应及时向咨询人提供最新的与本合同咨询业务有关的资料。委托人应对所提供资料的真实性、准确性、合法性与完整性负责。</w:t>
      </w:r>
    </w:p>
    <w:p w14:paraId="6B446147">
      <w:pPr>
        <w:spacing w:line="540" w:lineRule="exact"/>
        <w:ind w:firstLine="480" w:firstLineChars="200"/>
        <w:rPr>
          <w:rFonts w:hint="eastAsia" w:ascii="宋体" w:hAnsi="宋体"/>
          <w:b/>
          <w:color w:val="auto"/>
          <w:sz w:val="24"/>
        </w:rPr>
      </w:pPr>
      <w:r>
        <w:rPr>
          <w:rFonts w:hint="eastAsia" w:ascii="宋体" w:hAnsi="宋体"/>
          <w:color w:val="auto"/>
          <w:sz w:val="24"/>
        </w:rPr>
        <w:t>2.2 提供工作条件</w:t>
      </w:r>
    </w:p>
    <w:p w14:paraId="4A4E2607">
      <w:pPr>
        <w:spacing w:line="540" w:lineRule="exact"/>
        <w:ind w:firstLine="480" w:firstLineChars="200"/>
        <w:rPr>
          <w:rFonts w:hint="eastAsia" w:ascii="宋体" w:hAnsi="宋体"/>
          <w:b/>
          <w:color w:val="auto"/>
          <w:sz w:val="24"/>
        </w:rPr>
      </w:pPr>
      <w:r>
        <w:rPr>
          <w:rFonts w:hint="eastAsia" w:ascii="宋体" w:hAnsi="宋体"/>
          <w:color w:val="auto"/>
          <w:sz w:val="24"/>
        </w:rPr>
        <w:t>委托人应为咨询人完成造价咨询提供必要的条件。</w:t>
      </w:r>
    </w:p>
    <w:p w14:paraId="5C95FC77">
      <w:pPr>
        <w:spacing w:line="540" w:lineRule="exact"/>
        <w:ind w:firstLine="480" w:firstLineChars="200"/>
        <w:rPr>
          <w:rFonts w:hint="eastAsia" w:ascii="宋体" w:hAnsi="宋体"/>
          <w:b/>
          <w:color w:val="auto"/>
          <w:sz w:val="24"/>
        </w:rPr>
      </w:pPr>
      <w:r>
        <w:rPr>
          <w:rFonts w:hint="eastAsia" w:ascii="宋体" w:hAnsi="宋体"/>
          <w:color w:val="auto"/>
          <w:sz w:val="24"/>
        </w:rPr>
        <w:t>2.2.1 委托人需要咨询人派驻项目现场咨询人员的，除专用条件另有约定外，项目咨询人员有权无偿使用附录 D 中由委托人提供的房屋及设备。</w:t>
      </w:r>
    </w:p>
    <w:p w14:paraId="1E5A682A">
      <w:pPr>
        <w:spacing w:line="540" w:lineRule="exact"/>
        <w:ind w:firstLine="480" w:firstLineChars="200"/>
        <w:rPr>
          <w:rFonts w:hint="eastAsia" w:ascii="宋体" w:hAnsi="宋体"/>
          <w:b/>
          <w:color w:val="auto"/>
          <w:sz w:val="24"/>
        </w:rPr>
      </w:pPr>
      <w:r>
        <w:rPr>
          <w:rFonts w:hint="eastAsia" w:ascii="宋体" w:hAnsi="宋体"/>
          <w:color w:val="auto"/>
          <w:sz w:val="24"/>
        </w:rPr>
        <w:t>2.2.2 委托人应负责与本工程造价咨询业务有关的所有外部关系的协调，为咨询人履行本合同提供必要的外部条件。</w:t>
      </w:r>
    </w:p>
    <w:p w14:paraId="204E6531">
      <w:pPr>
        <w:spacing w:line="540" w:lineRule="exact"/>
        <w:ind w:firstLine="480" w:firstLineChars="200"/>
        <w:rPr>
          <w:rFonts w:hint="eastAsia" w:ascii="宋体" w:hAnsi="宋体"/>
          <w:b/>
          <w:color w:val="auto"/>
          <w:sz w:val="24"/>
        </w:rPr>
      </w:pPr>
      <w:r>
        <w:rPr>
          <w:rFonts w:hint="eastAsia" w:ascii="宋体" w:hAnsi="宋体"/>
          <w:color w:val="auto"/>
          <w:sz w:val="24"/>
        </w:rPr>
        <w:t>2.3 合理工作时限</w:t>
      </w:r>
    </w:p>
    <w:p w14:paraId="73B995E8">
      <w:pPr>
        <w:spacing w:line="540" w:lineRule="exact"/>
        <w:ind w:firstLine="480" w:firstLineChars="200"/>
        <w:rPr>
          <w:rFonts w:hint="eastAsia" w:ascii="宋体" w:hAnsi="宋体"/>
          <w:b/>
          <w:color w:val="auto"/>
          <w:sz w:val="24"/>
        </w:rPr>
      </w:pPr>
      <w:r>
        <w:rPr>
          <w:rFonts w:hint="eastAsia" w:ascii="宋体" w:hAnsi="宋体"/>
          <w:color w:val="auto"/>
          <w:sz w:val="24"/>
        </w:rPr>
        <w:t>委托人应当为咨询人完成其咨询工作，设定合理的工作时限。</w:t>
      </w:r>
    </w:p>
    <w:p w14:paraId="5E99D259">
      <w:pPr>
        <w:spacing w:line="540" w:lineRule="exact"/>
        <w:ind w:firstLine="480" w:firstLineChars="200"/>
        <w:rPr>
          <w:rFonts w:hint="eastAsia" w:ascii="宋体" w:hAnsi="宋体"/>
          <w:b/>
          <w:color w:val="auto"/>
          <w:sz w:val="24"/>
        </w:rPr>
      </w:pPr>
      <w:r>
        <w:rPr>
          <w:rFonts w:hint="eastAsia" w:ascii="宋体" w:hAnsi="宋体"/>
          <w:color w:val="auto"/>
          <w:sz w:val="24"/>
        </w:rPr>
        <w:t>2.4 委托人代表</w:t>
      </w:r>
    </w:p>
    <w:p w14:paraId="59B28DD7">
      <w:pPr>
        <w:spacing w:line="540" w:lineRule="exact"/>
        <w:ind w:firstLine="480" w:firstLineChars="200"/>
        <w:rPr>
          <w:rFonts w:hint="eastAsia" w:ascii="宋体" w:hAnsi="宋体"/>
          <w:b/>
          <w:color w:val="auto"/>
          <w:sz w:val="24"/>
        </w:rPr>
      </w:pPr>
      <w:r>
        <w:rPr>
          <w:rFonts w:hint="eastAsia" w:ascii="宋体" w:hAnsi="宋体"/>
          <w:color w:val="auto"/>
          <w:sz w:val="24"/>
        </w:rPr>
        <w:t>委托人应授权一名代表负责本合同的履行。委托人应在双方签订本合同 7日内，将委托人代表的姓名和权限范围书面告知咨询人。委托人更换委托人代表时，应提前 7 日书面通知咨询人。</w:t>
      </w:r>
    </w:p>
    <w:p w14:paraId="30BC413E">
      <w:pPr>
        <w:spacing w:line="540" w:lineRule="exact"/>
        <w:ind w:firstLine="480" w:firstLineChars="200"/>
        <w:rPr>
          <w:rFonts w:hint="eastAsia" w:ascii="宋体" w:hAnsi="宋体"/>
          <w:b/>
          <w:color w:val="auto"/>
          <w:sz w:val="24"/>
        </w:rPr>
      </w:pPr>
      <w:r>
        <w:rPr>
          <w:rFonts w:hint="eastAsia" w:ascii="宋体" w:hAnsi="宋体"/>
          <w:color w:val="auto"/>
          <w:sz w:val="24"/>
        </w:rPr>
        <w:t>2.5 答复</w:t>
      </w:r>
    </w:p>
    <w:p w14:paraId="62518541">
      <w:pPr>
        <w:spacing w:line="540" w:lineRule="exact"/>
        <w:ind w:firstLine="480" w:firstLineChars="200"/>
        <w:rPr>
          <w:rFonts w:hint="eastAsia" w:ascii="宋体" w:hAnsi="宋体"/>
          <w:b/>
          <w:color w:val="auto"/>
          <w:sz w:val="24"/>
        </w:rPr>
      </w:pPr>
      <w:r>
        <w:rPr>
          <w:rFonts w:hint="eastAsia" w:ascii="宋体" w:hAnsi="宋体"/>
          <w:color w:val="auto"/>
          <w:sz w:val="24"/>
        </w:rPr>
        <w:t>委托人应当在专用条件约定的时间内就咨询人以书面形式提交并要求做出答复的事宜给予书面答复。逾期未答复的，由此造成的工作延误和损失由委托人承担。</w:t>
      </w:r>
    </w:p>
    <w:p w14:paraId="74C7FDE7">
      <w:pPr>
        <w:spacing w:line="540" w:lineRule="exact"/>
        <w:ind w:firstLine="480" w:firstLineChars="200"/>
        <w:rPr>
          <w:rFonts w:hint="eastAsia" w:ascii="宋体" w:hAnsi="宋体"/>
          <w:b/>
          <w:color w:val="auto"/>
          <w:sz w:val="24"/>
        </w:rPr>
      </w:pPr>
      <w:r>
        <w:rPr>
          <w:rFonts w:hint="eastAsia" w:ascii="宋体" w:hAnsi="宋体"/>
          <w:color w:val="auto"/>
          <w:sz w:val="24"/>
        </w:rPr>
        <w:t>2.6 支付</w:t>
      </w:r>
    </w:p>
    <w:p w14:paraId="572ACB26">
      <w:pPr>
        <w:spacing w:line="540" w:lineRule="exact"/>
        <w:ind w:firstLine="480" w:firstLineChars="200"/>
        <w:rPr>
          <w:rFonts w:hint="eastAsia" w:ascii="宋体" w:hAnsi="宋体"/>
          <w:color w:val="auto"/>
          <w:sz w:val="24"/>
        </w:rPr>
      </w:pPr>
      <w:r>
        <w:rPr>
          <w:rFonts w:hint="eastAsia" w:ascii="宋体" w:hAnsi="宋体"/>
          <w:color w:val="auto"/>
          <w:sz w:val="24"/>
        </w:rPr>
        <w:t>委托人应当按照合同的约定，向咨询人支付酬金。</w:t>
      </w:r>
    </w:p>
    <w:p w14:paraId="61C8B7C7">
      <w:pPr>
        <w:spacing w:line="540" w:lineRule="exact"/>
        <w:ind w:firstLine="482" w:firstLineChars="200"/>
        <w:rPr>
          <w:rFonts w:hint="eastAsia" w:ascii="宋体" w:hAnsi="宋体"/>
          <w:b/>
          <w:color w:val="auto"/>
          <w:sz w:val="24"/>
        </w:rPr>
      </w:pPr>
      <w:r>
        <w:rPr>
          <w:rFonts w:hint="eastAsia" w:ascii="宋体" w:hAnsi="宋体"/>
          <w:b/>
          <w:color w:val="auto"/>
          <w:sz w:val="24"/>
        </w:rPr>
        <w:t>3. 咨询人的义务</w:t>
      </w:r>
    </w:p>
    <w:p w14:paraId="5A549D67">
      <w:pPr>
        <w:spacing w:line="540" w:lineRule="exact"/>
        <w:ind w:firstLine="480" w:firstLineChars="200"/>
        <w:rPr>
          <w:rFonts w:hint="eastAsia" w:ascii="宋体" w:hAnsi="宋体"/>
          <w:color w:val="auto"/>
          <w:sz w:val="24"/>
        </w:rPr>
      </w:pPr>
      <w:r>
        <w:rPr>
          <w:rFonts w:hint="eastAsia" w:ascii="宋体" w:hAnsi="宋体"/>
          <w:color w:val="auto"/>
          <w:sz w:val="24"/>
        </w:rPr>
        <w:t>3.1 项目咨询团队及人员</w:t>
      </w:r>
    </w:p>
    <w:p w14:paraId="5BCF63A7">
      <w:pPr>
        <w:spacing w:line="540" w:lineRule="exact"/>
        <w:ind w:firstLine="480" w:firstLineChars="200"/>
        <w:rPr>
          <w:rFonts w:hint="eastAsia" w:ascii="宋体" w:hAnsi="宋体"/>
          <w:color w:val="auto"/>
          <w:sz w:val="24"/>
        </w:rPr>
      </w:pPr>
      <w:r>
        <w:rPr>
          <w:rFonts w:hint="eastAsia" w:ascii="宋体" w:hAnsi="宋体"/>
          <w:color w:val="auto"/>
          <w:sz w:val="24"/>
        </w:rPr>
        <w:t>3.1.1 项目咨询团队的主要人员应具有专用条件约定的资格条件，团队人员的数量应符合专用条件的约定。</w:t>
      </w:r>
    </w:p>
    <w:p w14:paraId="46FE2E10">
      <w:pPr>
        <w:spacing w:line="540" w:lineRule="exact"/>
        <w:ind w:firstLine="480" w:firstLineChars="200"/>
        <w:rPr>
          <w:rFonts w:hint="eastAsia" w:ascii="宋体" w:hAnsi="宋体"/>
          <w:color w:val="auto"/>
          <w:sz w:val="24"/>
        </w:rPr>
      </w:pPr>
      <w:r>
        <w:rPr>
          <w:rFonts w:hint="eastAsia" w:ascii="宋体" w:hAnsi="宋体"/>
          <w:color w:val="auto"/>
          <w:sz w:val="24"/>
        </w:rPr>
        <w:t>3.1.2 项目负责人</w:t>
      </w:r>
    </w:p>
    <w:p w14:paraId="1D6E0065">
      <w:pPr>
        <w:spacing w:line="540" w:lineRule="exact"/>
        <w:ind w:firstLine="480" w:firstLineChars="200"/>
        <w:rPr>
          <w:rFonts w:hint="eastAsia" w:ascii="宋体" w:hAnsi="宋体"/>
          <w:color w:val="auto"/>
          <w:sz w:val="24"/>
        </w:rPr>
      </w:pPr>
      <w:r>
        <w:rPr>
          <w:rFonts w:hint="eastAsia" w:ascii="宋体" w:hAnsi="宋体"/>
          <w:color w:val="auto"/>
          <w:sz w:val="24"/>
        </w:rPr>
        <w:t>咨询人应以书面形式授权一名项目负责人负责履行本合同、主持项目咨询团队工作。采用招标程序签署本合同的，项目负责人应当与投标文件载明的一致。</w:t>
      </w:r>
    </w:p>
    <w:p w14:paraId="40686BA4">
      <w:pPr>
        <w:spacing w:line="540" w:lineRule="exact"/>
        <w:ind w:firstLine="480" w:firstLineChars="200"/>
        <w:rPr>
          <w:rFonts w:hint="eastAsia" w:ascii="宋体" w:hAnsi="宋体"/>
          <w:color w:val="auto"/>
          <w:sz w:val="24"/>
        </w:rPr>
      </w:pPr>
      <w:r>
        <w:rPr>
          <w:rFonts w:hint="eastAsia" w:ascii="宋体" w:hAnsi="宋体"/>
          <w:color w:val="auto"/>
          <w:sz w:val="24"/>
        </w:rPr>
        <w:t>3.1.3 在本合同履行过程中，咨询人员应保持相对稳定，以保证咨询工作正常进行。咨询人可根据工程进展和工作需要等情形调整项目咨询团队人员。咨询人更换项目负责人时，应提前 7 日向委托人书面报告，经委托人同意后方可更换。除专用条件另有约定外，咨询人更换项目咨询团队其他咨询人员，应提前3 日向委托人书面报告，经委托人同意后以相当资格与能力的人员替换。</w:t>
      </w:r>
    </w:p>
    <w:p w14:paraId="01FD2A25">
      <w:pPr>
        <w:spacing w:line="540" w:lineRule="exact"/>
        <w:ind w:firstLine="480" w:firstLineChars="200"/>
        <w:rPr>
          <w:rFonts w:hint="eastAsia" w:ascii="宋体" w:hAnsi="宋体"/>
          <w:color w:val="auto"/>
          <w:sz w:val="24"/>
        </w:rPr>
      </w:pPr>
      <w:r>
        <w:rPr>
          <w:rFonts w:hint="eastAsia" w:ascii="宋体" w:hAnsi="宋体"/>
          <w:color w:val="auto"/>
          <w:sz w:val="24"/>
        </w:rPr>
        <w:t>3.1.4 咨询人员有下列情形之一，委托人要求咨询人更换的，咨询人应当更换：</w:t>
      </w:r>
    </w:p>
    <w:p w14:paraId="7BA6B281">
      <w:pPr>
        <w:spacing w:line="540" w:lineRule="exact"/>
        <w:ind w:firstLine="480" w:firstLineChars="200"/>
        <w:rPr>
          <w:rFonts w:hint="eastAsia" w:ascii="宋体" w:hAnsi="宋体"/>
          <w:color w:val="auto"/>
          <w:sz w:val="24"/>
        </w:rPr>
      </w:pPr>
      <w:r>
        <w:rPr>
          <w:rFonts w:hint="eastAsia" w:ascii="宋体" w:hAnsi="宋体"/>
          <w:color w:val="auto"/>
          <w:sz w:val="24"/>
        </w:rPr>
        <w:t>（1）存在严重过失行为的；</w:t>
      </w:r>
    </w:p>
    <w:p w14:paraId="57D25C77">
      <w:pPr>
        <w:spacing w:line="540" w:lineRule="exact"/>
        <w:ind w:firstLine="480" w:firstLineChars="200"/>
        <w:rPr>
          <w:rFonts w:hint="eastAsia" w:ascii="宋体" w:hAnsi="宋体"/>
          <w:color w:val="auto"/>
          <w:sz w:val="24"/>
        </w:rPr>
      </w:pPr>
      <w:r>
        <w:rPr>
          <w:rFonts w:hint="eastAsia" w:ascii="宋体" w:hAnsi="宋体"/>
          <w:color w:val="auto"/>
          <w:sz w:val="24"/>
        </w:rPr>
        <w:t>（2）存在违法行为不能履行职责的；</w:t>
      </w:r>
    </w:p>
    <w:p w14:paraId="1F61F7F1">
      <w:pPr>
        <w:spacing w:line="540" w:lineRule="exact"/>
        <w:ind w:firstLine="480" w:firstLineChars="200"/>
        <w:rPr>
          <w:rFonts w:hint="eastAsia" w:ascii="宋体" w:hAnsi="宋体"/>
          <w:color w:val="auto"/>
          <w:sz w:val="24"/>
        </w:rPr>
      </w:pPr>
      <w:r>
        <w:rPr>
          <w:rFonts w:hint="eastAsia" w:ascii="宋体" w:hAnsi="宋体"/>
          <w:color w:val="auto"/>
          <w:sz w:val="24"/>
        </w:rPr>
        <w:t>（3）涉嫌犯罪的；</w:t>
      </w:r>
    </w:p>
    <w:p w14:paraId="081C8D22">
      <w:pPr>
        <w:spacing w:line="540" w:lineRule="exact"/>
        <w:ind w:firstLine="480" w:firstLineChars="200"/>
        <w:rPr>
          <w:rFonts w:hint="eastAsia" w:ascii="宋体" w:hAnsi="宋体"/>
          <w:color w:val="auto"/>
          <w:sz w:val="24"/>
        </w:rPr>
      </w:pPr>
      <w:r>
        <w:rPr>
          <w:rFonts w:hint="eastAsia" w:ascii="宋体" w:hAnsi="宋体"/>
          <w:color w:val="auto"/>
          <w:sz w:val="24"/>
        </w:rPr>
        <w:t>（4）不能胜任岗位职责的；</w:t>
      </w:r>
    </w:p>
    <w:p w14:paraId="76C078FD">
      <w:pPr>
        <w:spacing w:line="540" w:lineRule="exact"/>
        <w:ind w:firstLine="480" w:firstLineChars="200"/>
        <w:rPr>
          <w:rFonts w:hint="eastAsia" w:ascii="宋体" w:hAnsi="宋体"/>
          <w:color w:val="auto"/>
          <w:sz w:val="24"/>
        </w:rPr>
      </w:pPr>
      <w:r>
        <w:rPr>
          <w:rFonts w:hint="eastAsia" w:ascii="宋体" w:hAnsi="宋体"/>
          <w:color w:val="auto"/>
          <w:sz w:val="24"/>
        </w:rPr>
        <w:t>（5）严重违反职业道德的；</w:t>
      </w:r>
    </w:p>
    <w:p w14:paraId="200D8C52">
      <w:pPr>
        <w:spacing w:line="540" w:lineRule="exact"/>
        <w:ind w:firstLine="480" w:firstLineChars="200"/>
        <w:rPr>
          <w:rFonts w:hint="eastAsia" w:ascii="宋体" w:hAnsi="宋体"/>
          <w:color w:val="auto"/>
          <w:sz w:val="24"/>
        </w:rPr>
      </w:pPr>
      <w:r>
        <w:rPr>
          <w:rFonts w:hint="eastAsia" w:ascii="宋体" w:hAnsi="宋体"/>
          <w:color w:val="auto"/>
          <w:sz w:val="24"/>
        </w:rPr>
        <w:t>（6）专用条件约定的其他情形。</w:t>
      </w:r>
    </w:p>
    <w:p w14:paraId="42368905">
      <w:pPr>
        <w:spacing w:line="540" w:lineRule="exact"/>
        <w:ind w:firstLine="480" w:firstLineChars="200"/>
        <w:rPr>
          <w:rFonts w:hint="eastAsia" w:ascii="宋体" w:hAnsi="宋体"/>
          <w:color w:val="auto"/>
          <w:sz w:val="24"/>
        </w:rPr>
      </w:pPr>
      <w:r>
        <w:rPr>
          <w:rFonts w:hint="eastAsia" w:ascii="宋体" w:hAnsi="宋体"/>
          <w:color w:val="auto"/>
          <w:sz w:val="24"/>
        </w:rPr>
        <w:t>3.2 咨询人的工作要求</w:t>
      </w:r>
    </w:p>
    <w:p w14:paraId="2B0EDEC0">
      <w:pPr>
        <w:spacing w:line="540" w:lineRule="exact"/>
        <w:ind w:firstLine="480" w:firstLineChars="200"/>
        <w:rPr>
          <w:rFonts w:hint="eastAsia" w:ascii="宋体" w:hAnsi="宋体"/>
          <w:color w:val="auto"/>
          <w:sz w:val="24"/>
        </w:rPr>
      </w:pPr>
      <w:r>
        <w:rPr>
          <w:rFonts w:hint="eastAsia" w:ascii="宋体" w:hAnsi="宋体"/>
          <w:color w:val="auto"/>
          <w:sz w:val="24"/>
        </w:rPr>
        <w:t>3.2.1 咨询人应当按照专用条件约定的时间等要求向委托人提供与工程造价咨询业务有关的资料，包括工程造价咨询企业的资质证书及承担本合同业务的团队人员名单及执业（从业）资格证书、咨询工作大纲等，并按合同约定的服务范围和工作内容实施咨询业务。</w:t>
      </w:r>
    </w:p>
    <w:p w14:paraId="1D4DC369">
      <w:pPr>
        <w:spacing w:line="540" w:lineRule="exact"/>
        <w:ind w:firstLine="480" w:firstLineChars="200"/>
        <w:rPr>
          <w:rFonts w:hint="eastAsia" w:ascii="宋体" w:hAnsi="宋体"/>
          <w:color w:val="auto"/>
          <w:sz w:val="24"/>
        </w:rPr>
      </w:pPr>
      <w:r>
        <w:rPr>
          <w:rFonts w:hint="eastAsia" w:ascii="宋体" w:hAnsi="宋体"/>
          <w:color w:val="auto"/>
          <w:sz w:val="24"/>
        </w:rPr>
        <w:t>3.2.2 咨询人应当在专用条件约定的时间内，按照专用条件约定的份数、组成向委托人提交咨询成果文件。咨询人提供造价咨询服务以及出具工程造价咨询成果文件应符合现行国家或行业有关规定、标准、规范的要求。委托人要求的工程造价咨询成果文件质量标准高于现行国家或行业标准的，应在专用条件中约定具体的质量标准，并相应增加服务酬金。</w:t>
      </w:r>
    </w:p>
    <w:p w14:paraId="7736E950">
      <w:pPr>
        <w:spacing w:line="540" w:lineRule="exact"/>
        <w:ind w:firstLine="480" w:firstLineChars="200"/>
        <w:rPr>
          <w:rFonts w:hint="eastAsia" w:ascii="宋体" w:hAnsi="宋体"/>
          <w:color w:val="auto"/>
          <w:sz w:val="24"/>
        </w:rPr>
      </w:pPr>
      <w:r>
        <w:rPr>
          <w:rFonts w:hint="eastAsia" w:ascii="宋体" w:hAnsi="宋体"/>
          <w:color w:val="auto"/>
          <w:sz w:val="24"/>
        </w:rPr>
        <w:t>3.2.3 咨询人提交的工程造价咨询成果文件，除加盖咨询人单位公章、工程造价咨询企业执业印章外，还必须按要求加盖参加咨询工作人员的执业（从业）资格印章。</w:t>
      </w:r>
    </w:p>
    <w:p w14:paraId="050A68BF">
      <w:pPr>
        <w:spacing w:line="540" w:lineRule="exact"/>
        <w:ind w:firstLine="480" w:firstLineChars="200"/>
        <w:rPr>
          <w:rFonts w:hint="eastAsia" w:ascii="宋体" w:hAnsi="宋体"/>
          <w:color w:val="auto"/>
          <w:sz w:val="24"/>
        </w:rPr>
      </w:pPr>
      <w:r>
        <w:rPr>
          <w:rFonts w:hint="eastAsia" w:ascii="宋体" w:hAnsi="宋体"/>
          <w:color w:val="auto"/>
          <w:sz w:val="24"/>
        </w:rPr>
        <w:t>3.2.4 咨询人应在专用条件约定的时间内，对委托人以书面形式提出的建议或者异议给予书面答复。</w:t>
      </w:r>
    </w:p>
    <w:p w14:paraId="55E70C8A">
      <w:pPr>
        <w:spacing w:line="540" w:lineRule="exact"/>
        <w:ind w:firstLine="480" w:firstLineChars="200"/>
        <w:rPr>
          <w:rFonts w:hint="eastAsia" w:ascii="宋体" w:hAnsi="宋体"/>
          <w:color w:val="auto"/>
          <w:sz w:val="24"/>
        </w:rPr>
      </w:pPr>
      <w:r>
        <w:rPr>
          <w:rFonts w:hint="eastAsia" w:ascii="宋体" w:hAnsi="宋体"/>
          <w:color w:val="auto"/>
          <w:sz w:val="24"/>
        </w:rPr>
        <w:t>3.2.5 咨询人从事工程造价咨询活动，应当遵循独立、客观、公正、诚实信用的原则，不得损害社会公共利益和他人的合法权益。</w:t>
      </w:r>
    </w:p>
    <w:p w14:paraId="03B66306">
      <w:pPr>
        <w:spacing w:line="540" w:lineRule="exact"/>
        <w:ind w:firstLine="480" w:firstLineChars="200"/>
        <w:rPr>
          <w:rFonts w:hint="eastAsia" w:ascii="宋体" w:hAnsi="宋体"/>
          <w:color w:val="auto"/>
          <w:sz w:val="24"/>
        </w:rPr>
      </w:pPr>
      <w:r>
        <w:rPr>
          <w:rFonts w:hint="eastAsia" w:ascii="宋体" w:hAnsi="宋体"/>
          <w:color w:val="auto"/>
          <w:sz w:val="24"/>
        </w:rPr>
        <w:t>3.2.6 咨询人承诺按照法律规定及合同约定，完成合同范围内的建设工程造价咨询服务，不转包承接的造价咨询服务业务。</w:t>
      </w:r>
    </w:p>
    <w:p w14:paraId="2896F753">
      <w:pPr>
        <w:spacing w:line="540" w:lineRule="exact"/>
        <w:ind w:firstLine="480" w:firstLineChars="200"/>
        <w:rPr>
          <w:rFonts w:hint="eastAsia" w:ascii="宋体" w:hAnsi="宋体"/>
          <w:color w:val="auto"/>
          <w:sz w:val="24"/>
        </w:rPr>
      </w:pPr>
      <w:r>
        <w:rPr>
          <w:rFonts w:hint="eastAsia" w:ascii="宋体" w:hAnsi="宋体"/>
          <w:color w:val="auto"/>
          <w:sz w:val="24"/>
        </w:rPr>
        <w:t>3.3 咨询人的工作依据</w:t>
      </w:r>
    </w:p>
    <w:p w14:paraId="1A88BA63">
      <w:pPr>
        <w:spacing w:line="540" w:lineRule="exact"/>
        <w:ind w:firstLine="480" w:firstLineChars="200"/>
        <w:rPr>
          <w:rFonts w:hint="eastAsia" w:ascii="宋体" w:hAnsi="宋体"/>
          <w:color w:val="auto"/>
          <w:sz w:val="24"/>
        </w:rPr>
      </w:pPr>
      <w:r>
        <w:rPr>
          <w:rFonts w:hint="eastAsia" w:ascii="宋体" w:hAnsi="宋体"/>
          <w:color w:val="auto"/>
          <w:sz w:val="24"/>
        </w:rPr>
        <w:t>咨询人应在专用条件内与委托人协商明确履行本合同约定的咨询服务需要适用的技术标准、规范、定额等工作依据，但不得违反国家及工程所在地的强制性标准、规范。咨询人应自行配备本条所述的技术标准、规范、定额等相关资料。必须由委托人提供的资料，应注明。需要委托人协助才能获得的资料，委托人应予以协助。</w:t>
      </w:r>
    </w:p>
    <w:p w14:paraId="09EC443C">
      <w:pPr>
        <w:spacing w:line="540" w:lineRule="exact"/>
        <w:ind w:firstLine="480" w:firstLineChars="200"/>
        <w:rPr>
          <w:rFonts w:hint="eastAsia" w:ascii="宋体" w:hAnsi="宋体"/>
          <w:color w:val="auto"/>
          <w:sz w:val="24"/>
        </w:rPr>
      </w:pPr>
      <w:r>
        <w:rPr>
          <w:rFonts w:hint="eastAsia" w:ascii="宋体" w:hAnsi="宋体"/>
          <w:color w:val="auto"/>
          <w:sz w:val="24"/>
        </w:rPr>
        <w:t>3.4 使用委托人房屋及设备的返还</w:t>
      </w:r>
    </w:p>
    <w:p w14:paraId="20CD3A0C">
      <w:pPr>
        <w:spacing w:line="540" w:lineRule="exact"/>
        <w:ind w:firstLine="480" w:firstLineChars="200"/>
        <w:rPr>
          <w:rFonts w:hint="eastAsia" w:ascii="宋体" w:hAnsi="宋体"/>
          <w:color w:val="auto"/>
          <w:sz w:val="24"/>
        </w:rPr>
      </w:pPr>
      <w:r>
        <w:rPr>
          <w:rFonts w:hint="eastAsia" w:ascii="宋体" w:hAnsi="宋体"/>
          <w:color w:val="auto"/>
          <w:sz w:val="24"/>
        </w:rPr>
        <w:t>项目咨询人员使用委托人提供的房屋及设备的，咨询人应妥善使用和保管，在本合同终止时将上述房屋及设备按专用条件约定的时间和方式返还委托人。</w:t>
      </w:r>
    </w:p>
    <w:p w14:paraId="28F87433">
      <w:pPr>
        <w:spacing w:line="540" w:lineRule="exact"/>
        <w:ind w:firstLine="482" w:firstLineChars="200"/>
        <w:rPr>
          <w:rFonts w:hint="eastAsia" w:ascii="宋体" w:hAnsi="宋体"/>
          <w:b/>
          <w:color w:val="auto"/>
          <w:sz w:val="24"/>
        </w:rPr>
      </w:pPr>
      <w:r>
        <w:rPr>
          <w:rFonts w:hint="eastAsia" w:ascii="宋体" w:hAnsi="宋体"/>
          <w:b/>
          <w:color w:val="auto"/>
          <w:sz w:val="24"/>
        </w:rPr>
        <w:t>4. 违约责任</w:t>
      </w:r>
    </w:p>
    <w:p w14:paraId="55A1B3D9">
      <w:pPr>
        <w:spacing w:line="540" w:lineRule="exact"/>
        <w:ind w:firstLine="480" w:firstLineChars="200"/>
        <w:rPr>
          <w:rFonts w:hint="eastAsia" w:ascii="宋体" w:hAnsi="宋体"/>
          <w:color w:val="auto"/>
          <w:sz w:val="24"/>
        </w:rPr>
      </w:pPr>
      <w:r>
        <w:rPr>
          <w:rFonts w:hint="eastAsia" w:ascii="宋体" w:hAnsi="宋体"/>
          <w:color w:val="auto"/>
          <w:sz w:val="24"/>
        </w:rPr>
        <w:t>4.1 委托人的违约责任</w:t>
      </w:r>
    </w:p>
    <w:p w14:paraId="24C6136B">
      <w:pPr>
        <w:spacing w:line="540" w:lineRule="exact"/>
        <w:ind w:firstLine="480" w:firstLineChars="200"/>
        <w:rPr>
          <w:rFonts w:hint="eastAsia" w:ascii="宋体" w:hAnsi="宋体"/>
          <w:color w:val="auto"/>
          <w:sz w:val="24"/>
        </w:rPr>
      </w:pPr>
      <w:r>
        <w:rPr>
          <w:rFonts w:hint="eastAsia" w:ascii="宋体" w:hAnsi="宋体"/>
          <w:color w:val="auto"/>
          <w:sz w:val="24"/>
        </w:rPr>
        <w:t>4.1.1 委托人不履行本合同义务或者履行义务不符合本合同约定的，应承担违约责任。双方可在专用条件中约定违约金的计算及支付方法。</w:t>
      </w:r>
    </w:p>
    <w:p w14:paraId="776EF1C6">
      <w:pPr>
        <w:spacing w:line="540" w:lineRule="exact"/>
        <w:ind w:firstLine="480" w:firstLineChars="200"/>
        <w:rPr>
          <w:rFonts w:hint="eastAsia" w:ascii="宋体" w:hAnsi="宋体"/>
          <w:color w:val="auto"/>
          <w:sz w:val="24"/>
        </w:rPr>
      </w:pPr>
      <w:r>
        <w:rPr>
          <w:rFonts w:hint="eastAsia" w:ascii="宋体" w:hAnsi="宋体"/>
          <w:color w:val="auto"/>
          <w:sz w:val="24"/>
        </w:rPr>
        <w:t>4.1.2 委托人违反本合同约定造成咨询人损失的，委托人应予以赔偿。双方可在专用条件中约定赔偿金额的确定及支付方法。</w:t>
      </w:r>
    </w:p>
    <w:p w14:paraId="1F947CD6">
      <w:pPr>
        <w:spacing w:line="540" w:lineRule="exact"/>
        <w:ind w:firstLine="480" w:firstLineChars="200"/>
        <w:rPr>
          <w:rFonts w:hint="eastAsia" w:ascii="宋体" w:hAnsi="宋体"/>
          <w:color w:val="auto"/>
          <w:sz w:val="24"/>
        </w:rPr>
      </w:pPr>
      <w:r>
        <w:rPr>
          <w:rFonts w:hint="eastAsia" w:ascii="宋体" w:hAnsi="宋体"/>
          <w:color w:val="auto"/>
          <w:sz w:val="24"/>
        </w:rPr>
        <w:t>4.1.3 委托人未能按期支付酬金超过 14 天，应按下列方法计算并支付逾期付款利息。逾期付款利息=当期应付款总额×中国人民银行发布的同期贷款基准利率×逾期支付天数（自逾期之日起计算）。双方也可在专用条件中另行约定逾期付款利息的计算及支付方法。</w:t>
      </w:r>
    </w:p>
    <w:p w14:paraId="4DAFB809">
      <w:pPr>
        <w:spacing w:line="540" w:lineRule="exact"/>
        <w:ind w:firstLine="480" w:firstLineChars="200"/>
        <w:rPr>
          <w:rFonts w:hint="eastAsia" w:ascii="宋体" w:hAnsi="宋体"/>
          <w:color w:val="auto"/>
          <w:sz w:val="24"/>
        </w:rPr>
      </w:pPr>
      <w:r>
        <w:rPr>
          <w:rFonts w:hint="eastAsia" w:ascii="宋体" w:hAnsi="宋体"/>
          <w:color w:val="auto"/>
          <w:sz w:val="24"/>
        </w:rPr>
        <w:t>4.2 咨询人的违约责任</w:t>
      </w:r>
    </w:p>
    <w:p w14:paraId="1D016A50">
      <w:pPr>
        <w:spacing w:line="540" w:lineRule="exact"/>
        <w:ind w:firstLine="480" w:firstLineChars="200"/>
        <w:rPr>
          <w:rFonts w:hint="eastAsia" w:ascii="宋体" w:hAnsi="宋体"/>
          <w:color w:val="auto"/>
          <w:sz w:val="24"/>
        </w:rPr>
      </w:pPr>
      <w:r>
        <w:rPr>
          <w:rFonts w:hint="eastAsia" w:ascii="宋体" w:hAnsi="宋体"/>
          <w:color w:val="auto"/>
          <w:sz w:val="24"/>
        </w:rPr>
        <w:t>4.2.1 咨询人不履行本合同义务或者履行义务不符合本合同约定的，应承担违约责任。双方可在专用条件中约定违约金的计算及支付方法。</w:t>
      </w:r>
    </w:p>
    <w:p w14:paraId="6E107D14">
      <w:pPr>
        <w:spacing w:line="540" w:lineRule="exact"/>
        <w:ind w:firstLine="480" w:firstLineChars="200"/>
        <w:rPr>
          <w:rFonts w:hint="eastAsia" w:ascii="宋体" w:hAnsi="宋体"/>
          <w:color w:val="auto"/>
          <w:sz w:val="24"/>
        </w:rPr>
      </w:pPr>
      <w:r>
        <w:rPr>
          <w:rFonts w:hint="eastAsia" w:ascii="宋体" w:hAnsi="宋体"/>
          <w:color w:val="auto"/>
          <w:sz w:val="24"/>
        </w:rPr>
        <w:t>4.2.2 因咨询人违反本合同约定给委托人造成损失的，咨询人应当赔偿委托人损失。双方可在专用条件中约定赔偿金额的确定及支付方法。</w:t>
      </w:r>
    </w:p>
    <w:p w14:paraId="2156CEDE">
      <w:pPr>
        <w:spacing w:line="540" w:lineRule="exact"/>
        <w:ind w:firstLine="482" w:firstLineChars="200"/>
        <w:rPr>
          <w:rFonts w:hint="eastAsia" w:ascii="宋体" w:hAnsi="宋体"/>
          <w:b/>
          <w:color w:val="auto"/>
          <w:sz w:val="24"/>
        </w:rPr>
      </w:pPr>
      <w:r>
        <w:rPr>
          <w:rFonts w:hint="eastAsia" w:ascii="宋体" w:hAnsi="宋体"/>
          <w:b/>
          <w:color w:val="auto"/>
          <w:sz w:val="24"/>
        </w:rPr>
        <w:t>5. 支付</w:t>
      </w:r>
    </w:p>
    <w:p w14:paraId="64DBF885">
      <w:pPr>
        <w:spacing w:line="540" w:lineRule="exact"/>
        <w:ind w:firstLine="480" w:firstLineChars="200"/>
        <w:rPr>
          <w:rFonts w:hint="eastAsia" w:ascii="宋体" w:hAnsi="宋体"/>
          <w:color w:val="auto"/>
          <w:sz w:val="24"/>
        </w:rPr>
      </w:pPr>
      <w:r>
        <w:rPr>
          <w:rFonts w:hint="eastAsia" w:ascii="宋体" w:hAnsi="宋体"/>
          <w:color w:val="auto"/>
          <w:sz w:val="24"/>
        </w:rPr>
        <w:t>5.1 支付货币</w:t>
      </w:r>
    </w:p>
    <w:p w14:paraId="29966E4E">
      <w:pPr>
        <w:spacing w:line="540" w:lineRule="exact"/>
        <w:ind w:firstLine="480" w:firstLineChars="200"/>
        <w:rPr>
          <w:rFonts w:hint="eastAsia" w:ascii="宋体" w:hAnsi="宋体"/>
          <w:color w:val="auto"/>
          <w:sz w:val="24"/>
        </w:rPr>
      </w:pPr>
      <w:r>
        <w:rPr>
          <w:rFonts w:hint="eastAsia" w:ascii="宋体" w:hAnsi="宋体"/>
          <w:color w:val="auto"/>
          <w:sz w:val="24"/>
        </w:rPr>
        <w:t>除专用条件另有约定外，酬金均以人民币支付。涉及外币支付的，所采用的货币种类和汇率等在专用条件中约定。</w:t>
      </w:r>
    </w:p>
    <w:p w14:paraId="339AB47F">
      <w:pPr>
        <w:spacing w:line="540" w:lineRule="exact"/>
        <w:ind w:firstLine="480" w:firstLineChars="200"/>
        <w:rPr>
          <w:rFonts w:hint="eastAsia" w:ascii="宋体" w:hAnsi="宋体"/>
          <w:color w:val="auto"/>
          <w:sz w:val="24"/>
        </w:rPr>
      </w:pPr>
      <w:r>
        <w:rPr>
          <w:rFonts w:hint="eastAsia" w:ascii="宋体" w:hAnsi="宋体"/>
          <w:color w:val="auto"/>
          <w:sz w:val="24"/>
        </w:rPr>
        <w:t>5.2 支付申请</w:t>
      </w:r>
    </w:p>
    <w:p w14:paraId="37239074">
      <w:pPr>
        <w:spacing w:line="540" w:lineRule="exact"/>
        <w:ind w:firstLine="480" w:firstLineChars="200"/>
        <w:rPr>
          <w:rFonts w:hint="eastAsia" w:ascii="宋体" w:hAnsi="宋体"/>
          <w:color w:val="auto"/>
          <w:sz w:val="24"/>
        </w:rPr>
      </w:pPr>
      <w:r>
        <w:rPr>
          <w:rFonts w:hint="eastAsia" w:ascii="宋体" w:hAnsi="宋体"/>
          <w:color w:val="auto"/>
          <w:sz w:val="24"/>
        </w:rPr>
        <w:t>咨询人应在本合同约定的每次应付款日期前，向委托人提交支付申请书，支付申请书的提交日期由双方在专用条件中约定。支付申请书应当说明当期应付款总额，并列出当期应支付的款项及其金额。</w:t>
      </w:r>
    </w:p>
    <w:p w14:paraId="4CEFCA96">
      <w:pPr>
        <w:spacing w:line="540" w:lineRule="exact"/>
        <w:ind w:firstLine="480" w:firstLineChars="200"/>
        <w:rPr>
          <w:rFonts w:hint="eastAsia" w:ascii="宋体" w:hAnsi="宋体"/>
          <w:color w:val="auto"/>
          <w:sz w:val="24"/>
        </w:rPr>
      </w:pPr>
      <w:r>
        <w:rPr>
          <w:rFonts w:hint="eastAsia" w:ascii="宋体" w:hAnsi="宋体"/>
          <w:color w:val="auto"/>
          <w:sz w:val="24"/>
        </w:rPr>
        <w:t>5.3 支付酬金</w:t>
      </w:r>
    </w:p>
    <w:p w14:paraId="3F43083A">
      <w:pPr>
        <w:spacing w:line="540" w:lineRule="exact"/>
        <w:ind w:firstLine="480" w:firstLineChars="200"/>
        <w:rPr>
          <w:rFonts w:hint="eastAsia" w:ascii="宋体" w:hAnsi="宋体"/>
          <w:color w:val="auto"/>
          <w:sz w:val="24"/>
        </w:rPr>
      </w:pPr>
      <w:r>
        <w:rPr>
          <w:rFonts w:hint="eastAsia" w:ascii="宋体" w:hAnsi="宋体"/>
          <w:color w:val="auto"/>
          <w:sz w:val="24"/>
        </w:rPr>
        <w:t>支付酬金包括正常工作酬金、附加工作酬金、合理化建议奖励金额及费用。</w:t>
      </w:r>
    </w:p>
    <w:p w14:paraId="57C7CB28">
      <w:pPr>
        <w:spacing w:line="540" w:lineRule="exact"/>
        <w:ind w:firstLine="480" w:firstLineChars="200"/>
        <w:rPr>
          <w:rFonts w:hint="eastAsia" w:ascii="宋体" w:hAnsi="宋体"/>
          <w:color w:val="auto"/>
          <w:sz w:val="24"/>
        </w:rPr>
      </w:pPr>
      <w:r>
        <w:rPr>
          <w:rFonts w:hint="eastAsia" w:ascii="宋体" w:hAnsi="宋体"/>
          <w:color w:val="auto"/>
          <w:sz w:val="24"/>
        </w:rPr>
        <w:t>5.4 有异议部分的支付</w:t>
      </w:r>
    </w:p>
    <w:p w14:paraId="56A168AF">
      <w:pPr>
        <w:spacing w:line="540" w:lineRule="exact"/>
        <w:ind w:firstLine="480" w:firstLineChars="200"/>
        <w:rPr>
          <w:rFonts w:hint="eastAsia" w:ascii="宋体" w:hAnsi="宋体"/>
          <w:color w:val="auto"/>
          <w:sz w:val="24"/>
        </w:rPr>
      </w:pPr>
      <w:r>
        <w:rPr>
          <w:rFonts w:hint="eastAsia" w:ascii="宋体" w:hAnsi="宋体"/>
          <w:color w:val="auto"/>
          <w:sz w:val="24"/>
        </w:rPr>
        <w:t>委托人对咨询人提交的支付申请书有异议时，应当在收到咨询人提交的支付申请书后 7 日内，以书面形式向咨询人发出异议通知。无异议部分的款项应按期支付，有异议部分的款项按第 7 条约定办理。</w:t>
      </w:r>
    </w:p>
    <w:p w14:paraId="36FCF472">
      <w:pPr>
        <w:spacing w:line="540" w:lineRule="exact"/>
        <w:ind w:firstLine="482" w:firstLineChars="200"/>
        <w:rPr>
          <w:rFonts w:hint="eastAsia" w:ascii="宋体" w:hAnsi="宋体"/>
          <w:b/>
          <w:color w:val="auto"/>
          <w:sz w:val="24"/>
        </w:rPr>
      </w:pPr>
      <w:r>
        <w:rPr>
          <w:rFonts w:hint="eastAsia" w:ascii="宋体" w:hAnsi="宋体"/>
          <w:b/>
          <w:color w:val="auto"/>
          <w:sz w:val="24"/>
        </w:rPr>
        <w:t>6.合同变更、解除与终止</w:t>
      </w:r>
    </w:p>
    <w:p w14:paraId="495EAA4B">
      <w:pPr>
        <w:spacing w:line="540" w:lineRule="exact"/>
        <w:ind w:firstLine="480" w:firstLineChars="200"/>
        <w:rPr>
          <w:rFonts w:hint="eastAsia" w:ascii="宋体" w:hAnsi="宋体"/>
          <w:color w:val="auto"/>
          <w:sz w:val="24"/>
        </w:rPr>
      </w:pPr>
      <w:r>
        <w:rPr>
          <w:rFonts w:hint="eastAsia" w:ascii="宋体" w:hAnsi="宋体"/>
          <w:color w:val="auto"/>
          <w:sz w:val="24"/>
        </w:rPr>
        <w:t>6.1 合同变更</w:t>
      </w:r>
    </w:p>
    <w:p w14:paraId="63915266">
      <w:pPr>
        <w:spacing w:line="540" w:lineRule="exact"/>
        <w:ind w:firstLine="480" w:firstLineChars="200"/>
        <w:rPr>
          <w:rFonts w:hint="eastAsia" w:ascii="宋体" w:hAnsi="宋体"/>
          <w:color w:val="auto"/>
          <w:sz w:val="24"/>
        </w:rPr>
      </w:pPr>
      <w:r>
        <w:rPr>
          <w:rFonts w:hint="eastAsia" w:ascii="宋体" w:hAnsi="宋体"/>
          <w:color w:val="auto"/>
          <w:sz w:val="24"/>
        </w:rPr>
        <w:t>6.1.1 任何一方以书面形式提出变更请求时，双方经协商一致后可进行变更。</w:t>
      </w:r>
    </w:p>
    <w:p w14:paraId="5D4CEE5E">
      <w:pPr>
        <w:spacing w:line="540" w:lineRule="exact"/>
        <w:ind w:firstLine="480" w:firstLineChars="200"/>
        <w:rPr>
          <w:rFonts w:hint="eastAsia" w:ascii="宋体" w:hAnsi="宋体"/>
          <w:color w:val="auto"/>
          <w:sz w:val="24"/>
        </w:rPr>
      </w:pPr>
      <w:r>
        <w:rPr>
          <w:rFonts w:hint="eastAsia" w:ascii="宋体" w:hAnsi="宋体"/>
          <w:color w:val="auto"/>
          <w:sz w:val="24"/>
        </w:rPr>
        <w:t>6.1.2 除不可抗力外，因非咨询人原因导致咨询人履行合同期限延长、内容增加时，咨询人应当将此情况与可能产生的影响及时通知委托人。增加的工作时间或工作内容应视为附加工作。附加工作酬金的确定方法由双方根据委托的服务范围及工作内容在专用条件中约定。</w:t>
      </w:r>
    </w:p>
    <w:p w14:paraId="1D5E6DA9">
      <w:pPr>
        <w:spacing w:line="540" w:lineRule="exact"/>
        <w:ind w:firstLine="480" w:firstLineChars="200"/>
        <w:rPr>
          <w:rFonts w:hint="eastAsia" w:ascii="宋体" w:hAnsi="宋体"/>
          <w:color w:val="auto"/>
          <w:sz w:val="24"/>
        </w:rPr>
      </w:pPr>
      <w:r>
        <w:rPr>
          <w:rFonts w:hint="eastAsia" w:ascii="宋体" w:hAnsi="宋体"/>
          <w:color w:val="auto"/>
          <w:sz w:val="24"/>
        </w:rPr>
        <w:t>6.1.3 合同履行过程中，遇有与工程相关的法律法规、强制性标准颁布或修订的，双方应遵照执行。非强制性标准、规范、定额等发生变化的，双方协商确定执行依据。由此引起造价咨询的服务范围及内容、服务期限、酬金变化的，双方应通过协商确定。</w:t>
      </w:r>
    </w:p>
    <w:p w14:paraId="044E01E4">
      <w:pPr>
        <w:spacing w:line="540" w:lineRule="exact"/>
        <w:ind w:firstLine="480" w:firstLineChars="200"/>
        <w:rPr>
          <w:rFonts w:hint="eastAsia" w:ascii="宋体" w:hAnsi="宋体"/>
          <w:color w:val="auto"/>
          <w:sz w:val="24"/>
        </w:rPr>
      </w:pPr>
      <w:r>
        <w:rPr>
          <w:rFonts w:hint="eastAsia" w:ascii="宋体" w:hAnsi="宋体"/>
          <w:color w:val="auto"/>
          <w:sz w:val="24"/>
        </w:rPr>
        <w:t>6.1.4 因工程规模、服务范围及工作内容的变化等导致咨询人的工作量增减时，服务酬金应作相应调整，调整方法由双方在专用条件中约定。</w:t>
      </w:r>
    </w:p>
    <w:p w14:paraId="3F4D139D">
      <w:pPr>
        <w:spacing w:line="540" w:lineRule="exact"/>
        <w:ind w:firstLine="480" w:firstLineChars="200"/>
        <w:rPr>
          <w:rFonts w:hint="eastAsia" w:ascii="宋体" w:hAnsi="宋体"/>
          <w:color w:val="auto"/>
          <w:sz w:val="24"/>
        </w:rPr>
      </w:pPr>
      <w:r>
        <w:rPr>
          <w:rFonts w:hint="eastAsia" w:ascii="宋体" w:hAnsi="宋体"/>
          <w:color w:val="auto"/>
          <w:sz w:val="24"/>
        </w:rPr>
        <w:t>6.2 合同解除</w:t>
      </w:r>
    </w:p>
    <w:p w14:paraId="2F9FFF81">
      <w:pPr>
        <w:spacing w:line="540" w:lineRule="exact"/>
        <w:ind w:firstLine="480" w:firstLineChars="200"/>
        <w:rPr>
          <w:rFonts w:hint="eastAsia" w:ascii="宋体" w:hAnsi="宋体"/>
          <w:color w:val="auto"/>
          <w:sz w:val="24"/>
        </w:rPr>
      </w:pPr>
      <w:r>
        <w:rPr>
          <w:rFonts w:hint="eastAsia" w:ascii="宋体" w:hAnsi="宋体"/>
          <w:color w:val="auto"/>
          <w:sz w:val="24"/>
        </w:rPr>
        <w:t>6.2.1 委托人与咨询人协商一致，可以解除合同。</w:t>
      </w:r>
    </w:p>
    <w:p w14:paraId="604FE227">
      <w:pPr>
        <w:spacing w:line="540" w:lineRule="exact"/>
        <w:ind w:firstLine="480" w:firstLineChars="200"/>
        <w:rPr>
          <w:rFonts w:hint="eastAsia" w:ascii="宋体" w:hAnsi="宋体"/>
          <w:color w:val="auto"/>
          <w:sz w:val="24"/>
        </w:rPr>
      </w:pPr>
      <w:r>
        <w:rPr>
          <w:rFonts w:hint="eastAsia" w:ascii="宋体" w:hAnsi="宋体"/>
          <w:color w:val="auto"/>
          <w:sz w:val="24"/>
        </w:rPr>
        <w:t>6.2.2 有下列情形之一的，合同当事人一方或双方可以解除合同：</w:t>
      </w:r>
    </w:p>
    <w:p w14:paraId="315D76FA">
      <w:pPr>
        <w:spacing w:line="540" w:lineRule="exact"/>
        <w:ind w:firstLine="480" w:firstLineChars="200"/>
        <w:rPr>
          <w:rFonts w:hint="eastAsia" w:ascii="宋体" w:hAnsi="宋体"/>
          <w:color w:val="auto"/>
          <w:sz w:val="24"/>
        </w:rPr>
      </w:pPr>
      <w:r>
        <w:rPr>
          <w:rFonts w:hint="eastAsia" w:ascii="宋体" w:hAnsi="宋体"/>
          <w:color w:val="auto"/>
          <w:sz w:val="24"/>
        </w:rPr>
        <w:t>（1）咨询人将本合同约定的工程造价咨询服务工作全部或部分转包给他人，委托人可以解除合同；</w:t>
      </w:r>
    </w:p>
    <w:p w14:paraId="7FA9B2E8">
      <w:pPr>
        <w:spacing w:line="540" w:lineRule="exact"/>
        <w:ind w:firstLine="480" w:firstLineChars="200"/>
        <w:rPr>
          <w:rFonts w:hint="eastAsia" w:ascii="宋体" w:hAnsi="宋体"/>
          <w:color w:val="auto"/>
          <w:sz w:val="24"/>
        </w:rPr>
      </w:pPr>
      <w:r>
        <w:rPr>
          <w:rFonts w:hint="eastAsia" w:ascii="宋体" w:hAnsi="宋体"/>
          <w:color w:val="auto"/>
          <w:sz w:val="24"/>
        </w:rPr>
        <w:t>（2）咨询人提供的造价咨询服务不符合合同约定的要求，经委托人催告仍不能达到合同约定要求的，委托人可以解除合同；</w:t>
      </w:r>
    </w:p>
    <w:p w14:paraId="1753A6CC">
      <w:pPr>
        <w:spacing w:line="540" w:lineRule="exact"/>
        <w:ind w:firstLine="480" w:firstLineChars="200"/>
        <w:rPr>
          <w:rFonts w:hint="eastAsia" w:ascii="宋体" w:hAnsi="宋体"/>
          <w:color w:val="auto"/>
          <w:sz w:val="24"/>
        </w:rPr>
      </w:pPr>
      <w:r>
        <w:rPr>
          <w:rFonts w:hint="eastAsia" w:ascii="宋体" w:hAnsi="宋体"/>
          <w:color w:val="auto"/>
          <w:sz w:val="24"/>
        </w:rPr>
        <w:t>（3）委托人未按合同约定支付服务酬金，经咨询人催告后，在 28 天内仍未支付的，咨询人可以解除合同；</w:t>
      </w:r>
    </w:p>
    <w:p w14:paraId="0E4AE94D">
      <w:pPr>
        <w:spacing w:line="540" w:lineRule="exact"/>
        <w:ind w:firstLine="480" w:firstLineChars="200"/>
        <w:rPr>
          <w:rFonts w:hint="eastAsia" w:ascii="宋体" w:hAnsi="宋体"/>
          <w:color w:val="auto"/>
          <w:sz w:val="24"/>
        </w:rPr>
      </w:pPr>
      <w:r>
        <w:rPr>
          <w:rFonts w:hint="eastAsia" w:ascii="宋体" w:hAnsi="宋体"/>
          <w:color w:val="auto"/>
          <w:sz w:val="24"/>
        </w:rPr>
        <w:t>（4）因不可抗力致使合同无法履行；</w:t>
      </w:r>
    </w:p>
    <w:p w14:paraId="30FEA26F">
      <w:pPr>
        <w:spacing w:line="540" w:lineRule="exact"/>
        <w:ind w:firstLine="480" w:firstLineChars="200"/>
        <w:rPr>
          <w:rFonts w:hint="eastAsia" w:ascii="宋体" w:hAnsi="宋体"/>
          <w:color w:val="auto"/>
          <w:sz w:val="24"/>
        </w:rPr>
      </w:pPr>
      <w:r>
        <w:rPr>
          <w:rFonts w:hint="eastAsia" w:ascii="宋体" w:hAnsi="宋体"/>
          <w:color w:val="auto"/>
          <w:sz w:val="24"/>
        </w:rPr>
        <w:t>（5）因一方违约致使合同无法实际履行或实际履行已无必要。除上述情形外，双方可以根据委托的服务范围及工作内容，在专用条件中约定解除合同的其他条件。</w:t>
      </w:r>
    </w:p>
    <w:p w14:paraId="3CF583A3">
      <w:pPr>
        <w:spacing w:line="540" w:lineRule="exact"/>
        <w:ind w:firstLine="480" w:firstLineChars="200"/>
        <w:rPr>
          <w:rFonts w:hint="eastAsia" w:ascii="宋体" w:hAnsi="宋体"/>
          <w:color w:val="auto"/>
          <w:sz w:val="24"/>
        </w:rPr>
      </w:pPr>
      <w:r>
        <w:rPr>
          <w:rFonts w:hint="eastAsia" w:ascii="宋体" w:hAnsi="宋体"/>
          <w:color w:val="auto"/>
          <w:sz w:val="24"/>
        </w:rPr>
        <w:t>6.2.3 任何一方提出解除合同的，应提前 30 天书面通知对方。</w:t>
      </w:r>
    </w:p>
    <w:p w14:paraId="7779B3D0">
      <w:pPr>
        <w:spacing w:line="540" w:lineRule="exact"/>
        <w:ind w:firstLine="480" w:firstLineChars="200"/>
        <w:rPr>
          <w:rFonts w:hint="eastAsia" w:ascii="宋体" w:hAnsi="宋体"/>
          <w:color w:val="auto"/>
          <w:sz w:val="24"/>
        </w:rPr>
      </w:pPr>
      <w:r>
        <w:rPr>
          <w:rFonts w:hint="eastAsia" w:ascii="宋体" w:hAnsi="宋体"/>
          <w:color w:val="auto"/>
          <w:sz w:val="24"/>
        </w:rPr>
        <w:t>6.2.4 合同解除后，委托人应按照合同约定向咨询人支付已完成部分的咨询服务酬金。</w:t>
      </w:r>
    </w:p>
    <w:p w14:paraId="40EDD30B">
      <w:pPr>
        <w:spacing w:line="540" w:lineRule="exact"/>
        <w:ind w:firstLine="480" w:firstLineChars="200"/>
        <w:rPr>
          <w:rFonts w:hint="eastAsia" w:ascii="宋体" w:hAnsi="宋体"/>
          <w:color w:val="auto"/>
          <w:sz w:val="24"/>
        </w:rPr>
      </w:pPr>
      <w:r>
        <w:rPr>
          <w:rFonts w:hint="eastAsia" w:ascii="宋体" w:hAnsi="宋体"/>
          <w:color w:val="auto"/>
          <w:sz w:val="24"/>
        </w:rPr>
        <w:t>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w:t>
      </w:r>
    </w:p>
    <w:p w14:paraId="00CA3FE8">
      <w:pPr>
        <w:spacing w:line="540" w:lineRule="exact"/>
        <w:ind w:firstLine="480" w:firstLineChars="200"/>
        <w:rPr>
          <w:rFonts w:hint="eastAsia" w:ascii="宋体" w:hAnsi="宋体"/>
          <w:color w:val="auto"/>
          <w:sz w:val="24"/>
        </w:rPr>
      </w:pPr>
      <w:r>
        <w:rPr>
          <w:rFonts w:hint="eastAsia" w:ascii="宋体" w:hAnsi="宋体"/>
          <w:color w:val="auto"/>
          <w:sz w:val="24"/>
        </w:rPr>
        <w:t>6.2.5 本合同解除后，本合同约定的有关结算、争议解决方式的条款仍然有效。</w:t>
      </w:r>
    </w:p>
    <w:p w14:paraId="44E4EFC0">
      <w:pPr>
        <w:spacing w:line="540" w:lineRule="exact"/>
        <w:ind w:firstLine="480" w:firstLineChars="200"/>
        <w:rPr>
          <w:rFonts w:hint="eastAsia" w:ascii="宋体" w:hAnsi="宋体"/>
          <w:color w:val="auto"/>
          <w:sz w:val="24"/>
        </w:rPr>
      </w:pPr>
      <w:r>
        <w:rPr>
          <w:rFonts w:hint="eastAsia" w:ascii="宋体" w:hAnsi="宋体"/>
          <w:color w:val="auto"/>
          <w:sz w:val="24"/>
        </w:rPr>
        <w:t>6.3 合同终止</w:t>
      </w:r>
    </w:p>
    <w:p w14:paraId="48BBDCD5">
      <w:pPr>
        <w:spacing w:line="540" w:lineRule="exact"/>
        <w:ind w:firstLine="480" w:firstLineChars="200"/>
        <w:rPr>
          <w:rFonts w:hint="eastAsia" w:ascii="宋体" w:hAnsi="宋体"/>
          <w:color w:val="auto"/>
          <w:sz w:val="24"/>
        </w:rPr>
      </w:pPr>
      <w:r>
        <w:rPr>
          <w:rFonts w:hint="eastAsia" w:ascii="宋体" w:hAnsi="宋体"/>
          <w:color w:val="auto"/>
          <w:sz w:val="24"/>
        </w:rPr>
        <w:t>除合同解除外，以下条件全部满足时，本合同终止：</w:t>
      </w:r>
    </w:p>
    <w:p w14:paraId="27F44AB9">
      <w:pPr>
        <w:spacing w:line="540" w:lineRule="exact"/>
        <w:ind w:firstLine="480" w:firstLineChars="200"/>
        <w:rPr>
          <w:rFonts w:hint="eastAsia" w:ascii="宋体" w:hAnsi="宋体"/>
          <w:color w:val="auto"/>
          <w:sz w:val="24"/>
        </w:rPr>
      </w:pPr>
      <w:r>
        <w:rPr>
          <w:rFonts w:hint="eastAsia" w:ascii="宋体" w:hAnsi="宋体"/>
          <w:color w:val="auto"/>
          <w:sz w:val="24"/>
        </w:rPr>
        <w:t>（1）咨询人完成本合同约定的全部工作；</w:t>
      </w:r>
    </w:p>
    <w:p w14:paraId="668718BA">
      <w:pPr>
        <w:spacing w:line="540" w:lineRule="exact"/>
        <w:ind w:firstLine="480" w:firstLineChars="200"/>
        <w:rPr>
          <w:rFonts w:hint="eastAsia" w:ascii="宋体" w:hAnsi="宋体"/>
          <w:color w:val="auto"/>
          <w:sz w:val="24"/>
        </w:rPr>
      </w:pPr>
      <w:r>
        <w:rPr>
          <w:rFonts w:hint="eastAsia" w:ascii="宋体" w:hAnsi="宋体"/>
          <w:color w:val="auto"/>
          <w:sz w:val="24"/>
        </w:rPr>
        <w:t>（2）委托人与咨询人结清并支付酬金；</w:t>
      </w:r>
    </w:p>
    <w:p w14:paraId="72668E8E">
      <w:pPr>
        <w:spacing w:line="540" w:lineRule="exact"/>
        <w:ind w:firstLine="480" w:firstLineChars="200"/>
        <w:rPr>
          <w:rFonts w:hint="eastAsia" w:ascii="宋体" w:hAnsi="宋体"/>
          <w:color w:val="auto"/>
          <w:sz w:val="24"/>
        </w:rPr>
      </w:pPr>
      <w:r>
        <w:rPr>
          <w:rFonts w:hint="eastAsia" w:ascii="宋体" w:hAnsi="宋体"/>
          <w:color w:val="auto"/>
          <w:sz w:val="24"/>
        </w:rPr>
        <w:t>（3）咨询人将委托人提供的资料交还。</w:t>
      </w:r>
    </w:p>
    <w:p w14:paraId="6F0A02CA">
      <w:pPr>
        <w:spacing w:line="540" w:lineRule="exact"/>
        <w:ind w:firstLine="482" w:firstLineChars="200"/>
        <w:rPr>
          <w:rFonts w:hint="eastAsia" w:ascii="宋体" w:hAnsi="宋体"/>
          <w:b/>
          <w:color w:val="auto"/>
          <w:sz w:val="24"/>
        </w:rPr>
      </w:pPr>
      <w:r>
        <w:rPr>
          <w:rFonts w:hint="eastAsia" w:ascii="宋体" w:hAnsi="宋体"/>
          <w:b/>
          <w:color w:val="auto"/>
          <w:sz w:val="24"/>
        </w:rPr>
        <w:t>7.争议解决</w:t>
      </w:r>
    </w:p>
    <w:p w14:paraId="3974794C">
      <w:pPr>
        <w:spacing w:line="540" w:lineRule="exact"/>
        <w:ind w:firstLine="480" w:firstLineChars="200"/>
        <w:rPr>
          <w:rFonts w:hint="eastAsia" w:ascii="宋体" w:hAnsi="宋体"/>
          <w:color w:val="auto"/>
          <w:sz w:val="24"/>
        </w:rPr>
      </w:pPr>
      <w:r>
        <w:rPr>
          <w:rFonts w:hint="eastAsia" w:ascii="宋体" w:hAnsi="宋体"/>
          <w:color w:val="auto"/>
          <w:sz w:val="24"/>
        </w:rPr>
        <w:t>7.1 协商</w:t>
      </w:r>
    </w:p>
    <w:p w14:paraId="6CDAFE49">
      <w:pPr>
        <w:spacing w:line="540" w:lineRule="exact"/>
        <w:ind w:firstLine="480" w:firstLineChars="200"/>
        <w:rPr>
          <w:rFonts w:hint="eastAsia" w:ascii="宋体" w:hAnsi="宋体"/>
          <w:color w:val="auto"/>
          <w:sz w:val="24"/>
        </w:rPr>
      </w:pPr>
      <w:r>
        <w:rPr>
          <w:rFonts w:hint="eastAsia" w:ascii="宋体" w:hAnsi="宋体"/>
          <w:color w:val="auto"/>
          <w:sz w:val="24"/>
        </w:rPr>
        <w:t>双方应本着诚实信用的原则协商解决本合同履行过程中发生的争议。</w:t>
      </w:r>
    </w:p>
    <w:p w14:paraId="0A1F40AD">
      <w:pPr>
        <w:spacing w:line="540" w:lineRule="exact"/>
        <w:ind w:firstLine="480" w:firstLineChars="200"/>
        <w:rPr>
          <w:rFonts w:hint="eastAsia" w:ascii="宋体" w:hAnsi="宋体"/>
          <w:color w:val="auto"/>
          <w:sz w:val="24"/>
        </w:rPr>
      </w:pPr>
      <w:r>
        <w:rPr>
          <w:rFonts w:hint="eastAsia" w:ascii="宋体" w:hAnsi="宋体"/>
          <w:color w:val="auto"/>
          <w:sz w:val="24"/>
        </w:rPr>
        <w:t>7.2 调解</w:t>
      </w:r>
    </w:p>
    <w:p w14:paraId="4DDE58BF">
      <w:pPr>
        <w:spacing w:line="540" w:lineRule="exact"/>
        <w:ind w:firstLine="480" w:firstLineChars="200"/>
        <w:rPr>
          <w:rFonts w:hint="eastAsia" w:ascii="宋体" w:hAnsi="宋体"/>
          <w:color w:val="auto"/>
          <w:sz w:val="24"/>
        </w:rPr>
      </w:pPr>
      <w:r>
        <w:rPr>
          <w:rFonts w:hint="eastAsia" w:ascii="宋体" w:hAnsi="宋体"/>
          <w:color w:val="auto"/>
          <w:sz w:val="24"/>
        </w:rPr>
        <w:t>如果双方不能在 14 日内或双方商定的其他时间内解决本合同争议，可以将其提交给专用条件约定的或事后达成协议的调解人进行调解。</w:t>
      </w:r>
    </w:p>
    <w:p w14:paraId="4DE89803">
      <w:pPr>
        <w:spacing w:line="540" w:lineRule="exact"/>
        <w:ind w:firstLine="480" w:firstLineChars="200"/>
        <w:rPr>
          <w:rFonts w:hint="eastAsia" w:ascii="宋体" w:hAnsi="宋体"/>
          <w:color w:val="auto"/>
          <w:sz w:val="24"/>
        </w:rPr>
      </w:pPr>
      <w:r>
        <w:rPr>
          <w:rFonts w:hint="eastAsia" w:ascii="宋体" w:hAnsi="宋体"/>
          <w:color w:val="auto"/>
          <w:sz w:val="24"/>
        </w:rPr>
        <w:t>7.3 仲裁或诉讼</w:t>
      </w:r>
    </w:p>
    <w:p w14:paraId="34DF73EA">
      <w:pPr>
        <w:spacing w:line="540" w:lineRule="exact"/>
        <w:ind w:firstLine="480" w:firstLineChars="200"/>
        <w:rPr>
          <w:rFonts w:hint="eastAsia" w:ascii="宋体" w:hAnsi="宋体"/>
          <w:color w:val="auto"/>
          <w:sz w:val="24"/>
        </w:rPr>
      </w:pPr>
      <w:r>
        <w:rPr>
          <w:rFonts w:hint="eastAsia" w:ascii="宋体" w:hAnsi="宋体"/>
          <w:color w:val="auto"/>
          <w:sz w:val="24"/>
        </w:rPr>
        <w:t>双方均有权不经调解直接向专用条件约定的仲裁机构申请仲裁或向有管辖权的人民法院提起诉讼。</w:t>
      </w:r>
    </w:p>
    <w:p w14:paraId="0E0A1F5E">
      <w:pPr>
        <w:spacing w:line="540" w:lineRule="exact"/>
        <w:ind w:firstLine="482" w:firstLineChars="200"/>
        <w:rPr>
          <w:rFonts w:hint="eastAsia" w:ascii="宋体" w:hAnsi="宋体"/>
          <w:b/>
          <w:color w:val="auto"/>
          <w:sz w:val="24"/>
        </w:rPr>
      </w:pPr>
      <w:r>
        <w:rPr>
          <w:rFonts w:hint="eastAsia" w:ascii="宋体" w:hAnsi="宋体"/>
          <w:b/>
          <w:color w:val="auto"/>
          <w:sz w:val="24"/>
        </w:rPr>
        <w:t>8.其他</w:t>
      </w:r>
    </w:p>
    <w:p w14:paraId="150F9502">
      <w:pPr>
        <w:spacing w:line="540" w:lineRule="exact"/>
        <w:ind w:firstLine="480" w:firstLineChars="200"/>
        <w:rPr>
          <w:rFonts w:hint="eastAsia" w:ascii="宋体" w:hAnsi="宋体"/>
          <w:color w:val="auto"/>
          <w:sz w:val="24"/>
        </w:rPr>
      </w:pPr>
      <w:r>
        <w:rPr>
          <w:rFonts w:hint="eastAsia" w:ascii="宋体" w:hAnsi="宋体"/>
          <w:color w:val="auto"/>
          <w:sz w:val="24"/>
        </w:rPr>
        <w:t>8.1 考察及相关费用</w:t>
      </w:r>
    </w:p>
    <w:p w14:paraId="30B22B4B">
      <w:pPr>
        <w:spacing w:line="540" w:lineRule="exact"/>
        <w:ind w:firstLine="480" w:firstLineChars="200"/>
        <w:rPr>
          <w:rFonts w:hint="eastAsia" w:ascii="宋体" w:hAnsi="宋体"/>
          <w:color w:val="auto"/>
          <w:sz w:val="24"/>
        </w:rPr>
      </w:pPr>
      <w:r>
        <w:rPr>
          <w:rFonts w:hint="eastAsia" w:ascii="宋体" w:hAnsi="宋体"/>
          <w:color w:val="auto"/>
          <w:sz w:val="24"/>
        </w:rPr>
        <w:t>除专用条件另有约定外，咨询人经委托人同意进行考察发生的费用由委托人审核后另行支付。差旅费及相关费用的承担由双方在专用条件中约定。</w:t>
      </w:r>
    </w:p>
    <w:p w14:paraId="0E092AAD">
      <w:pPr>
        <w:spacing w:line="540" w:lineRule="exact"/>
        <w:ind w:firstLine="480" w:firstLineChars="200"/>
        <w:rPr>
          <w:rFonts w:hint="eastAsia" w:ascii="宋体" w:hAnsi="宋体"/>
          <w:color w:val="auto"/>
          <w:sz w:val="24"/>
        </w:rPr>
      </w:pPr>
      <w:r>
        <w:rPr>
          <w:rFonts w:hint="eastAsia" w:ascii="宋体" w:hAnsi="宋体"/>
          <w:color w:val="auto"/>
          <w:sz w:val="24"/>
        </w:rPr>
        <w:t>8.2 奖励</w:t>
      </w:r>
    </w:p>
    <w:p w14:paraId="2AB65E41">
      <w:pPr>
        <w:spacing w:line="540" w:lineRule="exact"/>
        <w:ind w:firstLine="480" w:firstLineChars="200"/>
        <w:rPr>
          <w:rFonts w:hint="eastAsia" w:ascii="宋体" w:hAnsi="宋体"/>
          <w:color w:val="auto"/>
          <w:sz w:val="24"/>
        </w:rPr>
      </w:pPr>
      <w:r>
        <w:rPr>
          <w:rFonts w:hint="eastAsia" w:ascii="宋体" w:hAnsi="宋体"/>
          <w:color w:val="auto"/>
          <w:sz w:val="24"/>
        </w:rPr>
        <w:t>对于咨询人在服务过程中提出合理化建议，使委托人获得效益的，双方在专用条件中约定奖励金额的确定方法。奖励金额在合理化建议被采纳后，与最近一期的正常工作酬金同期支付。</w:t>
      </w:r>
    </w:p>
    <w:p w14:paraId="13B3F8F1">
      <w:pPr>
        <w:spacing w:line="540" w:lineRule="exact"/>
        <w:ind w:firstLine="480" w:firstLineChars="200"/>
        <w:rPr>
          <w:rFonts w:hint="eastAsia" w:ascii="宋体" w:hAnsi="宋体"/>
          <w:color w:val="auto"/>
          <w:sz w:val="24"/>
        </w:rPr>
      </w:pPr>
      <w:r>
        <w:rPr>
          <w:rFonts w:hint="eastAsia" w:ascii="宋体" w:hAnsi="宋体"/>
          <w:color w:val="auto"/>
          <w:sz w:val="24"/>
        </w:rPr>
        <w:t>8.3 保密</w:t>
      </w:r>
    </w:p>
    <w:p w14:paraId="06DC842F">
      <w:pPr>
        <w:spacing w:line="540" w:lineRule="exact"/>
        <w:ind w:firstLine="480" w:firstLineChars="200"/>
        <w:rPr>
          <w:rFonts w:hint="eastAsia" w:ascii="宋体" w:hAnsi="宋体"/>
          <w:color w:val="auto"/>
          <w:sz w:val="24"/>
        </w:rPr>
      </w:pPr>
      <w:r>
        <w:rPr>
          <w:rFonts w:hint="eastAsia" w:ascii="宋体" w:hAnsi="宋体"/>
          <w:color w:val="auto"/>
          <w:sz w:val="24"/>
        </w:rPr>
        <w:t>在本合同履行期间或专用条件约定的期限内，双方不得泄露对方申明的保密资料，亦不得泄露与实施工程有关的第三人所提供的保密资料。保密事项在专用条件中约定。</w:t>
      </w:r>
    </w:p>
    <w:p w14:paraId="694E891E">
      <w:pPr>
        <w:spacing w:line="540" w:lineRule="exact"/>
        <w:ind w:firstLine="480" w:firstLineChars="200"/>
        <w:rPr>
          <w:rFonts w:hint="eastAsia" w:ascii="宋体" w:hAnsi="宋体"/>
          <w:color w:val="auto"/>
          <w:sz w:val="24"/>
        </w:rPr>
      </w:pPr>
      <w:r>
        <w:rPr>
          <w:rFonts w:hint="eastAsia" w:ascii="宋体" w:hAnsi="宋体"/>
          <w:color w:val="auto"/>
          <w:sz w:val="24"/>
        </w:rPr>
        <w:t>8.4 联络</w:t>
      </w:r>
    </w:p>
    <w:p w14:paraId="61FC7D90">
      <w:pPr>
        <w:spacing w:line="540" w:lineRule="exact"/>
        <w:ind w:firstLine="480" w:firstLineChars="200"/>
        <w:rPr>
          <w:rFonts w:hint="eastAsia" w:ascii="宋体" w:hAnsi="宋体"/>
          <w:color w:val="auto"/>
          <w:sz w:val="24"/>
        </w:rPr>
      </w:pPr>
      <w:r>
        <w:rPr>
          <w:rFonts w:hint="eastAsia" w:ascii="宋体" w:hAnsi="宋体"/>
          <w:color w:val="auto"/>
          <w:sz w:val="24"/>
        </w:rPr>
        <w:t>8.4.1 与合同有关的通知、指示、要求、决定等，均应采用书面形式，并应在专用条件约定的期限内送达接收人和送达地点。</w:t>
      </w:r>
    </w:p>
    <w:p w14:paraId="08B4D6BB">
      <w:pPr>
        <w:spacing w:line="540" w:lineRule="exact"/>
        <w:ind w:firstLine="480" w:firstLineChars="200"/>
        <w:rPr>
          <w:rFonts w:hint="eastAsia" w:ascii="宋体" w:hAnsi="宋体"/>
          <w:color w:val="auto"/>
          <w:sz w:val="24"/>
        </w:rPr>
      </w:pPr>
      <w:r>
        <w:rPr>
          <w:rFonts w:hint="eastAsia" w:ascii="宋体" w:hAnsi="宋体"/>
          <w:color w:val="auto"/>
          <w:sz w:val="24"/>
        </w:rPr>
        <w:t>8.4.2 委托人和咨询人应在专用条件中约定各自的送达接收人、送达地点、电子邮箱。任何一方指定的接收人或送达地点或电子邮箱发生变动的，应提前 3 天以书面形式通知对方，否则视为未发生变动。</w:t>
      </w:r>
    </w:p>
    <w:p w14:paraId="29BAE12A">
      <w:pPr>
        <w:spacing w:line="540" w:lineRule="exact"/>
        <w:ind w:firstLine="480" w:firstLineChars="200"/>
        <w:rPr>
          <w:rFonts w:hint="eastAsia" w:ascii="宋体" w:hAnsi="宋体"/>
          <w:color w:val="auto"/>
          <w:sz w:val="24"/>
        </w:rPr>
      </w:pPr>
      <w:r>
        <w:rPr>
          <w:rFonts w:hint="eastAsia" w:ascii="宋体" w:hAnsi="宋体"/>
          <w:color w:val="auto"/>
          <w:sz w:val="24"/>
        </w:rPr>
        <w:t>8.4.3 委托人和咨询人应当及时签收另一方送达至送达地点和指定接收人的往来函件，如确有充分证据证明一方无正当理由拒不签收的，视为认可往来函件的内容。</w:t>
      </w:r>
    </w:p>
    <w:p w14:paraId="181F3D77">
      <w:pPr>
        <w:spacing w:line="540" w:lineRule="exact"/>
        <w:ind w:firstLine="480" w:firstLineChars="200"/>
        <w:rPr>
          <w:rFonts w:hint="eastAsia" w:ascii="宋体" w:hAnsi="宋体"/>
          <w:color w:val="auto"/>
          <w:sz w:val="24"/>
        </w:rPr>
      </w:pPr>
      <w:r>
        <w:rPr>
          <w:rFonts w:hint="eastAsia" w:ascii="宋体" w:hAnsi="宋体"/>
          <w:color w:val="auto"/>
          <w:sz w:val="24"/>
        </w:rPr>
        <w:t>8.5 知识产权</w:t>
      </w:r>
    </w:p>
    <w:p w14:paraId="1E2ACA25">
      <w:pPr>
        <w:spacing w:line="540" w:lineRule="exact"/>
        <w:ind w:firstLine="480" w:firstLineChars="200"/>
        <w:rPr>
          <w:rFonts w:hint="eastAsia" w:ascii="宋体" w:hAnsi="宋体"/>
          <w:color w:val="auto"/>
          <w:sz w:val="24"/>
        </w:rPr>
      </w:pPr>
      <w:r>
        <w:rPr>
          <w:rFonts w:hint="eastAsia" w:ascii="宋体" w:hAnsi="宋体"/>
          <w:color w:val="auto"/>
          <w:sz w:val="24"/>
        </w:rPr>
        <w:t>除专用条件另有约定外，委托人提供给咨询人的图纸、委托人为实施工程自行编制或委托编制的技术规范以及反映委托人要求的或其他类似性质文件的著作权属于委托人，咨询人可以为实现本合同目的而复制或者以其他方式使用此类文件，但不能用于与本合同无关的其他事项。未经委托人书面同意，咨询人不得为了本合同以外的目的而复制或者以其他方式使用上述文件或将之提供给任何第三方。</w:t>
      </w:r>
    </w:p>
    <w:p w14:paraId="1168764E">
      <w:pPr>
        <w:spacing w:line="540" w:lineRule="exact"/>
        <w:ind w:firstLine="480" w:firstLineChars="200"/>
        <w:rPr>
          <w:rFonts w:hint="eastAsia" w:ascii="宋体" w:hAnsi="宋体"/>
          <w:color w:val="auto"/>
          <w:sz w:val="24"/>
        </w:rPr>
      </w:pPr>
      <w:r>
        <w:rPr>
          <w:rFonts w:hint="eastAsia" w:ascii="宋体" w:hAnsi="宋体"/>
          <w:color w:val="auto"/>
          <w:sz w:val="24"/>
        </w:rPr>
        <w:t>除专用条件另有约定外，咨询人为履行本合同约定而编制的成果文件，其著作权属于咨询人。委托人可以为实现合同目的而复制、使用此类文件，但不能擅自修改或用于与本合同无关的其他事项。未经咨询人书面同意，委托人不得为了本合同以外的目的而复制或者以其他方式使用上述文件或将之提供给任何第三方。</w:t>
      </w:r>
    </w:p>
    <w:p w14:paraId="36F06F0C">
      <w:pPr>
        <w:spacing w:line="540" w:lineRule="exact"/>
        <w:ind w:firstLine="480" w:firstLineChars="200"/>
        <w:rPr>
          <w:rFonts w:hint="eastAsia" w:ascii="宋体" w:hAnsi="宋体"/>
          <w:color w:val="auto"/>
          <w:sz w:val="24"/>
        </w:rPr>
      </w:pPr>
      <w:r>
        <w:rPr>
          <w:rFonts w:hint="eastAsia" w:ascii="宋体" w:hAnsi="宋体"/>
          <w:color w:val="auto"/>
          <w:sz w:val="24"/>
        </w:rPr>
        <w:t>双方保证在履行本合同过程中不侵犯对方及第三方的知识产权。因咨询人侵犯他人知识产权所引起的责任，由咨询人承担；因委托人提供的基础资料导致侵权的，由委托人承担责任。</w:t>
      </w:r>
    </w:p>
    <w:p w14:paraId="785A2DB9">
      <w:pPr>
        <w:spacing w:line="540" w:lineRule="exact"/>
        <w:ind w:firstLine="480" w:firstLineChars="200"/>
        <w:rPr>
          <w:rFonts w:hint="eastAsia" w:ascii="宋体" w:hAnsi="宋体"/>
          <w:color w:val="auto"/>
          <w:sz w:val="24"/>
        </w:rPr>
      </w:pPr>
      <w:r>
        <w:rPr>
          <w:rFonts w:hint="eastAsia" w:ascii="宋体" w:hAnsi="宋体"/>
          <w:color w:val="auto"/>
          <w:sz w:val="24"/>
        </w:rPr>
        <w:t>除专用条件另有约定外，双方均有权在履行本合同保密义务并且不损害对方利益的情况下，将履行本合同形成的有关成果文件用于企业宣传、申报奖项以及接受上级主管部门的检查。</w:t>
      </w:r>
    </w:p>
    <w:p w14:paraId="33E73722">
      <w:pPr>
        <w:spacing w:line="440" w:lineRule="exact"/>
        <w:ind w:firstLine="560" w:firstLineChars="200"/>
        <w:rPr>
          <w:rFonts w:hint="eastAsia"/>
          <w:color w:val="auto"/>
          <w:sz w:val="28"/>
          <w:szCs w:val="28"/>
        </w:rPr>
      </w:pPr>
    </w:p>
    <w:p w14:paraId="21203097">
      <w:pPr>
        <w:spacing w:line="440" w:lineRule="exact"/>
        <w:ind w:firstLine="560" w:firstLineChars="200"/>
        <w:rPr>
          <w:rFonts w:hint="eastAsia"/>
          <w:color w:val="auto"/>
          <w:sz w:val="28"/>
          <w:szCs w:val="28"/>
        </w:rPr>
      </w:pPr>
    </w:p>
    <w:p w14:paraId="70922D85">
      <w:pPr>
        <w:spacing w:line="440" w:lineRule="exact"/>
        <w:ind w:firstLine="560" w:firstLineChars="200"/>
        <w:rPr>
          <w:rFonts w:hint="eastAsia"/>
          <w:color w:val="auto"/>
          <w:sz w:val="28"/>
          <w:szCs w:val="28"/>
        </w:rPr>
      </w:pPr>
    </w:p>
    <w:p w14:paraId="22167B19">
      <w:pPr>
        <w:spacing w:line="440" w:lineRule="exact"/>
        <w:ind w:firstLine="560" w:firstLineChars="200"/>
        <w:rPr>
          <w:rFonts w:hint="eastAsia"/>
          <w:color w:val="auto"/>
          <w:sz w:val="28"/>
          <w:szCs w:val="28"/>
        </w:rPr>
      </w:pPr>
    </w:p>
    <w:p w14:paraId="0DF50A24">
      <w:pPr>
        <w:spacing w:line="440" w:lineRule="exact"/>
        <w:ind w:firstLine="560" w:firstLineChars="200"/>
        <w:rPr>
          <w:rFonts w:hint="eastAsia"/>
          <w:color w:val="auto"/>
          <w:sz w:val="28"/>
          <w:szCs w:val="28"/>
        </w:rPr>
      </w:pPr>
    </w:p>
    <w:p w14:paraId="6213AA80">
      <w:pPr>
        <w:spacing w:line="440" w:lineRule="exact"/>
        <w:ind w:firstLine="560" w:firstLineChars="200"/>
        <w:rPr>
          <w:rFonts w:hint="eastAsia"/>
          <w:color w:val="auto"/>
          <w:sz w:val="28"/>
          <w:szCs w:val="28"/>
        </w:rPr>
      </w:pPr>
    </w:p>
    <w:p w14:paraId="559A5E97">
      <w:pPr>
        <w:pStyle w:val="11"/>
        <w:rPr>
          <w:rFonts w:hint="eastAsia"/>
          <w:color w:val="auto"/>
          <w:sz w:val="28"/>
          <w:szCs w:val="28"/>
        </w:rPr>
      </w:pPr>
    </w:p>
    <w:p w14:paraId="565095D5">
      <w:pPr>
        <w:rPr>
          <w:rFonts w:hint="eastAsia"/>
          <w:color w:val="auto"/>
          <w:sz w:val="28"/>
          <w:szCs w:val="28"/>
        </w:rPr>
      </w:pPr>
    </w:p>
    <w:p w14:paraId="251D1278">
      <w:pPr>
        <w:pStyle w:val="11"/>
        <w:rPr>
          <w:rFonts w:hint="eastAsia"/>
          <w:color w:val="auto"/>
          <w:sz w:val="28"/>
          <w:szCs w:val="28"/>
        </w:rPr>
      </w:pPr>
    </w:p>
    <w:p w14:paraId="1B26A44F">
      <w:pPr>
        <w:rPr>
          <w:rFonts w:hint="eastAsia"/>
          <w:color w:val="auto"/>
          <w:sz w:val="28"/>
          <w:szCs w:val="28"/>
        </w:rPr>
      </w:pPr>
    </w:p>
    <w:p w14:paraId="48802034">
      <w:pPr>
        <w:pStyle w:val="11"/>
        <w:rPr>
          <w:rFonts w:hint="eastAsia"/>
          <w:color w:val="auto"/>
          <w:sz w:val="28"/>
          <w:szCs w:val="28"/>
        </w:rPr>
      </w:pPr>
    </w:p>
    <w:p w14:paraId="0D14DCC6">
      <w:pPr>
        <w:rPr>
          <w:rFonts w:hint="eastAsia"/>
          <w:color w:val="auto"/>
          <w:sz w:val="28"/>
          <w:szCs w:val="28"/>
        </w:rPr>
      </w:pPr>
    </w:p>
    <w:p w14:paraId="7C789BFB">
      <w:pPr>
        <w:pStyle w:val="11"/>
        <w:rPr>
          <w:rFonts w:hint="eastAsia"/>
          <w:color w:val="auto"/>
          <w:sz w:val="28"/>
          <w:szCs w:val="28"/>
        </w:rPr>
      </w:pPr>
    </w:p>
    <w:p w14:paraId="7968F2A3">
      <w:pPr>
        <w:rPr>
          <w:rFonts w:hint="eastAsia"/>
          <w:color w:val="auto"/>
          <w:sz w:val="28"/>
          <w:szCs w:val="28"/>
        </w:rPr>
      </w:pPr>
    </w:p>
    <w:p w14:paraId="165EEB9F">
      <w:pPr>
        <w:pStyle w:val="11"/>
        <w:rPr>
          <w:rFonts w:hint="eastAsia"/>
          <w:color w:val="auto"/>
          <w:sz w:val="28"/>
          <w:szCs w:val="28"/>
        </w:rPr>
      </w:pPr>
    </w:p>
    <w:p w14:paraId="7141ACD8">
      <w:pPr>
        <w:rPr>
          <w:rFonts w:hint="eastAsia"/>
          <w:color w:val="auto"/>
          <w:sz w:val="28"/>
          <w:szCs w:val="28"/>
        </w:rPr>
      </w:pPr>
    </w:p>
    <w:p w14:paraId="132A92BC">
      <w:pPr>
        <w:pStyle w:val="11"/>
        <w:rPr>
          <w:rFonts w:hint="eastAsia"/>
          <w:color w:val="auto"/>
          <w:sz w:val="28"/>
          <w:szCs w:val="28"/>
        </w:rPr>
      </w:pPr>
    </w:p>
    <w:p w14:paraId="62E10F68">
      <w:pPr>
        <w:pStyle w:val="11"/>
        <w:rPr>
          <w:rFonts w:hint="eastAsia"/>
          <w:color w:val="auto"/>
          <w:sz w:val="28"/>
          <w:szCs w:val="28"/>
        </w:rPr>
      </w:pPr>
    </w:p>
    <w:p w14:paraId="2625375A">
      <w:pPr>
        <w:rPr>
          <w:rFonts w:hint="eastAsia"/>
        </w:rPr>
      </w:pPr>
    </w:p>
    <w:p w14:paraId="1CB61FA0">
      <w:pPr>
        <w:spacing w:line="440" w:lineRule="exact"/>
        <w:jc w:val="center"/>
        <w:rPr>
          <w:rFonts w:hint="eastAsia"/>
          <w:b/>
          <w:color w:val="auto"/>
          <w:sz w:val="30"/>
          <w:szCs w:val="30"/>
        </w:rPr>
      </w:pPr>
      <w:r>
        <w:rPr>
          <w:rFonts w:hint="eastAsia"/>
          <w:b/>
          <w:color w:val="auto"/>
          <w:sz w:val="30"/>
          <w:szCs w:val="30"/>
        </w:rPr>
        <w:t>第三部分 专用条件</w:t>
      </w:r>
    </w:p>
    <w:p w14:paraId="4D7F6E6B">
      <w:pPr>
        <w:spacing w:line="440" w:lineRule="exact"/>
        <w:ind w:firstLine="562" w:firstLineChars="200"/>
        <w:rPr>
          <w:rFonts w:hint="eastAsia"/>
          <w:b/>
          <w:color w:val="auto"/>
          <w:sz w:val="28"/>
          <w:szCs w:val="28"/>
        </w:rPr>
      </w:pPr>
    </w:p>
    <w:p w14:paraId="2C1087C8">
      <w:pPr>
        <w:spacing w:line="540" w:lineRule="exact"/>
        <w:ind w:firstLine="482" w:firstLineChars="200"/>
        <w:rPr>
          <w:rFonts w:hint="eastAsia" w:ascii="宋体" w:hAnsi="宋体"/>
          <w:b/>
          <w:color w:val="auto"/>
          <w:sz w:val="24"/>
        </w:rPr>
      </w:pPr>
      <w:r>
        <w:rPr>
          <w:rFonts w:hint="eastAsia" w:ascii="宋体" w:hAnsi="宋体"/>
          <w:b/>
          <w:color w:val="auto"/>
          <w:sz w:val="24"/>
        </w:rPr>
        <w:t>1. 词语定义、语言、解释顺序与适用法律</w:t>
      </w:r>
    </w:p>
    <w:p w14:paraId="52EA8316">
      <w:pPr>
        <w:spacing w:line="540" w:lineRule="exact"/>
        <w:ind w:firstLine="480" w:firstLineChars="200"/>
        <w:rPr>
          <w:rFonts w:hint="eastAsia" w:ascii="宋体" w:hAnsi="宋体"/>
          <w:color w:val="auto"/>
          <w:sz w:val="24"/>
        </w:rPr>
      </w:pPr>
      <w:r>
        <w:rPr>
          <w:rFonts w:hint="eastAsia" w:ascii="宋体" w:hAnsi="宋体"/>
          <w:color w:val="auto"/>
          <w:sz w:val="24"/>
        </w:rPr>
        <w:t>1.2 语言</w:t>
      </w:r>
    </w:p>
    <w:p w14:paraId="79609BB9">
      <w:pPr>
        <w:spacing w:line="540" w:lineRule="exact"/>
        <w:ind w:firstLine="480" w:firstLineChars="200"/>
        <w:rPr>
          <w:rFonts w:hint="eastAsia" w:ascii="宋体" w:hAnsi="宋体"/>
          <w:color w:val="auto"/>
          <w:sz w:val="24"/>
          <w:u w:val="single"/>
        </w:rPr>
      </w:pPr>
      <w:r>
        <w:rPr>
          <w:rFonts w:hint="eastAsia" w:ascii="宋体" w:hAnsi="宋体"/>
          <w:color w:val="auto"/>
          <w:sz w:val="24"/>
        </w:rPr>
        <w:t>本合同文件除使用中文外，还可用</w:t>
      </w:r>
      <w:r>
        <w:rPr>
          <w:rFonts w:hint="eastAsia" w:ascii="宋体" w:hAnsi="宋体"/>
          <w:color w:val="auto"/>
          <w:sz w:val="24"/>
          <w:u w:val="single"/>
        </w:rPr>
        <w:t>无</w:t>
      </w:r>
      <w:r>
        <w:rPr>
          <w:rFonts w:hint="eastAsia" w:ascii="宋体" w:hAnsi="宋体"/>
          <w:color w:val="auto"/>
          <w:sz w:val="24"/>
        </w:rPr>
        <w:t>。</w:t>
      </w:r>
    </w:p>
    <w:p w14:paraId="23C1FFB2">
      <w:pPr>
        <w:spacing w:line="540" w:lineRule="exact"/>
        <w:ind w:firstLine="480" w:firstLineChars="200"/>
        <w:rPr>
          <w:rFonts w:hint="eastAsia" w:ascii="宋体" w:hAnsi="宋体"/>
          <w:color w:val="auto"/>
          <w:sz w:val="24"/>
        </w:rPr>
      </w:pPr>
      <w:r>
        <w:rPr>
          <w:rFonts w:hint="eastAsia" w:ascii="宋体" w:hAnsi="宋体"/>
          <w:color w:val="auto"/>
          <w:sz w:val="24"/>
        </w:rPr>
        <w:t>1.3 合同文件的优先顺序</w:t>
      </w:r>
    </w:p>
    <w:p w14:paraId="4046D7F4">
      <w:pPr>
        <w:spacing w:line="540" w:lineRule="exact"/>
        <w:ind w:firstLine="480" w:firstLineChars="200"/>
        <w:rPr>
          <w:rFonts w:hint="eastAsia" w:ascii="宋体" w:hAnsi="宋体"/>
          <w:color w:val="auto"/>
          <w:sz w:val="24"/>
        </w:rPr>
      </w:pPr>
      <w:r>
        <w:rPr>
          <w:rFonts w:hint="eastAsia" w:ascii="宋体" w:hAnsi="宋体"/>
          <w:color w:val="auto"/>
          <w:sz w:val="24"/>
        </w:rPr>
        <w:t>本合同文件的解释顺序为：</w:t>
      </w:r>
      <w:r>
        <w:rPr>
          <w:rFonts w:hint="eastAsia" w:ascii="宋体" w:hAnsi="宋体"/>
          <w:color w:val="auto"/>
          <w:sz w:val="24"/>
          <w:u w:val="single"/>
        </w:rPr>
        <w:t>协议书、专用条件、通用条件</w:t>
      </w:r>
      <w:r>
        <w:rPr>
          <w:rFonts w:hint="eastAsia" w:ascii="宋体" w:hAnsi="宋体"/>
          <w:color w:val="auto"/>
          <w:sz w:val="24"/>
        </w:rPr>
        <w:t>。</w:t>
      </w:r>
    </w:p>
    <w:p w14:paraId="7737EA91">
      <w:pPr>
        <w:spacing w:line="540" w:lineRule="exact"/>
        <w:ind w:firstLine="480" w:firstLineChars="200"/>
        <w:rPr>
          <w:rFonts w:hint="eastAsia" w:ascii="宋体" w:hAnsi="宋体"/>
          <w:color w:val="auto"/>
          <w:sz w:val="24"/>
        </w:rPr>
      </w:pPr>
      <w:r>
        <w:rPr>
          <w:rFonts w:hint="eastAsia" w:ascii="宋体" w:hAnsi="宋体"/>
          <w:color w:val="auto"/>
          <w:sz w:val="24"/>
        </w:rPr>
        <w:t>1.4 适用法律</w:t>
      </w:r>
    </w:p>
    <w:p w14:paraId="318438AB">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color w:val="auto"/>
          <w:u w:val="single"/>
        </w:rPr>
      </w:pPr>
      <w:r>
        <w:rPr>
          <w:rFonts w:hint="eastAsia" w:ascii="宋体" w:hAnsi="宋体"/>
          <w:color w:val="auto"/>
          <w:sz w:val="24"/>
        </w:rPr>
        <w:t>本合同适用的其他规范性文件包括:</w:t>
      </w:r>
      <w:r>
        <w:rPr>
          <w:rFonts w:hint="eastAsia" w:ascii="宋体" w:hAnsi="宋体" w:eastAsia="宋体" w:cs="宋体"/>
          <w:b/>
          <w:bCs/>
          <w:color w:val="auto"/>
          <w:kern w:val="0"/>
          <w:sz w:val="24"/>
          <w:szCs w:val="24"/>
          <w:u w:val="single"/>
          <w:lang w:val="en-US" w:eastAsia="zh-CN" w:bidi="ar"/>
        </w:rPr>
        <w:t>《山东省建设工程造价管理办法》、《山东省现行清单规范》、《山东省现行计价消耗量定额及规则说明》、国家、省市下发的关于造价的管理规定文件</w:t>
      </w:r>
      <w:r>
        <w:rPr>
          <w:rFonts w:hint="eastAsia" w:ascii="宋体" w:hAnsi="宋体" w:eastAsia="宋体" w:cs="宋体"/>
          <w:b/>
          <w:bCs/>
          <w:color w:val="auto"/>
          <w:kern w:val="0"/>
          <w:sz w:val="24"/>
          <w:szCs w:val="24"/>
          <w:u w:val="none"/>
          <w:lang w:val="en-US" w:eastAsia="zh-CN" w:bidi="ar"/>
        </w:rPr>
        <w:t xml:space="preserve">。 </w:t>
      </w:r>
    </w:p>
    <w:p w14:paraId="0CD01EAE">
      <w:pPr>
        <w:spacing w:line="540" w:lineRule="exact"/>
        <w:ind w:firstLine="472" w:firstLineChars="196"/>
        <w:rPr>
          <w:rFonts w:hint="eastAsia" w:ascii="宋体" w:hAnsi="宋体"/>
          <w:b/>
          <w:color w:val="auto"/>
          <w:sz w:val="24"/>
        </w:rPr>
      </w:pPr>
      <w:r>
        <w:rPr>
          <w:rFonts w:hint="eastAsia" w:ascii="宋体" w:hAnsi="宋体"/>
          <w:b/>
          <w:color w:val="auto"/>
          <w:sz w:val="24"/>
        </w:rPr>
        <w:t>2. 委托人的义务</w:t>
      </w:r>
    </w:p>
    <w:p w14:paraId="483076BC">
      <w:pPr>
        <w:spacing w:line="540" w:lineRule="exact"/>
        <w:ind w:firstLine="480" w:firstLineChars="200"/>
        <w:rPr>
          <w:rFonts w:hint="eastAsia" w:ascii="宋体" w:hAnsi="宋体"/>
          <w:color w:val="auto"/>
          <w:sz w:val="24"/>
        </w:rPr>
      </w:pPr>
      <w:r>
        <w:rPr>
          <w:rFonts w:hint="eastAsia" w:ascii="宋体" w:hAnsi="宋体"/>
          <w:color w:val="auto"/>
          <w:sz w:val="24"/>
        </w:rPr>
        <w:t>2.1 提供资料</w:t>
      </w:r>
    </w:p>
    <w:p w14:paraId="5F8DE412">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color w:val="auto"/>
          <w:sz w:val="24"/>
          <w:szCs w:val="24"/>
        </w:rPr>
      </w:pPr>
      <w:r>
        <w:rPr>
          <w:rFonts w:hint="eastAsia" w:ascii="宋体" w:hAnsi="宋体"/>
          <w:color w:val="auto"/>
          <w:sz w:val="24"/>
          <w:szCs w:val="24"/>
        </w:rPr>
        <w:t>委托人约定无偿向咨询人提供与本合同咨询业务有关资料的时间为：</w:t>
      </w:r>
      <w:r>
        <w:rPr>
          <w:rFonts w:hint="eastAsia" w:ascii="宋体" w:hAnsi="宋体" w:eastAsia="宋体" w:cs="宋体"/>
          <w:b/>
          <w:bCs/>
          <w:color w:val="auto"/>
          <w:kern w:val="0"/>
          <w:sz w:val="24"/>
          <w:szCs w:val="24"/>
          <w:lang w:val="en-US" w:eastAsia="zh-CN" w:bidi="ar"/>
        </w:rPr>
        <w:t>签订委托合同时提供</w:t>
      </w:r>
      <w:r>
        <w:rPr>
          <w:rFonts w:hint="eastAsia" w:ascii="宋体" w:hAnsi="宋体" w:eastAsia="宋体" w:cs="宋体"/>
          <w:color w:val="auto"/>
          <w:kern w:val="0"/>
          <w:sz w:val="24"/>
          <w:szCs w:val="24"/>
          <w:lang w:val="en-US" w:eastAsia="zh-CN" w:bidi="ar"/>
        </w:rPr>
        <w:t>。</w:t>
      </w:r>
    </w:p>
    <w:p w14:paraId="3C15DB25">
      <w:pPr>
        <w:spacing w:line="540" w:lineRule="exact"/>
        <w:ind w:firstLine="480" w:firstLineChars="200"/>
        <w:rPr>
          <w:rFonts w:hint="eastAsia" w:ascii="宋体" w:hAnsi="宋体"/>
          <w:color w:val="auto"/>
          <w:sz w:val="24"/>
        </w:rPr>
      </w:pPr>
      <w:r>
        <w:rPr>
          <w:rFonts w:hint="eastAsia" w:ascii="宋体" w:hAnsi="宋体"/>
          <w:color w:val="auto"/>
          <w:sz w:val="24"/>
        </w:rPr>
        <w:t>2.2 提供工作条件</w:t>
      </w:r>
    </w:p>
    <w:p w14:paraId="55C5A6E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color w:val="auto"/>
          <w:sz w:val="24"/>
        </w:rPr>
      </w:pPr>
      <w:r>
        <w:rPr>
          <w:rFonts w:hint="eastAsia" w:ascii="宋体" w:hAnsi="宋体"/>
          <w:color w:val="auto"/>
          <w:sz w:val="24"/>
        </w:rPr>
        <w:t>2.2.1 项目咨询人员由委托人提供的房屋及设备，支付使用费的标准为：</w:t>
      </w:r>
      <w:r>
        <w:rPr>
          <w:rFonts w:hint="eastAsia" w:ascii="宋体" w:hAnsi="宋体" w:eastAsia="宋体" w:cs="宋体"/>
          <w:b/>
          <w:bCs/>
          <w:color w:val="auto"/>
          <w:kern w:val="0"/>
          <w:sz w:val="24"/>
          <w:szCs w:val="24"/>
          <w:lang w:val="en-US" w:eastAsia="zh-CN" w:bidi="ar"/>
        </w:rPr>
        <w:t>另行约定</w:t>
      </w:r>
      <w:r>
        <w:rPr>
          <w:rFonts w:hint="eastAsia" w:ascii="宋体" w:hAnsi="宋体"/>
          <w:color w:val="auto"/>
          <w:sz w:val="24"/>
        </w:rPr>
        <w:t>。</w:t>
      </w:r>
    </w:p>
    <w:p w14:paraId="1D028454">
      <w:pPr>
        <w:spacing w:line="540" w:lineRule="exact"/>
        <w:ind w:firstLine="480" w:firstLineChars="200"/>
        <w:rPr>
          <w:rFonts w:hint="eastAsia" w:ascii="宋体" w:hAnsi="宋体"/>
          <w:color w:val="auto"/>
          <w:sz w:val="24"/>
        </w:rPr>
      </w:pPr>
      <w:r>
        <w:rPr>
          <w:rFonts w:hint="eastAsia" w:ascii="宋体" w:hAnsi="宋体"/>
          <w:color w:val="auto"/>
          <w:sz w:val="24"/>
        </w:rPr>
        <w:t>2.3 委托人代表</w:t>
      </w:r>
    </w:p>
    <w:p w14:paraId="1056707B">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color w:val="auto"/>
          <w:sz w:val="24"/>
          <w:highlight w:val="none"/>
        </w:rPr>
      </w:pPr>
      <w:r>
        <w:rPr>
          <w:rFonts w:hint="eastAsia" w:ascii="宋体" w:hAnsi="宋体"/>
          <w:color w:val="auto"/>
          <w:sz w:val="24"/>
        </w:rPr>
        <w:t>委托人代表为：</w:t>
      </w:r>
      <w:r>
        <w:rPr>
          <w:rFonts w:hint="eastAsia" w:ascii="宋体" w:hAnsi="宋体"/>
          <w:color w:val="auto"/>
          <w:sz w:val="24"/>
          <w:u w:val="single"/>
        </w:rPr>
        <w:t xml:space="preserve">            </w:t>
      </w:r>
      <w:r>
        <w:rPr>
          <w:rFonts w:hint="eastAsia" w:ascii="宋体" w:hAnsi="宋体"/>
          <w:color w:val="auto"/>
          <w:sz w:val="24"/>
        </w:rPr>
        <w:t>，其权限范围：</w:t>
      </w:r>
      <w:r>
        <w:rPr>
          <w:rFonts w:hint="eastAsia" w:ascii="宋体" w:hAnsi="宋体" w:eastAsia="宋体" w:cs="宋体"/>
          <w:b/>
          <w:bCs/>
          <w:color w:val="auto"/>
          <w:kern w:val="0"/>
          <w:sz w:val="24"/>
          <w:szCs w:val="24"/>
          <w:highlight w:val="none"/>
          <w:u w:val="single"/>
          <w:lang w:val="en-US" w:eastAsia="zh-CN" w:bidi="ar"/>
        </w:rPr>
        <w:t>无偿提供图纸（包含纸质版和电子版）、解决造价咨询人员关于造价提出的问题、协调办理酬金支付事宜</w:t>
      </w:r>
      <w:r>
        <w:rPr>
          <w:rFonts w:hint="eastAsia" w:ascii="宋体" w:hAnsi="宋体"/>
          <w:color w:val="auto"/>
          <w:sz w:val="24"/>
          <w:highlight w:val="none"/>
        </w:rPr>
        <w:t>。</w:t>
      </w:r>
    </w:p>
    <w:p w14:paraId="5C1802A2">
      <w:pPr>
        <w:spacing w:line="540" w:lineRule="exact"/>
        <w:ind w:firstLine="480" w:firstLineChars="200"/>
        <w:rPr>
          <w:rFonts w:hint="eastAsia" w:ascii="宋体" w:hAnsi="宋体"/>
          <w:color w:val="auto"/>
          <w:sz w:val="24"/>
        </w:rPr>
      </w:pPr>
      <w:r>
        <w:rPr>
          <w:rFonts w:hint="eastAsia" w:ascii="宋体" w:hAnsi="宋体"/>
          <w:color w:val="auto"/>
          <w:sz w:val="24"/>
        </w:rPr>
        <w:t xml:space="preserve"> 2.4 答复</w:t>
      </w:r>
    </w:p>
    <w:p w14:paraId="3F431D71">
      <w:pPr>
        <w:spacing w:line="540" w:lineRule="exact"/>
        <w:ind w:firstLine="480" w:firstLineChars="200"/>
        <w:rPr>
          <w:rFonts w:hint="eastAsia" w:ascii="宋体" w:hAnsi="宋体"/>
          <w:color w:val="auto"/>
          <w:sz w:val="24"/>
        </w:rPr>
      </w:pPr>
      <w:r>
        <w:rPr>
          <w:rFonts w:hint="eastAsia" w:ascii="宋体" w:hAnsi="宋体"/>
          <w:color w:val="auto"/>
          <w:sz w:val="24"/>
        </w:rPr>
        <w:t>委托人同意在</w:t>
      </w:r>
      <w:r>
        <w:rPr>
          <w:rFonts w:hint="eastAsia" w:ascii="宋体" w:hAnsi="宋体"/>
          <w:color w:val="auto"/>
          <w:sz w:val="24"/>
          <w:u w:val="single"/>
          <w:lang w:val="en-US" w:eastAsia="zh-CN"/>
        </w:rPr>
        <w:t>2</w:t>
      </w:r>
      <w:r>
        <w:rPr>
          <w:rFonts w:hint="eastAsia" w:ascii="宋体" w:hAnsi="宋体"/>
          <w:color w:val="auto"/>
          <w:sz w:val="24"/>
        </w:rPr>
        <w:t>日内，对咨询人书面提交并要求做出决定的事宜给予书面答复。逾期未答复的，视为委托人认可。</w:t>
      </w:r>
    </w:p>
    <w:p w14:paraId="1A0EB7FC">
      <w:pPr>
        <w:spacing w:line="540" w:lineRule="exact"/>
        <w:ind w:firstLine="482" w:firstLineChars="200"/>
        <w:rPr>
          <w:rFonts w:hint="eastAsia" w:ascii="宋体" w:hAnsi="宋体"/>
          <w:b/>
          <w:color w:val="auto"/>
          <w:sz w:val="24"/>
        </w:rPr>
      </w:pPr>
      <w:r>
        <w:rPr>
          <w:rFonts w:hint="eastAsia" w:ascii="宋体" w:hAnsi="宋体"/>
          <w:b/>
          <w:color w:val="auto"/>
          <w:sz w:val="24"/>
        </w:rPr>
        <w:t>3. 咨询人的义务</w:t>
      </w:r>
    </w:p>
    <w:p w14:paraId="3C45C04B">
      <w:pPr>
        <w:spacing w:line="540" w:lineRule="exact"/>
        <w:ind w:firstLine="480" w:firstLineChars="200"/>
        <w:rPr>
          <w:rFonts w:hint="eastAsia" w:ascii="宋体" w:hAnsi="宋体"/>
          <w:color w:val="auto"/>
          <w:sz w:val="24"/>
        </w:rPr>
      </w:pPr>
      <w:r>
        <w:rPr>
          <w:rFonts w:hint="eastAsia" w:ascii="宋体" w:hAnsi="宋体"/>
          <w:color w:val="auto"/>
          <w:sz w:val="24"/>
        </w:rPr>
        <w:t>3.1 项目咨询团队及人员</w:t>
      </w:r>
    </w:p>
    <w:p w14:paraId="7BBDB2F1">
      <w:pPr>
        <w:spacing w:line="5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3.1.1 项目咨询团队的主要人员应</w:t>
      </w:r>
      <w:r>
        <w:rPr>
          <w:rFonts w:hint="eastAsia" w:ascii="宋体" w:hAnsi="宋体" w:eastAsia="宋体" w:cs="宋体"/>
          <w:color w:val="auto"/>
          <w:sz w:val="24"/>
          <w:szCs w:val="24"/>
          <w:lang w:eastAsia="zh-CN"/>
        </w:rPr>
        <w:t>为</w:t>
      </w:r>
      <w:r>
        <w:rPr>
          <w:rFonts w:hint="eastAsia" w:ascii="宋体" w:hAnsi="宋体" w:eastAsia="宋体" w:cs="宋体"/>
          <w:b/>
          <w:bCs/>
          <w:color w:val="auto"/>
          <w:kern w:val="0"/>
          <w:sz w:val="24"/>
          <w:szCs w:val="24"/>
          <w:highlight w:val="none"/>
          <w:lang w:val="en-US" w:eastAsia="zh-CN" w:bidi="ar"/>
        </w:rPr>
        <w:t>国家注册造价工程师（或一级注册造价工程师）</w:t>
      </w:r>
      <w:r>
        <w:rPr>
          <w:rFonts w:hint="eastAsia" w:ascii="宋体" w:hAnsi="宋体" w:eastAsia="宋体" w:cs="宋体"/>
          <w:color w:val="auto"/>
          <w:kern w:val="0"/>
          <w:sz w:val="24"/>
          <w:szCs w:val="24"/>
          <w:lang w:val="en-US" w:eastAsia="zh-CN" w:bidi="ar"/>
        </w:rPr>
        <w:t>执业资格条件</w:t>
      </w:r>
      <w:r>
        <w:rPr>
          <w:rFonts w:hint="eastAsia" w:ascii="宋体" w:hAnsi="宋体" w:eastAsia="宋体" w:cs="宋体"/>
          <w:color w:val="auto"/>
          <w:sz w:val="24"/>
          <w:szCs w:val="24"/>
        </w:rPr>
        <w:t>，团队人员的数量为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w:t>
      </w:r>
      <w:r>
        <w:rPr>
          <w:rFonts w:hint="eastAsia" w:ascii="宋体" w:hAnsi="宋体" w:eastAsia="宋体" w:cs="宋体"/>
          <w:color w:val="auto"/>
          <w:kern w:val="0"/>
          <w:sz w:val="24"/>
          <w:szCs w:val="24"/>
          <w:lang w:val="en-US" w:eastAsia="zh-CN" w:bidi="ar"/>
        </w:rPr>
        <w:t xml:space="preserve">（附项目团队人员一览表） </w:t>
      </w:r>
    </w:p>
    <w:p w14:paraId="56A2A982">
      <w:pPr>
        <w:spacing w:line="540" w:lineRule="exact"/>
        <w:ind w:firstLine="480" w:firstLineChars="200"/>
        <w:rPr>
          <w:rFonts w:hint="eastAsia" w:ascii="宋体" w:hAnsi="宋体"/>
          <w:color w:val="auto"/>
          <w:sz w:val="24"/>
          <w:u w:val="single"/>
        </w:rPr>
      </w:pPr>
      <w:r>
        <w:rPr>
          <w:rFonts w:hint="eastAsia" w:ascii="宋体" w:hAnsi="宋体"/>
          <w:color w:val="auto"/>
          <w:sz w:val="24"/>
        </w:rPr>
        <w:t>3.1.2 项目负责人为：</w:t>
      </w:r>
      <w:r>
        <w:rPr>
          <w:rFonts w:hint="eastAsia" w:ascii="宋体" w:hAnsi="宋体"/>
          <w:color w:val="auto"/>
          <w:sz w:val="24"/>
          <w:u w:val="single"/>
        </w:rPr>
        <w:t xml:space="preserve">        </w:t>
      </w:r>
      <w:r>
        <w:rPr>
          <w:rFonts w:hint="eastAsia" w:ascii="宋体" w:hAnsi="宋体"/>
          <w:color w:val="auto"/>
          <w:sz w:val="24"/>
        </w:rPr>
        <w:t>，项目负责人为履行本合同的权限为：</w:t>
      </w:r>
      <w:r>
        <w:rPr>
          <w:rFonts w:hint="eastAsia" w:ascii="宋体" w:hAnsi="宋体"/>
          <w:color w:val="auto"/>
          <w:sz w:val="24"/>
          <w:u w:val="single"/>
        </w:rPr>
        <w:t>代表公司全权处理本</w:t>
      </w:r>
      <w:r>
        <w:rPr>
          <w:rFonts w:hint="eastAsia" w:ascii="宋体" w:hAnsi="宋体"/>
          <w:color w:val="auto"/>
          <w:sz w:val="24"/>
          <w:u w:val="single"/>
          <w:lang w:val="en-US" w:eastAsia="zh-CN"/>
        </w:rPr>
        <w:t>服务</w:t>
      </w:r>
      <w:r>
        <w:rPr>
          <w:rFonts w:hint="eastAsia" w:ascii="宋体" w:hAnsi="宋体"/>
          <w:color w:val="auto"/>
          <w:sz w:val="24"/>
          <w:u w:val="single"/>
        </w:rPr>
        <w:t>所有事宜</w:t>
      </w:r>
      <w:r>
        <w:rPr>
          <w:rFonts w:hint="eastAsia" w:ascii="宋体" w:hAnsi="宋体"/>
          <w:color w:val="auto"/>
          <w:sz w:val="24"/>
        </w:rPr>
        <w:t>。</w:t>
      </w:r>
    </w:p>
    <w:p w14:paraId="14A4845D">
      <w:pPr>
        <w:spacing w:line="540" w:lineRule="exact"/>
        <w:ind w:firstLine="480" w:firstLineChars="200"/>
        <w:rPr>
          <w:rFonts w:hint="eastAsia" w:ascii="宋体" w:hAnsi="宋体"/>
          <w:color w:val="auto"/>
          <w:sz w:val="24"/>
          <w:u w:val="single"/>
        </w:rPr>
      </w:pPr>
      <w:r>
        <w:rPr>
          <w:rFonts w:hint="eastAsia" w:ascii="宋体" w:hAnsi="宋体"/>
          <w:color w:val="auto"/>
          <w:sz w:val="24"/>
        </w:rPr>
        <w:t>3.1.3 咨询人更换项目咨询团队其他咨询人员的约定：</w:t>
      </w:r>
      <w:r>
        <w:rPr>
          <w:rFonts w:hint="eastAsia" w:ascii="宋体" w:hAnsi="宋体"/>
          <w:color w:val="auto"/>
          <w:sz w:val="24"/>
          <w:u w:val="single"/>
        </w:rPr>
        <w:t>未经委托人同意不得私自更换项目咨询团队其他咨询人员</w:t>
      </w:r>
      <w:r>
        <w:rPr>
          <w:rFonts w:hint="eastAsia" w:ascii="宋体" w:hAnsi="宋体"/>
          <w:color w:val="auto"/>
          <w:sz w:val="24"/>
        </w:rPr>
        <w:t>。</w:t>
      </w:r>
    </w:p>
    <w:p w14:paraId="33B5DFCD">
      <w:pPr>
        <w:spacing w:line="540" w:lineRule="exact"/>
        <w:ind w:firstLine="480" w:firstLineChars="200"/>
        <w:rPr>
          <w:rFonts w:hint="eastAsia" w:ascii="宋体" w:hAnsi="宋体"/>
          <w:color w:val="auto"/>
          <w:sz w:val="24"/>
          <w:u w:val="single"/>
        </w:rPr>
      </w:pPr>
      <w:r>
        <w:rPr>
          <w:rFonts w:hint="eastAsia" w:ascii="宋体" w:hAnsi="宋体"/>
          <w:color w:val="auto"/>
          <w:sz w:val="24"/>
        </w:rPr>
        <w:t>3.1.4 委托人要求更换咨询人员的情形还包括：</w:t>
      </w:r>
      <w:r>
        <w:rPr>
          <w:rFonts w:hint="eastAsia" w:ascii="宋体" w:hAnsi="宋体"/>
          <w:color w:val="auto"/>
          <w:sz w:val="24"/>
          <w:u w:val="single"/>
        </w:rPr>
        <w:t>项目咨询人员因其他原因不能胜任本次</w:t>
      </w:r>
      <w:r>
        <w:rPr>
          <w:rFonts w:hint="eastAsia" w:ascii="宋体" w:hAnsi="宋体"/>
          <w:color w:val="auto"/>
          <w:sz w:val="24"/>
          <w:u w:val="single"/>
          <w:lang w:val="en-US" w:eastAsia="zh-CN"/>
        </w:rPr>
        <w:t>服务</w:t>
      </w:r>
      <w:r>
        <w:rPr>
          <w:rFonts w:hint="eastAsia" w:ascii="宋体" w:hAnsi="宋体"/>
          <w:color w:val="auto"/>
          <w:sz w:val="24"/>
          <w:u w:val="single"/>
        </w:rPr>
        <w:t>任务</w:t>
      </w:r>
      <w:r>
        <w:rPr>
          <w:rFonts w:hint="eastAsia" w:ascii="宋体" w:hAnsi="宋体"/>
          <w:color w:val="auto"/>
          <w:sz w:val="24"/>
        </w:rPr>
        <w:t>。</w:t>
      </w:r>
    </w:p>
    <w:p w14:paraId="6E3AA9FE">
      <w:pPr>
        <w:spacing w:line="540" w:lineRule="exact"/>
        <w:ind w:firstLine="480" w:firstLineChars="200"/>
        <w:rPr>
          <w:rFonts w:hint="eastAsia" w:ascii="宋体" w:hAnsi="宋体"/>
          <w:color w:val="auto"/>
          <w:sz w:val="24"/>
        </w:rPr>
      </w:pPr>
      <w:r>
        <w:rPr>
          <w:rFonts w:hint="eastAsia" w:ascii="宋体" w:hAnsi="宋体"/>
          <w:color w:val="auto"/>
          <w:sz w:val="24"/>
        </w:rPr>
        <w:t xml:space="preserve"> 3.2 咨询人的工作要求</w:t>
      </w:r>
    </w:p>
    <w:p w14:paraId="1555949F">
      <w:pPr>
        <w:spacing w:line="540" w:lineRule="exact"/>
        <w:ind w:firstLine="480" w:firstLineChars="200"/>
        <w:rPr>
          <w:rFonts w:hint="eastAsia" w:ascii="宋体" w:hAnsi="宋体"/>
          <w:color w:val="auto"/>
          <w:sz w:val="24"/>
        </w:rPr>
      </w:pPr>
      <w:r>
        <w:rPr>
          <w:rFonts w:hint="eastAsia" w:ascii="宋体" w:hAnsi="宋体"/>
          <w:color w:val="auto"/>
          <w:sz w:val="24"/>
        </w:rPr>
        <w:t>3.2.1 咨询人向委托人提供有关资料的时间：</w:t>
      </w:r>
      <w:r>
        <w:rPr>
          <w:rFonts w:hint="eastAsia" w:ascii="宋体" w:hAnsi="宋体"/>
          <w:color w:val="auto"/>
          <w:sz w:val="24"/>
          <w:u w:val="single"/>
        </w:rPr>
        <w:t>本合同截止日前</w:t>
      </w:r>
      <w:r>
        <w:rPr>
          <w:rFonts w:hint="eastAsia" w:ascii="宋体" w:hAnsi="宋体"/>
          <w:color w:val="auto"/>
          <w:sz w:val="24"/>
        </w:rPr>
        <w:t>。</w:t>
      </w:r>
    </w:p>
    <w:p w14:paraId="2D64E730">
      <w:pPr>
        <w:spacing w:line="540" w:lineRule="exact"/>
        <w:ind w:firstLine="200"/>
        <w:rPr>
          <w:rFonts w:hint="eastAsia" w:ascii="宋体" w:hAnsi="宋体"/>
          <w:color w:val="auto"/>
          <w:sz w:val="24"/>
        </w:rPr>
      </w:pPr>
      <w:r>
        <w:rPr>
          <w:rFonts w:hint="eastAsia" w:ascii="宋体" w:hAnsi="宋体"/>
          <w:color w:val="auto"/>
          <w:sz w:val="24"/>
        </w:rPr>
        <w:t>咨询人向委托人提供的资料还包括：</w:t>
      </w:r>
      <w:r>
        <w:rPr>
          <w:rFonts w:hint="eastAsia" w:ascii="宋体" w:hAnsi="宋体"/>
          <w:color w:val="auto"/>
          <w:sz w:val="24"/>
          <w:u w:val="single"/>
        </w:rPr>
        <w:t>与本</w:t>
      </w:r>
      <w:r>
        <w:rPr>
          <w:rFonts w:hint="eastAsia" w:ascii="宋体" w:hAnsi="宋体"/>
          <w:color w:val="auto"/>
          <w:sz w:val="24"/>
          <w:u w:val="single"/>
          <w:lang w:val="en-US" w:eastAsia="zh-CN"/>
        </w:rPr>
        <w:t>项目</w:t>
      </w:r>
      <w:r>
        <w:rPr>
          <w:rFonts w:hint="eastAsia" w:ascii="宋体" w:hAnsi="宋体"/>
          <w:color w:val="auto"/>
          <w:sz w:val="24"/>
          <w:u w:val="single"/>
        </w:rPr>
        <w:t>相关的所有成果文件</w:t>
      </w:r>
      <w:r>
        <w:rPr>
          <w:rFonts w:hint="eastAsia" w:ascii="宋体" w:hAnsi="宋体"/>
          <w:color w:val="auto"/>
          <w:sz w:val="24"/>
        </w:rPr>
        <w:t>。</w:t>
      </w:r>
    </w:p>
    <w:p w14:paraId="043BC7CF">
      <w:pPr>
        <w:spacing w:line="540" w:lineRule="exact"/>
        <w:ind w:firstLine="480" w:firstLineChars="200"/>
        <w:rPr>
          <w:rFonts w:hint="eastAsia" w:ascii="宋体" w:hAnsi="宋体"/>
          <w:color w:val="auto"/>
          <w:sz w:val="24"/>
          <w:u w:val="single"/>
        </w:rPr>
      </w:pPr>
      <w:r>
        <w:rPr>
          <w:rFonts w:hint="eastAsia" w:ascii="宋体" w:hAnsi="宋体"/>
          <w:color w:val="auto"/>
          <w:sz w:val="24"/>
        </w:rPr>
        <w:t>3.2.2 咨询人向委托人提供咨询成果文件的名称、组成、时间、份数及质量标准：</w:t>
      </w:r>
      <w:r>
        <w:rPr>
          <w:rFonts w:hint="eastAsia" w:ascii="宋体" w:hAnsi="宋体"/>
          <w:color w:val="auto"/>
          <w:sz w:val="24"/>
          <w:u w:val="single"/>
        </w:rPr>
        <w:t>在委托人要求的时间内按委托人要求的份数提供符合国家规定的本工程成果文件</w:t>
      </w:r>
      <w:r>
        <w:rPr>
          <w:rFonts w:hint="eastAsia" w:ascii="宋体" w:hAnsi="宋体"/>
          <w:color w:val="auto"/>
          <w:sz w:val="24"/>
        </w:rPr>
        <w:t>。</w:t>
      </w:r>
    </w:p>
    <w:p w14:paraId="1B1BAF10">
      <w:pPr>
        <w:spacing w:line="540" w:lineRule="exact"/>
        <w:ind w:firstLine="240" w:firstLineChars="100"/>
        <w:rPr>
          <w:rFonts w:hint="eastAsia" w:ascii="宋体" w:hAnsi="宋体"/>
          <w:color w:val="auto"/>
          <w:sz w:val="24"/>
        </w:rPr>
      </w:pPr>
      <w:r>
        <w:rPr>
          <w:rFonts w:hint="eastAsia" w:ascii="宋体" w:hAnsi="宋体"/>
          <w:color w:val="auto"/>
          <w:sz w:val="24"/>
        </w:rPr>
        <w:t>3.2.4 咨询人应在收到委托人以书面形式提出的建议或者异议</w:t>
      </w:r>
      <w:r>
        <w:rPr>
          <w:rFonts w:hint="eastAsia" w:ascii="宋体" w:hAnsi="宋体"/>
          <w:color w:val="auto"/>
          <w:sz w:val="24"/>
          <w:u w:val="single"/>
          <w:lang w:val="en-US" w:eastAsia="zh-CN"/>
        </w:rPr>
        <w:t xml:space="preserve">   </w:t>
      </w:r>
      <w:r>
        <w:rPr>
          <w:rFonts w:hint="eastAsia" w:ascii="宋体" w:hAnsi="宋体"/>
          <w:color w:val="auto"/>
          <w:sz w:val="24"/>
        </w:rPr>
        <w:t>日内给予书面答复。</w:t>
      </w:r>
    </w:p>
    <w:p w14:paraId="0E10A123">
      <w:pPr>
        <w:spacing w:line="540" w:lineRule="exact"/>
        <w:ind w:firstLine="480" w:firstLineChars="200"/>
        <w:rPr>
          <w:rFonts w:hint="eastAsia" w:ascii="宋体" w:hAnsi="宋体"/>
          <w:color w:val="auto"/>
          <w:sz w:val="24"/>
        </w:rPr>
      </w:pPr>
      <w:r>
        <w:rPr>
          <w:rFonts w:hint="eastAsia" w:ascii="宋体" w:hAnsi="宋体"/>
          <w:color w:val="auto"/>
          <w:sz w:val="24"/>
        </w:rPr>
        <w:t>3.3 咨询人的工作依据</w:t>
      </w:r>
    </w:p>
    <w:p w14:paraId="2A702D95">
      <w:pPr>
        <w:spacing w:line="540" w:lineRule="exact"/>
        <w:ind w:firstLine="480" w:firstLineChars="200"/>
        <w:rPr>
          <w:rFonts w:hint="eastAsia" w:ascii="宋体" w:hAnsi="宋体"/>
          <w:color w:val="auto"/>
          <w:sz w:val="24"/>
        </w:rPr>
      </w:pPr>
      <w:r>
        <w:rPr>
          <w:rFonts w:hint="eastAsia" w:ascii="宋体" w:hAnsi="宋体"/>
          <w:color w:val="auto"/>
          <w:sz w:val="24"/>
        </w:rPr>
        <w:t>经双方协商，本合同约定的造价咨询服务适用的技术标准、规范、定额等工作依据为：</w:t>
      </w:r>
      <w:r>
        <w:rPr>
          <w:rFonts w:hint="eastAsia" w:ascii="宋体" w:hAnsi="宋体"/>
          <w:color w:val="auto"/>
          <w:sz w:val="24"/>
          <w:u w:val="single"/>
        </w:rPr>
        <w:t>国家相关法律、法规及地方标准规范文件</w:t>
      </w:r>
      <w:r>
        <w:rPr>
          <w:rFonts w:hint="eastAsia" w:ascii="宋体" w:hAnsi="宋体"/>
          <w:color w:val="auto"/>
          <w:sz w:val="24"/>
        </w:rPr>
        <w:t>。</w:t>
      </w:r>
    </w:p>
    <w:p w14:paraId="0413632D">
      <w:pPr>
        <w:spacing w:line="540" w:lineRule="exact"/>
        <w:ind w:firstLine="480" w:firstLineChars="200"/>
        <w:rPr>
          <w:rFonts w:hint="eastAsia" w:ascii="宋体" w:hAnsi="宋体"/>
          <w:color w:val="auto"/>
          <w:sz w:val="24"/>
        </w:rPr>
      </w:pPr>
      <w:r>
        <w:rPr>
          <w:rFonts w:hint="eastAsia" w:ascii="宋体" w:hAnsi="宋体"/>
          <w:color w:val="auto"/>
          <w:sz w:val="24"/>
        </w:rPr>
        <w:t>3.4 使用委托人房屋及设备的返还</w:t>
      </w:r>
    </w:p>
    <w:p w14:paraId="29E3B876">
      <w:pPr>
        <w:spacing w:line="540" w:lineRule="exact"/>
        <w:ind w:firstLine="480" w:firstLineChars="200"/>
        <w:rPr>
          <w:rFonts w:hint="eastAsia" w:ascii="宋体" w:hAnsi="宋体"/>
          <w:color w:val="auto"/>
          <w:sz w:val="24"/>
          <w:u w:val="single"/>
        </w:rPr>
      </w:pPr>
      <w:r>
        <w:rPr>
          <w:rFonts w:hint="eastAsia" w:ascii="宋体" w:hAnsi="宋体"/>
          <w:color w:val="auto"/>
          <w:sz w:val="24"/>
        </w:rPr>
        <w:t>咨询人应在本合同终止后</w:t>
      </w:r>
      <w:r>
        <w:rPr>
          <w:rFonts w:hint="eastAsia" w:ascii="宋体" w:hAnsi="宋体"/>
          <w:color w:val="auto"/>
          <w:sz w:val="24"/>
          <w:u w:val="single"/>
        </w:rPr>
        <w:t>7</w:t>
      </w:r>
      <w:r>
        <w:rPr>
          <w:rFonts w:hint="eastAsia" w:ascii="宋体" w:hAnsi="宋体"/>
          <w:color w:val="auto"/>
          <w:sz w:val="24"/>
        </w:rPr>
        <w:t>日内移交委托人提供的房屋及设备，移交的方式为</w:t>
      </w:r>
      <w:r>
        <w:rPr>
          <w:rFonts w:hint="eastAsia" w:ascii="宋体" w:hAnsi="宋体"/>
          <w:color w:val="auto"/>
          <w:sz w:val="24"/>
          <w:u w:val="single"/>
        </w:rPr>
        <w:t>双方签订书面移交记录</w:t>
      </w:r>
      <w:r>
        <w:rPr>
          <w:rFonts w:hint="eastAsia" w:ascii="宋体" w:hAnsi="宋体"/>
          <w:color w:val="auto"/>
          <w:sz w:val="24"/>
        </w:rPr>
        <w:t>。</w:t>
      </w:r>
    </w:p>
    <w:p w14:paraId="2527C6F0">
      <w:pPr>
        <w:spacing w:line="540" w:lineRule="exact"/>
        <w:ind w:firstLine="482" w:firstLineChars="200"/>
        <w:rPr>
          <w:rFonts w:hint="eastAsia" w:ascii="宋体" w:hAnsi="宋体"/>
          <w:b/>
          <w:color w:val="auto"/>
          <w:sz w:val="24"/>
        </w:rPr>
      </w:pPr>
      <w:r>
        <w:rPr>
          <w:rFonts w:hint="eastAsia" w:ascii="宋体" w:hAnsi="宋体"/>
          <w:b/>
          <w:color w:val="auto"/>
          <w:sz w:val="24"/>
        </w:rPr>
        <w:t>4. 违约责任</w:t>
      </w:r>
    </w:p>
    <w:p w14:paraId="74DE9516">
      <w:pPr>
        <w:spacing w:line="540" w:lineRule="exact"/>
        <w:ind w:firstLine="480" w:firstLineChars="200"/>
        <w:rPr>
          <w:rFonts w:hint="eastAsia" w:ascii="宋体" w:hAnsi="宋体"/>
          <w:color w:val="auto"/>
          <w:sz w:val="24"/>
        </w:rPr>
      </w:pPr>
      <w:r>
        <w:rPr>
          <w:rFonts w:hint="eastAsia" w:ascii="宋体" w:hAnsi="宋体"/>
          <w:color w:val="auto"/>
          <w:sz w:val="24"/>
        </w:rPr>
        <w:t>4.1 委托人的违约责任</w:t>
      </w:r>
    </w:p>
    <w:p w14:paraId="57EE3FE1">
      <w:pPr>
        <w:spacing w:line="540" w:lineRule="exact"/>
        <w:ind w:firstLine="480" w:firstLineChars="200"/>
        <w:rPr>
          <w:rFonts w:hint="eastAsia" w:ascii="宋体" w:hAnsi="宋体"/>
          <w:color w:val="auto"/>
          <w:sz w:val="24"/>
          <w:u w:val="single"/>
        </w:rPr>
      </w:pPr>
      <w:r>
        <w:rPr>
          <w:rFonts w:hint="eastAsia" w:ascii="宋体" w:hAnsi="宋体"/>
          <w:color w:val="auto"/>
          <w:sz w:val="24"/>
        </w:rPr>
        <w:t>4.1.1 委托人违约金的计算及支付方法：</w:t>
      </w:r>
      <w:r>
        <w:rPr>
          <w:rFonts w:hint="eastAsia" w:ascii="宋体" w:hAnsi="宋体"/>
          <w:color w:val="auto"/>
          <w:sz w:val="24"/>
          <w:u w:val="single"/>
        </w:rPr>
        <w:t>双方约定</w:t>
      </w:r>
      <w:r>
        <w:rPr>
          <w:rFonts w:hint="eastAsia" w:ascii="宋体" w:hAnsi="宋体"/>
          <w:color w:val="auto"/>
          <w:sz w:val="24"/>
        </w:rPr>
        <w:t>。</w:t>
      </w:r>
    </w:p>
    <w:p w14:paraId="5F64B1DD">
      <w:pPr>
        <w:spacing w:line="540" w:lineRule="exact"/>
        <w:ind w:firstLine="480" w:firstLineChars="200"/>
        <w:rPr>
          <w:rFonts w:hint="eastAsia" w:ascii="宋体" w:hAnsi="宋体"/>
          <w:color w:val="auto"/>
          <w:sz w:val="24"/>
          <w:u w:val="single"/>
        </w:rPr>
      </w:pPr>
      <w:r>
        <w:rPr>
          <w:rFonts w:hint="eastAsia" w:ascii="宋体" w:hAnsi="宋体"/>
          <w:color w:val="auto"/>
          <w:sz w:val="24"/>
        </w:rPr>
        <w:t>4.1.2 委托人赔偿金额按下列方法确定并支付：</w:t>
      </w:r>
      <w:r>
        <w:rPr>
          <w:rFonts w:hint="eastAsia" w:ascii="宋体" w:hAnsi="宋体"/>
          <w:color w:val="auto"/>
          <w:sz w:val="24"/>
          <w:u w:val="single"/>
        </w:rPr>
        <w:t>双方约定</w:t>
      </w:r>
      <w:r>
        <w:rPr>
          <w:rFonts w:hint="eastAsia" w:ascii="宋体" w:hAnsi="宋体"/>
          <w:color w:val="auto"/>
          <w:sz w:val="24"/>
        </w:rPr>
        <w:t>。</w:t>
      </w:r>
    </w:p>
    <w:p w14:paraId="3F102098">
      <w:pPr>
        <w:spacing w:line="540" w:lineRule="exact"/>
        <w:ind w:firstLine="480" w:firstLineChars="200"/>
        <w:rPr>
          <w:rFonts w:hint="eastAsia" w:ascii="宋体" w:hAnsi="宋体"/>
          <w:color w:val="auto"/>
          <w:sz w:val="24"/>
          <w:u w:val="single"/>
        </w:rPr>
      </w:pPr>
      <w:r>
        <w:rPr>
          <w:rFonts w:hint="eastAsia" w:ascii="宋体" w:hAnsi="宋体"/>
          <w:color w:val="auto"/>
          <w:sz w:val="24"/>
        </w:rPr>
        <w:t>4.1.3 委托人逾期付款利息按下列方法计算并支付：</w:t>
      </w:r>
      <w:r>
        <w:rPr>
          <w:rFonts w:hint="eastAsia" w:ascii="宋体" w:hAnsi="宋体"/>
          <w:color w:val="auto"/>
          <w:sz w:val="24"/>
          <w:u w:val="single"/>
        </w:rPr>
        <w:t>双方约定</w:t>
      </w:r>
      <w:r>
        <w:rPr>
          <w:rFonts w:hint="eastAsia" w:ascii="宋体" w:hAnsi="宋体"/>
          <w:color w:val="auto"/>
          <w:sz w:val="24"/>
        </w:rPr>
        <w:t>。</w:t>
      </w:r>
    </w:p>
    <w:p w14:paraId="41418B52">
      <w:pPr>
        <w:spacing w:line="540" w:lineRule="exact"/>
        <w:ind w:firstLine="480" w:firstLineChars="200"/>
        <w:rPr>
          <w:rFonts w:hint="eastAsia" w:ascii="宋体" w:hAnsi="宋体"/>
          <w:color w:val="auto"/>
          <w:sz w:val="24"/>
        </w:rPr>
      </w:pPr>
      <w:r>
        <w:rPr>
          <w:rFonts w:hint="eastAsia" w:ascii="宋体" w:hAnsi="宋体"/>
          <w:color w:val="auto"/>
          <w:sz w:val="24"/>
        </w:rPr>
        <w:t>4.2 咨询人的违约责任</w:t>
      </w:r>
    </w:p>
    <w:p w14:paraId="39BDB9A6">
      <w:pPr>
        <w:spacing w:line="560" w:lineRule="exact"/>
        <w:ind w:firstLine="480" w:firstLineChars="200"/>
        <w:rPr>
          <w:rFonts w:hint="eastAsia" w:ascii="宋体" w:hAnsi="宋体"/>
          <w:color w:val="auto"/>
          <w:sz w:val="24"/>
          <w:u w:val="single"/>
        </w:rPr>
      </w:pPr>
      <w:r>
        <w:rPr>
          <w:rFonts w:hint="eastAsia" w:ascii="宋体" w:hAnsi="宋体"/>
          <w:color w:val="auto"/>
          <w:sz w:val="24"/>
        </w:rPr>
        <w:t>4.2.1 咨询人违约金的计算及支付方法：</w:t>
      </w:r>
      <w:r>
        <w:rPr>
          <w:rFonts w:hint="eastAsia" w:ascii="宋体" w:hAnsi="宋体"/>
          <w:color w:val="auto"/>
          <w:sz w:val="24"/>
          <w:u w:val="single"/>
        </w:rPr>
        <w:t>因咨询人原因违约，扣减咨询人酬金，最高不超咨询人已完成本项目造价咨询服务部分酬金的20%，并接受行政处罚</w:t>
      </w:r>
      <w:r>
        <w:rPr>
          <w:rFonts w:hint="eastAsia" w:ascii="宋体" w:hAnsi="宋体"/>
          <w:color w:val="auto"/>
          <w:sz w:val="24"/>
        </w:rPr>
        <w:t>。</w:t>
      </w:r>
    </w:p>
    <w:p w14:paraId="46507A86">
      <w:pPr>
        <w:spacing w:line="560" w:lineRule="exact"/>
        <w:ind w:firstLine="480" w:firstLineChars="200"/>
        <w:rPr>
          <w:rFonts w:hint="eastAsia" w:ascii="宋体" w:hAnsi="宋体"/>
          <w:color w:val="auto"/>
          <w:sz w:val="24"/>
        </w:rPr>
      </w:pPr>
      <w:r>
        <w:rPr>
          <w:rFonts w:hint="eastAsia" w:ascii="宋体" w:hAnsi="宋体"/>
          <w:color w:val="auto"/>
          <w:sz w:val="24"/>
        </w:rPr>
        <w:t>4.2.2 咨询人赔偿金额按下列方法确定并支付：</w:t>
      </w:r>
      <w:r>
        <w:rPr>
          <w:rFonts w:hint="eastAsia" w:ascii="宋体" w:hAnsi="宋体"/>
          <w:color w:val="auto"/>
          <w:sz w:val="24"/>
          <w:u w:val="single"/>
        </w:rPr>
        <w:t>程造价咨询人违约且造成委托人实质性经济损失的，同意按以下办法承担责任，赔偿损失：赔偿金=直接经济损失×酬金比率（含税金）。处罚及赔偿费用从咨询人造价咨询服务费中扣除，最高不超过合同酬金金额</w:t>
      </w:r>
      <w:r>
        <w:rPr>
          <w:rFonts w:hint="eastAsia" w:ascii="宋体" w:hAnsi="宋体"/>
          <w:color w:val="auto"/>
          <w:sz w:val="24"/>
          <w:u w:val="single"/>
          <w:lang w:eastAsia="zh-CN"/>
        </w:rPr>
        <w:t>的</w:t>
      </w:r>
      <w:r>
        <w:rPr>
          <w:rFonts w:hint="eastAsia" w:ascii="宋体" w:hAnsi="宋体"/>
          <w:color w:val="auto"/>
          <w:sz w:val="24"/>
          <w:u w:val="single"/>
          <w:lang w:val="en-US" w:eastAsia="zh-CN"/>
        </w:rPr>
        <w:t>20%</w:t>
      </w:r>
      <w:r>
        <w:rPr>
          <w:rFonts w:hint="eastAsia" w:ascii="宋体" w:hAnsi="宋体"/>
          <w:color w:val="auto"/>
          <w:sz w:val="24"/>
          <w:u w:val="single"/>
        </w:rPr>
        <w:t>。</w:t>
      </w:r>
    </w:p>
    <w:p w14:paraId="3E4DD89E">
      <w:pPr>
        <w:spacing w:line="540" w:lineRule="exact"/>
        <w:ind w:firstLine="482" w:firstLineChars="200"/>
        <w:rPr>
          <w:rFonts w:hint="eastAsia" w:ascii="宋体" w:hAnsi="宋体"/>
          <w:b/>
          <w:color w:val="auto"/>
          <w:sz w:val="24"/>
        </w:rPr>
      </w:pPr>
      <w:r>
        <w:rPr>
          <w:rFonts w:hint="eastAsia" w:ascii="宋体" w:hAnsi="宋体"/>
          <w:b/>
          <w:color w:val="auto"/>
          <w:sz w:val="24"/>
        </w:rPr>
        <w:t>5. 支付</w:t>
      </w:r>
    </w:p>
    <w:p w14:paraId="6C0B5D29">
      <w:pPr>
        <w:spacing w:line="540" w:lineRule="exact"/>
        <w:ind w:firstLine="480" w:firstLineChars="200"/>
        <w:rPr>
          <w:rFonts w:hint="eastAsia" w:ascii="宋体" w:hAnsi="宋体"/>
          <w:color w:val="auto"/>
          <w:sz w:val="24"/>
        </w:rPr>
      </w:pPr>
      <w:r>
        <w:rPr>
          <w:rFonts w:hint="eastAsia" w:ascii="宋体" w:hAnsi="宋体"/>
          <w:color w:val="auto"/>
          <w:sz w:val="24"/>
        </w:rPr>
        <w:t>5.1 支付货币</w:t>
      </w:r>
    </w:p>
    <w:p w14:paraId="305B802A">
      <w:pPr>
        <w:spacing w:line="540" w:lineRule="exact"/>
        <w:ind w:firstLine="480" w:firstLineChars="200"/>
        <w:rPr>
          <w:rFonts w:hint="eastAsia" w:ascii="宋体" w:hAnsi="宋体"/>
          <w:color w:val="auto"/>
          <w:sz w:val="24"/>
        </w:rPr>
      </w:pPr>
      <w:r>
        <w:rPr>
          <w:rFonts w:hint="eastAsia" w:ascii="宋体" w:hAnsi="宋体"/>
          <w:color w:val="auto"/>
          <w:sz w:val="24"/>
        </w:rPr>
        <w:t>币种为：</w:t>
      </w:r>
      <w:r>
        <w:rPr>
          <w:rFonts w:hint="eastAsia" w:ascii="宋体" w:hAnsi="宋体"/>
          <w:color w:val="auto"/>
          <w:sz w:val="24"/>
          <w:u w:val="single"/>
        </w:rPr>
        <w:t>人民币</w:t>
      </w:r>
      <w:r>
        <w:rPr>
          <w:rFonts w:hint="eastAsia" w:ascii="宋体" w:hAnsi="宋体"/>
          <w:color w:val="auto"/>
          <w:sz w:val="24"/>
        </w:rPr>
        <w:t>。汇率为：</w:t>
      </w:r>
      <w:r>
        <w:rPr>
          <w:rFonts w:hint="eastAsia" w:ascii="宋体" w:hAnsi="宋体"/>
          <w:color w:val="auto"/>
          <w:sz w:val="24"/>
          <w:u w:val="single"/>
        </w:rPr>
        <w:t xml:space="preserve"> 无 </w:t>
      </w:r>
      <w:r>
        <w:rPr>
          <w:rFonts w:hint="eastAsia" w:ascii="宋体" w:hAnsi="宋体"/>
          <w:color w:val="auto"/>
          <w:sz w:val="24"/>
        </w:rPr>
        <w:t>，其他约定：</w:t>
      </w:r>
      <w:r>
        <w:rPr>
          <w:rFonts w:hint="eastAsia" w:ascii="宋体" w:hAnsi="宋体"/>
          <w:color w:val="auto"/>
          <w:sz w:val="24"/>
          <w:u w:val="single"/>
        </w:rPr>
        <w:t xml:space="preserve"> 无  </w:t>
      </w:r>
      <w:r>
        <w:rPr>
          <w:rFonts w:hint="eastAsia" w:ascii="宋体" w:hAnsi="宋体"/>
          <w:color w:val="auto"/>
          <w:sz w:val="24"/>
        </w:rPr>
        <w:t>。</w:t>
      </w:r>
    </w:p>
    <w:p w14:paraId="2F6FD420">
      <w:pPr>
        <w:spacing w:line="540" w:lineRule="exact"/>
        <w:ind w:firstLine="480" w:firstLineChars="200"/>
        <w:rPr>
          <w:rFonts w:hint="default" w:ascii="宋体" w:hAnsi="宋体" w:eastAsia="宋体" w:cs="宋体"/>
          <w:color w:val="auto"/>
          <w:kern w:val="0"/>
          <w:sz w:val="24"/>
          <w:szCs w:val="24"/>
          <w:highlight w:val="none"/>
          <w:u w:val="none"/>
          <w:lang w:val="en-US" w:eastAsia="zh-CN" w:bidi="ar"/>
        </w:rPr>
      </w:pPr>
      <w:r>
        <w:rPr>
          <w:rFonts w:hint="eastAsia" w:ascii="宋体" w:hAnsi="宋体"/>
          <w:color w:val="auto"/>
          <w:sz w:val="24"/>
          <w:highlight w:val="none"/>
        </w:rPr>
        <w:t xml:space="preserve">5.2 </w:t>
      </w:r>
      <w:r>
        <w:rPr>
          <w:rFonts w:hint="eastAsia" w:ascii="宋体" w:hAnsi="宋体"/>
          <w:strike w:val="0"/>
          <w:dstrike w:val="0"/>
          <w:color w:val="auto"/>
          <w:sz w:val="24"/>
          <w:highlight w:val="none"/>
          <w:u w:val="none"/>
        </w:rPr>
        <w:t>支</w:t>
      </w:r>
      <w:r>
        <w:rPr>
          <w:rFonts w:hint="eastAsia" w:ascii="宋体" w:hAnsi="宋体"/>
          <w:color w:val="auto"/>
          <w:sz w:val="24"/>
          <w:highlight w:val="none"/>
        </w:rPr>
        <w:t>付酬金</w:t>
      </w:r>
      <w:r>
        <w:rPr>
          <w:rFonts w:hint="eastAsia" w:ascii="宋体" w:hAnsi="宋体"/>
          <w:color w:val="auto"/>
          <w:sz w:val="24"/>
          <w:highlight w:val="none"/>
          <w:lang w:eastAsia="zh-CN"/>
        </w:rPr>
        <w:t>：</w:t>
      </w:r>
      <w:r>
        <w:rPr>
          <w:rFonts w:hint="eastAsia" w:ascii="宋体" w:hAnsi="宋体" w:cs="Times New Roman"/>
          <w:strike w:val="0"/>
          <w:dstrike w:val="0"/>
          <w:color w:val="auto"/>
          <w:sz w:val="24"/>
          <w:highlight w:val="none"/>
          <w:u w:val="single"/>
          <w:lang w:val="en-US" w:eastAsia="zh-CN"/>
        </w:rPr>
        <w:t>详见投标人须知前附表</w:t>
      </w:r>
    </w:p>
    <w:p w14:paraId="217848EF">
      <w:pPr>
        <w:spacing w:line="540" w:lineRule="exact"/>
        <w:ind w:firstLine="482" w:firstLineChars="200"/>
        <w:rPr>
          <w:rFonts w:hint="eastAsia" w:ascii="宋体" w:hAnsi="宋体"/>
          <w:b/>
          <w:color w:val="auto"/>
          <w:sz w:val="24"/>
        </w:rPr>
      </w:pPr>
      <w:r>
        <w:rPr>
          <w:rFonts w:hint="eastAsia" w:ascii="宋体" w:hAnsi="宋体"/>
          <w:b/>
          <w:color w:val="auto"/>
          <w:sz w:val="24"/>
        </w:rPr>
        <w:t>6. 合同变更、解除与终止</w:t>
      </w:r>
    </w:p>
    <w:p w14:paraId="24D474F5">
      <w:pPr>
        <w:spacing w:line="540" w:lineRule="exact"/>
        <w:ind w:firstLine="480" w:firstLineChars="200"/>
        <w:rPr>
          <w:rFonts w:hint="eastAsia" w:ascii="宋体" w:hAnsi="宋体"/>
          <w:color w:val="auto"/>
          <w:sz w:val="24"/>
        </w:rPr>
      </w:pPr>
      <w:r>
        <w:rPr>
          <w:rFonts w:hint="eastAsia" w:ascii="宋体" w:hAnsi="宋体"/>
          <w:color w:val="auto"/>
          <w:sz w:val="24"/>
        </w:rPr>
        <w:t>6.1 合同变更</w:t>
      </w:r>
    </w:p>
    <w:p w14:paraId="5C14D3DE">
      <w:pPr>
        <w:spacing w:line="540" w:lineRule="exact"/>
        <w:ind w:firstLine="480" w:firstLineChars="200"/>
        <w:rPr>
          <w:rFonts w:hint="eastAsia" w:ascii="宋体" w:hAnsi="宋体"/>
          <w:color w:val="auto"/>
          <w:sz w:val="24"/>
        </w:rPr>
      </w:pPr>
      <w:r>
        <w:rPr>
          <w:rFonts w:hint="eastAsia" w:ascii="宋体" w:hAnsi="宋体"/>
          <w:color w:val="auto"/>
          <w:sz w:val="24"/>
        </w:rPr>
        <w:t>6.1.2 除不可抗力外，因非咨询人原因导致本合同履行期限延长、内容增加时，附加工作酬金按下列方法确定：</w:t>
      </w:r>
      <w:r>
        <w:rPr>
          <w:rFonts w:hint="eastAsia" w:ascii="宋体" w:hAnsi="宋体"/>
          <w:color w:val="auto"/>
          <w:sz w:val="24"/>
          <w:u w:val="single"/>
          <w:lang w:val="en-US" w:eastAsia="zh-CN"/>
        </w:rPr>
        <w:t>双方约定</w:t>
      </w:r>
      <w:r>
        <w:rPr>
          <w:rFonts w:hint="eastAsia" w:ascii="宋体" w:hAnsi="宋体"/>
          <w:color w:val="auto"/>
          <w:sz w:val="24"/>
        </w:rPr>
        <w:t>。</w:t>
      </w:r>
    </w:p>
    <w:p w14:paraId="3C0E983D">
      <w:pPr>
        <w:spacing w:line="540" w:lineRule="exact"/>
        <w:ind w:firstLine="480" w:firstLineChars="200"/>
        <w:rPr>
          <w:rFonts w:hint="eastAsia" w:ascii="宋体" w:hAnsi="宋体"/>
          <w:color w:val="auto"/>
          <w:sz w:val="24"/>
        </w:rPr>
      </w:pPr>
      <w:r>
        <w:rPr>
          <w:rFonts w:hint="eastAsia" w:ascii="宋体" w:hAnsi="宋体"/>
          <w:color w:val="auto"/>
          <w:sz w:val="24"/>
        </w:rPr>
        <w:t>6.1.4 因工程规模、服务范围及内容的变化等导致咨询人的工作量增减时，服务酬金的调整方法：</w:t>
      </w:r>
      <w:r>
        <w:rPr>
          <w:rFonts w:hint="eastAsia" w:ascii="宋体" w:hAnsi="宋体"/>
          <w:color w:val="auto"/>
          <w:sz w:val="24"/>
          <w:u w:val="single"/>
          <w:lang w:val="en-US" w:eastAsia="zh-CN"/>
        </w:rPr>
        <w:t>双方约定</w:t>
      </w:r>
      <w:r>
        <w:rPr>
          <w:rFonts w:hint="eastAsia" w:ascii="宋体" w:hAnsi="宋体"/>
          <w:color w:val="auto"/>
          <w:sz w:val="24"/>
        </w:rPr>
        <w:t>。</w:t>
      </w:r>
    </w:p>
    <w:p w14:paraId="782CFC1F">
      <w:pPr>
        <w:spacing w:line="540" w:lineRule="exact"/>
        <w:ind w:firstLine="480" w:firstLineChars="200"/>
        <w:rPr>
          <w:rFonts w:hint="eastAsia" w:ascii="宋体" w:hAnsi="宋体"/>
          <w:color w:val="auto"/>
          <w:sz w:val="24"/>
        </w:rPr>
      </w:pPr>
      <w:r>
        <w:rPr>
          <w:rFonts w:hint="eastAsia" w:ascii="宋体" w:hAnsi="宋体"/>
          <w:color w:val="auto"/>
          <w:sz w:val="24"/>
        </w:rPr>
        <w:t>6.2 合同解除</w:t>
      </w:r>
    </w:p>
    <w:p w14:paraId="318B7771">
      <w:pPr>
        <w:spacing w:line="540" w:lineRule="exact"/>
        <w:ind w:firstLine="480" w:firstLineChars="200"/>
        <w:rPr>
          <w:rFonts w:hint="eastAsia" w:ascii="宋体" w:hAnsi="宋体"/>
          <w:color w:val="auto"/>
          <w:sz w:val="24"/>
        </w:rPr>
      </w:pPr>
      <w:r>
        <w:rPr>
          <w:rFonts w:hint="eastAsia" w:ascii="宋体" w:hAnsi="宋体"/>
          <w:color w:val="auto"/>
          <w:sz w:val="24"/>
        </w:rPr>
        <w:t>6.2.2 双方约定解除合同的条件还包括：</w:t>
      </w:r>
      <w:r>
        <w:rPr>
          <w:rFonts w:hint="eastAsia" w:ascii="宋体" w:hAnsi="宋体"/>
          <w:color w:val="auto"/>
          <w:sz w:val="24"/>
          <w:u w:val="single"/>
        </w:rPr>
        <w:t>无</w:t>
      </w:r>
      <w:r>
        <w:rPr>
          <w:rFonts w:hint="eastAsia" w:ascii="宋体" w:hAnsi="宋体"/>
          <w:color w:val="auto"/>
          <w:sz w:val="24"/>
        </w:rPr>
        <w:t>。</w:t>
      </w:r>
    </w:p>
    <w:p w14:paraId="530AF207">
      <w:pPr>
        <w:spacing w:line="540" w:lineRule="exact"/>
        <w:ind w:firstLine="200"/>
        <w:rPr>
          <w:rFonts w:hint="eastAsia" w:ascii="宋体" w:hAnsi="宋体"/>
          <w:color w:val="auto"/>
          <w:sz w:val="24"/>
          <w:u w:val="single"/>
        </w:rPr>
      </w:pPr>
      <w:r>
        <w:rPr>
          <w:rFonts w:hint="eastAsia" w:ascii="宋体" w:hAnsi="宋体"/>
          <w:color w:val="auto"/>
          <w:sz w:val="24"/>
        </w:rPr>
        <w:t>6.2.4 因不可抗力导致的合同解除，双方约定损失的分担如下：</w:t>
      </w:r>
      <w:r>
        <w:rPr>
          <w:rFonts w:hint="eastAsia" w:ascii="宋体" w:hAnsi="宋体"/>
          <w:color w:val="auto"/>
          <w:sz w:val="24"/>
          <w:u w:val="single"/>
        </w:rPr>
        <w:t>按国家相应规定执行</w:t>
      </w:r>
      <w:r>
        <w:rPr>
          <w:rFonts w:hint="eastAsia" w:ascii="宋体" w:hAnsi="宋体"/>
          <w:color w:val="auto"/>
          <w:sz w:val="24"/>
        </w:rPr>
        <w:t>。</w:t>
      </w:r>
    </w:p>
    <w:p w14:paraId="26841824">
      <w:pPr>
        <w:spacing w:line="540" w:lineRule="exact"/>
        <w:ind w:firstLine="482" w:firstLineChars="200"/>
        <w:rPr>
          <w:rFonts w:hint="eastAsia" w:ascii="宋体" w:hAnsi="宋体"/>
          <w:b/>
          <w:color w:val="auto"/>
          <w:sz w:val="24"/>
        </w:rPr>
      </w:pPr>
      <w:r>
        <w:rPr>
          <w:rFonts w:hint="eastAsia" w:ascii="宋体" w:hAnsi="宋体"/>
          <w:b/>
          <w:color w:val="auto"/>
          <w:sz w:val="24"/>
        </w:rPr>
        <w:t>7. 争议解决</w:t>
      </w:r>
    </w:p>
    <w:p w14:paraId="6F5D13FB">
      <w:pPr>
        <w:spacing w:line="540" w:lineRule="exact"/>
        <w:ind w:firstLine="480" w:firstLineChars="200"/>
        <w:rPr>
          <w:rFonts w:hint="eastAsia" w:ascii="宋体" w:hAnsi="宋体"/>
          <w:color w:val="auto"/>
          <w:sz w:val="24"/>
        </w:rPr>
      </w:pPr>
      <w:r>
        <w:rPr>
          <w:rFonts w:hint="eastAsia" w:ascii="宋体" w:hAnsi="宋体"/>
          <w:color w:val="auto"/>
          <w:sz w:val="24"/>
        </w:rPr>
        <w:t>7.2 调解</w:t>
      </w:r>
    </w:p>
    <w:p w14:paraId="6CD2FD07">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olor w:val="auto"/>
          <w:sz w:val="24"/>
        </w:rPr>
      </w:pPr>
      <w:r>
        <w:rPr>
          <w:rFonts w:hint="eastAsia" w:ascii="宋体" w:hAnsi="宋体"/>
          <w:color w:val="auto"/>
          <w:sz w:val="24"/>
        </w:rPr>
        <w:t>如果双方不能在</w:t>
      </w:r>
      <w:r>
        <w:rPr>
          <w:rFonts w:hint="eastAsia" w:ascii="宋体" w:hAnsi="宋体"/>
          <w:color w:val="auto"/>
          <w:sz w:val="24"/>
          <w:u w:val="single"/>
        </w:rPr>
        <w:t>30</w:t>
      </w:r>
      <w:r>
        <w:rPr>
          <w:rFonts w:hint="eastAsia" w:ascii="宋体" w:hAnsi="宋体"/>
          <w:color w:val="auto"/>
          <w:sz w:val="24"/>
        </w:rPr>
        <w:t>日内解决本合同争议，可以将其提交</w:t>
      </w:r>
      <w:r>
        <w:rPr>
          <w:rFonts w:hint="eastAsia" w:ascii="宋体" w:hAnsi="宋体"/>
          <w:color w:val="auto"/>
          <w:sz w:val="24"/>
          <w:u w:val="single"/>
        </w:rPr>
        <w:t>菏泽市仲裁委员会</w:t>
      </w:r>
      <w:r>
        <w:rPr>
          <w:rFonts w:hint="eastAsia" w:ascii="宋体" w:hAnsi="宋体"/>
          <w:color w:val="auto"/>
          <w:sz w:val="24"/>
        </w:rPr>
        <w:t>进行调解。</w:t>
      </w:r>
    </w:p>
    <w:p w14:paraId="36AF173A">
      <w:pPr>
        <w:spacing w:line="540" w:lineRule="exact"/>
        <w:ind w:firstLine="480" w:firstLineChars="200"/>
        <w:rPr>
          <w:rFonts w:hint="eastAsia" w:ascii="宋体" w:hAnsi="宋体"/>
          <w:color w:val="auto"/>
          <w:sz w:val="24"/>
        </w:rPr>
      </w:pPr>
      <w:r>
        <w:rPr>
          <w:rFonts w:hint="eastAsia" w:ascii="宋体" w:hAnsi="宋体"/>
          <w:color w:val="auto"/>
          <w:sz w:val="24"/>
        </w:rPr>
        <w:t>7.3 仲裁或诉讼</w:t>
      </w:r>
    </w:p>
    <w:p w14:paraId="7D11443B">
      <w:pPr>
        <w:spacing w:line="540" w:lineRule="exact"/>
        <w:ind w:firstLine="360" w:firstLineChars="150"/>
        <w:rPr>
          <w:rFonts w:hint="eastAsia" w:ascii="宋体" w:hAnsi="宋体" w:eastAsia="宋体"/>
          <w:color w:val="auto"/>
          <w:sz w:val="24"/>
          <w:highlight w:val="none"/>
        </w:rPr>
      </w:pPr>
      <w:r>
        <w:rPr>
          <w:rFonts w:hint="eastAsia" w:ascii="宋体" w:hAnsi="宋体"/>
          <w:color w:val="auto"/>
          <w:sz w:val="24"/>
          <w:highlight w:val="none"/>
        </w:rPr>
        <w:t>合同争议</w:t>
      </w:r>
      <w:r>
        <w:rPr>
          <w:rFonts w:hint="eastAsia" w:ascii="宋体" w:hAnsi="宋体" w:eastAsia="宋体"/>
          <w:color w:val="auto"/>
          <w:sz w:val="24"/>
          <w:highlight w:val="none"/>
        </w:rPr>
        <w:t>的最终解决方式为下列第（</w:t>
      </w:r>
      <w:r>
        <w:rPr>
          <w:rFonts w:hint="eastAsia" w:ascii="宋体" w:hAnsi="宋体" w:eastAsia="宋体"/>
          <w:color w:val="auto"/>
          <w:sz w:val="24"/>
          <w:highlight w:val="none"/>
          <w:lang w:val="en-US" w:eastAsia="zh-CN"/>
        </w:rPr>
        <w:t>2</w:t>
      </w:r>
      <w:r>
        <w:rPr>
          <w:rFonts w:hint="eastAsia" w:ascii="宋体" w:hAnsi="宋体" w:eastAsia="宋体"/>
          <w:color w:val="auto"/>
          <w:sz w:val="24"/>
          <w:highlight w:val="none"/>
        </w:rPr>
        <w:t>）种方式：</w:t>
      </w:r>
    </w:p>
    <w:p w14:paraId="0A3C998C">
      <w:pPr>
        <w:spacing w:line="540" w:lineRule="exact"/>
        <w:ind w:firstLine="360" w:firstLineChars="150"/>
        <w:rPr>
          <w:rFonts w:hint="eastAsia" w:ascii="宋体" w:hAnsi="宋体" w:eastAsia="宋体"/>
          <w:color w:val="auto"/>
          <w:sz w:val="24"/>
          <w:highlight w:val="none"/>
        </w:rPr>
      </w:pPr>
      <w:r>
        <w:rPr>
          <w:rFonts w:hint="eastAsia" w:ascii="宋体" w:hAnsi="宋体" w:eastAsia="宋体"/>
          <w:color w:val="auto"/>
          <w:sz w:val="24"/>
          <w:highlight w:val="none"/>
        </w:rPr>
        <w:t>（1）提请菏泽市仲裁委员会进行仲裁。</w:t>
      </w:r>
    </w:p>
    <w:p w14:paraId="01AA3D70">
      <w:pPr>
        <w:spacing w:line="540" w:lineRule="exact"/>
        <w:ind w:firstLine="360" w:firstLineChars="150"/>
        <w:rPr>
          <w:rFonts w:hint="eastAsia" w:ascii="宋体" w:hAnsi="宋体" w:eastAsia="宋体"/>
          <w:color w:val="auto"/>
          <w:sz w:val="24"/>
          <w:highlight w:val="none"/>
        </w:rPr>
      </w:pPr>
      <w:r>
        <w:rPr>
          <w:rFonts w:hint="eastAsia" w:ascii="宋体" w:hAnsi="宋体" w:eastAsia="宋体"/>
          <w:color w:val="auto"/>
          <w:sz w:val="24"/>
          <w:highlight w:val="none"/>
        </w:rPr>
        <w:t>（2）向工程所在地有管辖权的人民法院提起诉讼。</w:t>
      </w:r>
    </w:p>
    <w:p w14:paraId="75F7DA58">
      <w:pPr>
        <w:spacing w:line="540" w:lineRule="exact"/>
        <w:ind w:firstLine="482" w:firstLineChars="200"/>
        <w:rPr>
          <w:rFonts w:hint="eastAsia" w:ascii="宋体" w:hAnsi="宋体"/>
          <w:b/>
          <w:color w:val="auto"/>
          <w:sz w:val="24"/>
        </w:rPr>
      </w:pPr>
      <w:r>
        <w:rPr>
          <w:rFonts w:hint="eastAsia" w:ascii="宋体" w:hAnsi="宋体"/>
          <w:b/>
          <w:color w:val="auto"/>
          <w:sz w:val="24"/>
        </w:rPr>
        <w:t>8. 其他</w:t>
      </w:r>
    </w:p>
    <w:p w14:paraId="1523EBE3">
      <w:pPr>
        <w:spacing w:line="540" w:lineRule="exact"/>
        <w:ind w:firstLine="480" w:firstLineChars="200"/>
        <w:rPr>
          <w:rFonts w:hint="eastAsia" w:ascii="宋体" w:hAnsi="宋体"/>
          <w:color w:val="auto"/>
          <w:sz w:val="24"/>
        </w:rPr>
      </w:pPr>
      <w:r>
        <w:rPr>
          <w:rFonts w:hint="eastAsia" w:ascii="宋体" w:hAnsi="宋体"/>
          <w:color w:val="auto"/>
          <w:sz w:val="24"/>
        </w:rPr>
        <w:t>8.1 考察及相关费用</w:t>
      </w:r>
    </w:p>
    <w:p w14:paraId="23ECDA07">
      <w:pPr>
        <w:spacing w:line="540" w:lineRule="exact"/>
        <w:ind w:firstLine="480" w:firstLineChars="200"/>
        <w:rPr>
          <w:rFonts w:hint="eastAsia" w:ascii="宋体" w:hAnsi="宋体"/>
          <w:color w:val="auto"/>
          <w:sz w:val="24"/>
        </w:rPr>
      </w:pPr>
      <w:r>
        <w:rPr>
          <w:rFonts w:hint="eastAsia" w:ascii="宋体" w:hAnsi="宋体"/>
          <w:color w:val="auto"/>
          <w:sz w:val="24"/>
        </w:rPr>
        <w:t>咨询人经委托人同意进行考察发生的费用由</w:t>
      </w:r>
      <w:r>
        <w:rPr>
          <w:rFonts w:hint="eastAsia" w:ascii="宋体" w:hAnsi="宋体"/>
          <w:color w:val="auto"/>
          <w:sz w:val="24"/>
          <w:u w:val="single"/>
          <w:lang w:val="en-US" w:eastAsia="zh-CN"/>
        </w:rPr>
        <w:t xml:space="preserve">   /  </w:t>
      </w:r>
      <w:r>
        <w:rPr>
          <w:rFonts w:hint="eastAsia" w:ascii="宋体" w:hAnsi="宋体"/>
          <w:color w:val="auto"/>
          <w:sz w:val="24"/>
        </w:rPr>
        <w:t>支付。</w:t>
      </w:r>
    </w:p>
    <w:p w14:paraId="03AFD8A8">
      <w:pPr>
        <w:spacing w:line="540" w:lineRule="exact"/>
        <w:ind w:firstLine="480" w:firstLineChars="200"/>
        <w:rPr>
          <w:rFonts w:hint="eastAsia" w:ascii="宋体" w:hAnsi="宋体"/>
          <w:color w:val="auto"/>
          <w:sz w:val="24"/>
        </w:rPr>
      </w:pPr>
      <w:r>
        <w:rPr>
          <w:rFonts w:hint="eastAsia" w:ascii="宋体" w:hAnsi="宋体"/>
          <w:color w:val="auto"/>
          <w:sz w:val="24"/>
        </w:rPr>
        <w:t>差旅费及相关费用的支付：</w:t>
      </w:r>
      <w:r>
        <w:rPr>
          <w:rFonts w:hint="eastAsia" w:ascii="宋体" w:hAnsi="宋体"/>
          <w:color w:val="auto"/>
          <w:sz w:val="24"/>
          <w:u w:val="single"/>
          <w:lang w:val="en-US" w:eastAsia="zh-CN"/>
        </w:rPr>
        <w:t>/</w:t>
      </w:r>
      <w:r>
        <w:rPr>
          <w:rFonts w:hint="eastAsia" w:ascii="宋体" w:hAnsi="宋体"/>
          <w:color w:val="auto"/>
          <w:sz w:val="24"/>
        </w:rPr>
        <w:t>。</w:t>
      </w:r>
    </w:p>
    <w:p w14:paraId="6A336514">
      <w:pPr>
        <w:spacing w:line="540" w:lineRule="exact"/>
        <w:ind w:firstLine="480" w:firstLineChars="200"/>
        <w:rPr>
          <w:rFonts w:hint="eastAsia" w:ascii="宋体" w:hAnsi="宋体"/>
          <w:color w:val="auto"/>
          <w:sz w:val="24"/>
        </w:rPr>
      </w:pPr>
      <w:r>
        <w:rPr>
          <w:rFonts w:hint="eastAsia" w:ascii="宋体" w:hAnsi="宋体"/>
          <w:color w:val="auto"/>
          <w:sz w:val="24"/>
        </w:rPr>
        <w:t>8.2 奖励</w:t>
      </w:r>
    </w:p>
    <w:p w14:paraId="340ABCFB">
      <w:pPr>
        <w:spacing w:line="540" w:lineRule="exact"/>
        <w:ind w:firstLine="480" w:firstLineChars="200"/>
        <w:rPr>
          <w:rFonts w:hint="eastAsia" w:ascii="宋体" w:hAnsi="宋体"/>
          <w:color w:val="auto"/>
          <w:sz w:val="24"/>
        </w:rPr>
      </w:pPr>
      <w:r>
        <w:rPr>
          <w:rFonts w:hint="eastAsia" w:ascii="宋体" w:hAnsi="宋体"/>
          <w:color w:val="auto"/>
          <w:sz w:val="24"/>
        </w:rPr>
        <w:t>合理化建议的奖励金额按下列方法确定：</w:t>
      </w:r>
      <w:r>
        <w:rPr>
          <w:rFonts w:hint="eastAsia" w:ascii="宋体" w:hAnsi="宋体"/>
          <w:color w:val="auto"/>
          <w:sz w:val="24"/>
          <w:u w:val="single"/>
        </w:rPr>
        <w:t xml:space="preserve">双方约定 </w:t>
      </w:r>
      <w:r>
        <w:rPr>
          <w:rFonts w:hint="eastAsia" w:ascii="宋体" w:hAnsi="宋体"/>
          <w:color w:val="auto"/>
          <w:sz w:val="24"/>
        </w:rPr>
        <w:t>。</w:t>
      </w:r>
    </w:p>
    <w:p w14:paraId="2BE89306">
      <w:pPr>
        <w:spacing w:line="540" w:lineRule="exact"/>
        <w:ind w:firstLine="480" w:firstLineChars="200"/>
        <w:rPr>
          <w:rFonts w:hint="eastAsia" w:ascii="宋体" w:hAnsi="宋体"/>
          <w:color w:val="auto"/>
          <w:sz w:val="24"/>
        </w:rPr>
      </w:pPr>
      <w:r>
        <w:rPr>
          <w:rFonts w:hint="eastAsia" w:ascii="宋体" w:hAnsi="宋体"/>
          <w:color w:val="auto"/>
          <w:sz w:val="24"/>
        </w:rPr>
        <w:t>8.3 保密</w:t>
      </w:r>
    </w:p>
    <w:p w14:paraId="7D2DBC2E">
      <w:pPr>
        <w:spacing w:line="540" w:lineRule="exact"/>
        <w:ind w:firstLine="480" w:firstLineChars="200"/>
        <w:rPr>
          <w:rFonts w:hint="eastAsia" w:ascii="宋体" w:hAnsi="宋体"/>
          <w:color w:val="auto"/>
          <w:sz w:val="24"/>
        </w:rPr>
      </w:pPr>
      <w:r>
        <w:rPr>
          <w:rFonts w:hint="eastAsia" w:ascii="宋体" w:hAnsi="宋体"/>
          <w:color w:val="auto"/>
          <w:sz w:val="24"/>
        </w:rPr>
        <w:t>委托人申明的保密事项和期限：</w:t>
      </w:r>
      <w:r>
        <w:rPr>
          <w:rFonts w:hint="eastAsia" w:ascii="宋体" w:hAnsi="宋体"/>
          <w:color w:val="auto"/>
          <w:sz w:val="24"/>
          <w:u w:val="single"/>
        </w:rPr>
        <w:t xml:space="preserve">相关责任期内保密 </w:t>
      </w:r>
      <w:r>
        <w:rPr>
          <w:rFonts w:hint="eastAsia" w:ascii="宋体" w:hAnsi="宋体"/>
          <w:color w:val="auto"/>
          <w:sz w:val="24"/>
        </w:rPr>
        <w:t>。</w:t>
      </w:r>
    </w:p>
    <w:p w14:paraId="2E071C23">
      <w:pPr>
        <w:spacing w:line="540" w:lineRule="exact"/>
        <w:ind w:firstLine="480" w:firstLineChars="200"/>
        <w:rPr>
          <w:rFonts w:hint="eastAsia" w:ascii="宋体" w:hAnsi="宋体"/>
          <w:color w:val="auto"/>
          <w:sz w:val="24"/>
        </w:rPr>
      </w:pPr>
      <w:r>
        <w:rPr>
          <w:rFonts w:hint="eastAsia" w:ascii="宋体" w:hAnsi="宋体"/>
          <w:color w:val="auto"/>
          <w:sz w:val="24"/>
        </w:rPr>
        <w:t>咨询人申明的保密事项和期限：</w:t>
      </w:r>
      <w:r>
        <w:rPr>
          <w:rFonts w:hint="eastAsia" w:ascii="宋体" w:hAnsi="宋体"/>
          <w:color w:val="auto"/>
          <w:sz w:val="24"/>
          <w:u w:val="single"/>
        </w:rPr>
        <w:t>相关责任期内保密</w:t>
      </w:r>
      <w:r>
        <w:rPr>
          <w:rFonts w:hint="eastAsia" w:ascii="宋体" w:hAnsi="宋体"/>
          <w:color w:val="auto"/>
          <w:sz w:val="24"/>
        </w:rPr>
        <w:t>。</w:t>
      </w:r>
    </w:p>
    <w:p w14:paraId="3B83F200">
      <w:pPr>
        <w:spacing w:line="540" w:lineRule="exact"/>
        <w:ind w:firstLine="480" w:firstLineChars="200"/>
        <w:rPr>
          <w:rFonts w:hint="eastAsia" w:ascii="宋体" w:hAnsi="宋体"/>
          <w:color w:val="auto"/>
          <w:sz w:val="24"/>
        </w:rPr>
      </w:pPr>
      <w:r>
        <w:rPr>
          <w:rFonts w:hint="eastAsia" w:ascii="宋体" w:hAnsi="宋体"/>
          <w:color w:val="auto"/>
          <w:sz w:val="24"/>
        </w:rPr>
        <w:t>第三人申明的保密事项和期限：</w:t>
      </w:r>
      <w:r>
        <w:rPr>
          <w:rFonts w:hint="eastAsia" w:ascii="宋体" w:hAnsi="宋体"/>
          <w:color w:val="auto"/>
          <w:sz w:val="24"/>
          <w:u w:val="single"/>
        </w:rPr>
        <w:t>相关责任期内保密</w:t>
      </w:r>
      <w:r>
        <w:rPr>
          <w:rFonts w:hint="eastAsia" w:ascii="宋体" w:hAnsi="宋体"/>
          <w:color w:val="auto"/>
          <w:sz w:val="24"/>
        </w:rPr>
        <w:t>。</w:t>
      </w:r>
    </w:p>
    <w:p w14:paraId="5A7D3A5D">
      <w:pPr>
        <w:spacing w:line="540" w:lineRule="exact"/>
        <w:ind w:firstLine="480" w:firstLineChars="200"/>
        <w:rPr>
          <w:rFonts w:hint="eastAsia" w:ascii="宋体" w:hAnsi="宋体"/>
          <w:color w:val="auto"/>
          <w:sz w:val="24"/>
        </w:rPr>
      </w:pPr>
      <w:r>
        <w:rPr>
          <w:rFonts w:hint="eastAsia" w:ascii="宋体" w:hAnsi="宋体"/>
          <w:color w:val="auto"/>
          <w:sz w:val="24"/>
        </w:rPr>
        <w:t>8.4 联络</w:t>
      </w:r>
    </w:p>
    <w:p w14:paraId="71EA3223">
      <w:pPr>
        <w:spacing w:line="540" w:lineRule="exact"/>
        <w:ind w:firstLine="480" w:firstLineChars="200"/>
        <w:rPr>
          <w:rFonts w:hint="eastAsia" w:ascii="宋体" w:hAnsi="宋体"/>
          <w:color w:val="auto"/>
          <w:sz w:val="24"/>
        </w:rPr>
      </w:pPr>
      <w:r>
        <w:rPr>
          <w:rFonts w:hint="eastAsia" w:ascii="宋体" w:hAnsi="宋体"/>
          <w:color w:val="auto"/>
          <w:sz w:val="24"/>
        </w:rPr>
        <w:t>8.4.1 任何一方与合同有关的通知、指示、要求、决定等，均应在</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日内送达对方指定的接收人和送达地点。</w:t>
      </w:r>
    </w:p>
    <w:p w14:paraId="463D126E">
      <w:pPr>
        <w:spacing w:line="540" w:lineRule="exact"/>
        <w:ind w:firstLine="480" w:firstLineChars="200"/>
        <w:rPr>
          <w:rFonts w:hint="eastAsia" w:ascii="宋体" w:hAnsi="宋体"/>
          <w:color w:val="auto"/>
          <w:sz w:val="24"/>
        </w:rPr>
      </w:pPr>
      <w:r>
        <w:rPr>
          <w:rFonts w:hint="eastAsia" w:ascii="宋体" w:hAnsi="宋体"/>
          <w:color w:val="auto"/>
          <w:sz w:val="24"/>
        </w:rPr>
        <w:t>8.4.2 委托人指定的送达接收人：</w:t>
      </w:r>
      <w:r>
        <w:rPr>
          <w:rFonts w:hint="eastAsia" w:ascii="宋体" w:hAnsi="宋体"/>
          <w:color w:val="auto"/>
          <w:sz w:val="24"/>
          <w:u w:val="single"/>
        </w:rPr>
        <w:t xml:space="preserve">       </w:t>
      </w:r>
      <w:r>
        <w:rPr>
          <w:rFonts w:hint="eastAsia" w:ascii="宋体" w:hAnsi="宋体"/>
          <w:color w:val="auto"/>
          <w:sz w:val="24"/>
        </w:rPr>
        <w:t>，送达地点：</w:t>
      </w:r>
      <w:r>
        <w:rPr>
          <w:rFonts w:hint="eastAsia" w:ascii="宋体" w:hAnsi="宋体"/>
          <w:color w:val="auto"/>
          <w:sz w:val="24"/>
          <w:u w:val="single"/>
        </w:rPr>
        <w:t xml:space="preserve">                         </w:t>
      </w:r>
      <w:r>
        <w:rPr>
          <w:rFonts w:hint="eastAsia" w:ascii="宋体" w:hAnsi="宋体"/>
          <w:color w:val="auto"/>
          <w:sz w:val="24"/>
        </w:rPr>
        <w:t>，电子邮箱：</w:t>
      </w:r>
      <w:r>
        <w:rPr>
          <w:rFonts w:hint="eastAsia" w:ascii="宋体" w:hAnsi="宋体"/>
          <w:color w:val="auto"/>
          <w:sz w:val="24"/>
          <w:u w:val="single"/>
        </w:rPr>
        <w:t xml:space="preserve">                   </w:t>
      </w:r>
      <w:r>
        <w:rPr>
          <w:rFonts w:hint="eastAsia" w:ascii="宋体" w:hAnsi="宋体"/>
          <w:color w:val="auto"/>
          <w:sz w:val="24"/>
        </w:rPr>
        <w:t>。</w:t>
      </w:r>
    </w:p>
    <w:p w14:paraId="1A89B254">
      <w:pPr>
        <w:spacing w:line="540" w:lineRule="exact"/>
        <w:ind w:firstLine="480" w:firstLineChars="200"/>
        <w:rPr>
          <w:rFonts w:hint="eastAsia" w:ascii="宋体" w:hAnsi="宋体"/>
          <w:color w:val="auto"/>
          <w:sz w:val="24"/>
        </w:rPr>
      </w:pPr>
      <w:r>
        <w:rPr>
          <w:rFonts w:hint="eastAsia" w:ascii="宋体" w:hAnsi="宋体"/>
          <w:color w:val="auto"/>
          <w:sz w:val="24"/>
        </w:rPr>
        <w:t>咨询人指定的送达接收人：</w:t>
      </w:r>
      <w:r>
        <w:rPr>
          <w:rFonts w:hint="eastAsia" w:ascii="宋体" w:hAnsi="宋体"/>
          <w:color w:val="auto"/>
          <w:sz w:val="24"/>
          <w:u w:val="single"/>
        </w:rPr>
        <w:t xml:space="preserve">      </w:t>
      </w:r>
      <w:r>
        <w:rPr>
          <w:rFonts w:hint="eastAsia" w:ascii="宋体" w:hAnsi="宋体"/>
          <w:color w:val="auto"/>
          <w:sz w:val="24"/>
        </w:rPr>
        <w:t>，送达地点：</w:t>
      </w:r>
      <w:r>
        <w:rPr>
          <w:rFonts w:hint="eastAsia" w:ascii="宋体" w:hAnsi="宋体"/>
          <w:color w:val="auto"/>
          <w:sz w:val="24"/>
          <w:u w:val="single"/>
        </w:rPr>
        <w:t xml:space="preserve">              </w:t>
      </w:r>
      <w:r>
        <w:rPr>
          <w:rFonts w:hint="eastAsia" w:ascii="宋体" w:hAnsi="宋体"/>
          <w:color w:val="auto"/>
          <w:sz w:val="24"/>
        </w:rPr>
        <w:t>，电子邮箱：</w:t>
      </w:r>
      <w:r>
        <w:rPr>
          <w:rFonts w:hint="eastAsia" w:ascii="宋体" w:hAnsi="宋体"/>
          <w:color w:val="auto"/>
          <w:sz w:val="24"/>
          <w:u w:val="single"/>
        </w:rPr>
        <w:t xml:space="preserve">                  </w:t>
      </w:r>
      <w:r>
        <w:rPr>
          <w:rFonts w:hint="eastAsia" w:ascii="宋体" w:hAnsi="宋体"/>
          <w:color w:val="auto"/>
          <w:sz w:val="24"/>
        </w:rPr>
        <w:t>。</w:t>
      </w:r>
    </w:p>
    <w:p w14:paraId="42D207DE">
      <w:pPr>
        <w:spacing w:line="540" w:lineRule="exact"/>
        <w:ind w:firstLine="480" w:firstLineChars="200"/>
        <w:rPr>
          <w:rFonts w:hint="eastAsia" w:ascii="宋体" w:hAnsi="宋体"/>
          <w:color w:val="auto"/>
          <w:sz w:val="24"/>
        </w:rPr>
      </w:pPr>
      <w:r>
        <w:rPr>
          <w:rFonts w:hint="eastAsia" w:ascii="宋体" w:hAnsi="宋体"/>
          <w:color w:val="auto"/>
          <w:sz w:val="24"/>
        </w:rPr>
        <w:t>8.5 知识产权</w:t>
      </w:r>
    </w:p>
    <w:p w14:paraId="34AB3F60">
      <w:pPr>
        <w:spacing w:line="540" w:lineRule="exact"/>
        <w:ind w:firstLine="200"/>
        <w:rPr>
          <w:rFonts w:hint="eastAsia" w:ascii="宋体" w:hAnsi="宋体"/>
          <w:color w:val="auto"/>
          <w:sz w:val="24"/>
        </w:rPr>
      </w:pPr>
      <w:r>
        <w:rPr>
          <w:rFonts w:hint="eastAsia" w:ascii="宋体" w:hAnsi="宋体"/>
          <w:color w:val="auto"/>
          <w:sz w:val="24"/>
        </w:rPr>
        <w:t>委托人提供给咨询人的图纸、委托人为实施工程自行编制或委托编制的技术规范以及反映委托人要求的或其他类似性质文件的著作权属于</w:t>
      </w:r>
      <w:r>
        <w:rPr>
          <w:rFonts w:hint="eastAsia" w:ascii="宋体" w:hAnsi="宋体"/>
          <w:color w:val="auto"/>
          <w:sz w:val="24"/>
          <w:u w:val="single"/>
        </w:rPr>
        <w:t>委托人</w:t>
      </w:r>
      <w:r>
        <w:rPr>
          <w:rFonts w:hint="eastAsia" w:ascii="宋体" w:hAnsi="宋体"/>
          <w:color w:val="auto"/>
          <w:sz w:val="24"/>
        </w:rPr>
        <w:t>。咨询人为履行本合同约定而编制的成果文件，其著作权属于</w:t>
      </w:r>
      <w:r>
        <w:rPr>
          <w:rFonts w:hint="eastAsia" w:ascii="宋体" w:hAnsi="宋体"/>
          <w:color w:val="auto"/>
          <w:sz w:val="24"/>
          <w:u w:val="single"/>
        </w:rPr>
        <w:t>咨询人</w:t>
      </w:r>
      <w:r>
        <w:rPr>
          <w:rFonts w:hint="eastAsia" w:ascii="宋体" w:hAnsi="宋体"/>
          <w:color w:val="auto"/>
          <w:sz w:val="24"/>
        </w:rPr>
        <w:t>。双方将履行本合同形成的有关成果文件用于企业宣传、申报奖项以及接受上级主管部门的检查须遵守以下约定：</w:t>
      </w:r>
      <w:r>
        <w:rPr>
          <w:rFonts w:hint="eastAsia" w:ascii="宋体" w:hAnsi="宋体"/>
          <w:color w:val="auto"/>
          <w:sz w:val="24"/>
          <w:u w:val="single"/>
        </w:rPr>
        <w:t xml:space="preserve"> 需征得对方同意</w:t>
      </w:r>
      <w:r>
        <w:rPr>
          <w:rFonts w:hint="eastAsia" w:ascii="宋体" w:hAnsi="宋体"/>
          <w:color w:val="auto"/>
          <w:sz w:val="24"/>
        </w:rPr>
        <w:t>。</w:t>
      </w:r>
    </w:p>
    <w:p w14:paraId="4179064D">
      <w:pPr>
        <w:spacing w:line="540" w:lineRule="exact"/>
        <w:ind w:firstLine="472" w:firstLineChars="196"/>
        <w:rPr>
          <w:rFonts w:hint="eastAsia" w:ascii="宋体" w:hAnsi="宋体"/>
          <w:b/>
          <w:color w:val="auto"/>
          <w:sz w:val="24"/>
        </w:rPr>
      </w:pPr>
      <w:r>
        <w:rPr>
          <w:rFonts w:hint="eastAsia" w:ascii="宋体" w:hAnsi="宋体"/>
          <w:b/>
          <w:color w:val="auto"/>
          <w:sz w:val="24"/>
        </w:rPr>
        <w:t>9.补充条款</w:t>
      </w:r>
    </w:p>
    <w:p w14:paraId="58069967">
      <w:pPr>
        <w:spacing w:line="540" w:lineRule="exact"/>
        <w:ind w:firstLine="200"/>
        <w:rPr>
          <w:rFonts w:hint="eastAsia" w:ascii="宋体" w:hAnsi="宋体"/>
          <w:color w:val="auto"/>
          <w:sz w:val="24"/>
          <w:u w:val="single"/>
        </w:rPr>
      </w:pPr>
      <w:r>
        <w:rPr>
          <w:rFonts w:hint="eastAsia" w:ascii="宋体" w:hAnsi="宋体"/>
          <w:color w:val="auto"/>
          <w:sz w:val="24"/>
        </w:rPr>
        <w:t xml:space="preserve">    </w:t>
      </w:r>
      <w:r>
        <w:rPr>
          <w:rFonts w:hint="eastAsia" w:ascii="宋体" w:hAnsi="宋体"/>
          <w:color w:val="auto"/>
          <w:sz w:val="24"/>
          <w:u w:val="single"/>
        </w:rPr>
        <w:t xml:space="preserve">                           无                         </w:t>
      </w:r>
      <w:r>
        <w:rPr>
          <w:rFonts w:hint="eastAsia" w:ascii="宋体" w:hAnsi="宋体"/>
          <w:color w:val="auto"/>
          <w:sz w:val="24"/>
        </w:rPr>
        <w:t>。</w:t>
      </w:r>
    </w:p>
    <w:p w14:paraId="7BE2A6FF">
      <w:pPr>
        <w:snapToGrid w:val="0"/>
        <w:spacing w:line="420" w:lineRule="exact"/>
        <w:ind w:firstLine="630" w:firstLineChars="300"/>
        <w:rPr>
          <w:rFonts w:asciiTheme="majorEastAsia" w:hAnsiTheme="majorEastAsia" w:eastAsiaTheme="majorEastAsia" w:cstheme="majorEastAsia"/>
          <w:szCs w:val="21"/>
          <w:highlight w:val="none"/>
        </w:rPr>
      </w:pPr>
      <w:r>
        <w:rPr>
          <w:rFonts w:hint="eastAsia" w:asciiTheme="minorEastAsia" w:hAnsiTheme="minorEastAsia" w:eastAsiaTheme="minorEastAsia" w:cstheme="minorEastAsia"/>
          <w:szCs w:val="21"/>
          <w:highlight w:val="none"/>
        </w:rPr>
        <w:br w:type="page"/>
      </w:r>
    </w:p>
    <w:p w14:paraId="6E4136B9">
      <w:pPr>
        <w:pStyle w:val="2"/>
        <w:spacing w:before="120" w:beforeLines="50" w:after="120" w:afterLines="50" w:line="240" w:lineRule="auto"/>
        <w:outlineLvl w:val="9"/>
        <w:rPr>
          <w:rFonts w:asciiTheme="majorEastAsia" w:hAnsiTheme="majorEastAsia" w:eastAsiaTheme="majorEastAsia" w:cstheme="majorEastAsia"/>
          <w:sz w:val="32"/>
          <w:highlight w:val="none"/>
        </w:rPr>
      </w:pPr>
    </w:p>
    <w:p w14:paraId="295F8015">
      <w:pPr>
        <w:pStyle w:val="2"/>
        <w:keepNext/>
        <w:keepLines/>
        <w:pageBreakBefore w:val="0"/>
        <w:widowControl w:val="0"/>
        <w:kinsoku/>
        <w:wordWrap/>
        <w:overflowPunct/>
        <w:topLinePunct w:val="0"/>
        <w:autoSpaceDE/>
        <w:autoSpaceDN/>
        <w:bidi w:val="0"/>
        <w:adjustRightInd/>
        <w:snapToGrid/>
        <w:spacing w:line="420" w:lineRule="auto"/>
        <w:textAlignment w:val="auto"/>
        <w:rPr>
          <w:rFonts w:hint="eastAsia"/>
          <w:lang w:val="en-US" w:eastAsia="zh-CN"/>
        </w:rPr>
      </w:pPr>
      <w:bookmarkStart w:id="197" w:name="_Toc834"/>
      <w:bookmarkStart w:id="198" w:name="_Toc18569"/>
      <w:r>
        <w:rPr>
          <w:rFonts w:hint="eastAsia"/>
          <w:lang w:val="en-US" w:eastAsia="zh-CN"/>
        </w:rPr>
        <w:t>第六章 工作内容及技术标准</w:t>
      </w:r>
      <w:bookmarkEnd w:id="197"/>
      <w:bookmarkEnd w:id="198"/>
    </w:p>
    <w:p w14:paraId="26CE2744">
      <w:pPr>
        <w:keepNext w:val="0"/>
        <w:keepLines w:val="0"/>
        <w:pageBreakBefore w:val="0"/>
        <w:numPr>
          <w:ilvl w:val="0"/>
          <w:numId w:val="2"/>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服务内容： </w:t>
      </w:r>
    </w:p>
    <w:p w14:paraId="51E9FB21">
      <w:pPr>
        <w:keepNext w:val="0"/>
        <w:keepLines w:val="0"/>
        <w:pageBreakBefore w:val="0"/>
        <w:widowControl/>
        <w:suppressLineNumbers w:val="0"/>
        <w:kinsoku/>
        <w:wordWrap/>
        <w:overflowPunct/>
        <w:topLinePunct w:val="0"/>
        <w:autoSpaceDE/>
        <w:autoSpaceDN/>
        <w:bidi w:val="0"/>
        <w:adjustRightInd/>
        <w:snapToGrid/>
        <w:spacing w:line="500" w:lineRule="exact"/>
        <w:ind w:firstLine="960" w:firstLineChars="400"/>
        <w:jc w:val="left"/>
        <w:textAlignment w:val="auto"/>
      </w:pPr>
      <w:r>
        <w:rPr>
          <w:rFonts w:hint="eastAsia" w:ascii="宋体" w:hAnsi="宋体" w:eastAsia="宋体" w:cs="宋体"/>
          <w:color w:val="auto"/>
          <w:sz w:val="24"/>
          <w:highlight w:val="none"/>
          <w:lang w:val="en-US" w:eastAsia="zh-CN"/>
        </w:rPr>
        <w:t>为全过程跟踪审计服务，并出具结算审计报告，包括但不限于以下内容：</w:t>
      </w:r>
    </w:p>
    <w:p w14:paraId="64C16ABA">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 xml:space="preserve">）成立跟踪审计项目组，明确驻地人员，编制跟踪审计实施方案，确定投资控制目标、重点环节及应对措施。 </w:t>
      </w:r>
    </w:p>
    <w:p w14:paraId="2D598948">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2</w:t>
      </w:r>
      <w:r>
        <w:rPr>
          <w:rFonts w:hint="eastAsia" w:ascii="宋体" w:hAnsi="宋体" w:eastAsia="宋体" w:cs="宋体"/>
          <w:color w:val="auto"/>
          <w:sz w:val="24"/>
          <w:highlight w:val="none"/>
          <w:lang w:val="en-US" w:eastAsia="zh-CN"/>
        </w:rPr>
        <w:t xml:space="preserve">）参加参与项目建设管理的有关会议，对项目投资控制的有关事项发表独立审计意见； </w:t>
      </w:r>
    </w:p>
    <w:p w14:paraId="03AF8825">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3</w:t>
      </w:r>
      <w:r>
        <w:rPr>
          <w:rFonts w:hint="eastAsia" w:ascii="宋体" w:hAnsi="宋体" w:eastAsia="宋体" w:cs="宋体"/>
          <w:color w:val="auto"/>
          <w:sz w:val="24"/>
          <w:highlight w:val="none"/>
          <w:lang w:val="en-US" w:eastAsia="zh-CN"/>
        </w:rPr>
        <w:t xml:space="preserve">）根据工程进度编制工程用款计划；审核施工单位报送的完成工作量进度报表，对量、价进行审核，经建设单位同意后作为支付进度款的依据； </w:t>
      </w:r>
    </w:p>
    <w:p w14:paraId="1BE755EC">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4</w:t>
      </w:r>
      <w:r>
        <w:rPr>
          <w:rFonts w:hint="eastAsia" w:ascii="宋体" w:hAnsi="宋体" w:eastAsia="宋体" w:cs="宋体"/>
          <w:color w:val="auto"/>
          <w:sz w:val="24"/>
          <w:highlight w:val="none"/>
          <w:lang w:val="en-US" w:eastAsia="zh-CN"/>
        </w:rPr>
        <w:t xml:space="preserve">）及时核定分阶段完工的分部工程结算； </w:t>
      </w:r>
    </w:p>
    <w:p w14:paraId="7F3CF8F0">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5</w:t>
      </w:r>
      <w:r>
        <w:rPr>
          <w:rFonts w:hint="eastAsia" w:ascii="宋体" w:hAnsi="宋体" w:eastAsia="宋体" w:cs="宋体"/>
          <w:color w:val="auto"/>
          <w:sz w:val="24"/>
          <w:highlight w:val="none"/>
          <w:lang w:val="en-US" w:eastAsia="zh-CN"/>
        </w:rPr>
        <w:t xml:space="preserve">）协助业主审核因设计变更、现场签证等发生的费用，超过一定限额的，提请建设单位履行报批程序； </w:t>
      </w:r>
    </w:p>
    <w:p w14:paraId="2ACB9283">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6</w:t>
      </w:r>
      <w:r>
        <w:rPr>
          <w:rFonts w:hint="eastAsia" w:ascii="宋体" w:hAnsi="宋体" w:eastAsia="宋体" w:cs="宋体"/>
          <w:color w:val="auto"/>
          <w:sz w:val="24"/>
          <w:highlight w:val="none"/>
          <w:lang w:val="en-US" w:eastAsia="zh-CN"/>
        </w:rPr>
        <w:t xml:space="preserve">）及时向业主提供造价控制动态分析报告； </w:t>
      </w:r>
    </w:p>
    <w:p w14:paraId="292F578D">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7</w:t>
      </w:r>
      <w:r>
        <w:rPr>
          <w:rFonts w:hint="eastAsia" w:ascii="宋体" w:hAnsi="宋体" w:eastAsia="宋体" w:cs="宋体"/>
          <w:color w:val="auto"/>
          <w:sz w:val="24"/>
          <w:highlight w:val="none"/>
          <w:lang w:val="en-US" w:eastAsia="zh-CN"/>
        </w:rPr>
        <w:t xml:space="preserve">）承发包双方发生工程价款结算争议时或提出工程索赔时，为业主提供咨询意见； </w:t>
      </w:r>
    </w:p>
    <w:p w14:paraId="45099B64">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8</w:t>
      </w:r>
      <w:r>
        <w:rPr>
          <w:rFonts w:hint="eastAsia" w:ascii="宋体" w:hAnsi="宋体" w:eastAsia="宋体" w:cs="宋体"/>
          <w:color w:val="auto"/>
          <w:sz w:val="24"/>
          <w:highlight w:val="none"/>
          <w:lang w:val="en-US" w:eastAsia="zh-CN"/>
        </w:rPr>
        <w:t xml:space="preserve">）参与隐蔽工程验收、工程量签证等工作； </w:t>
      </w:r>
    </w:p>
    <w:p w14:paraId="46B90658">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9</w:t>
      </w:r>
      <w:r>
        <w:rPr>
          <w:rFonts w:hint="eastAsia" w:ascii="宋体" w:hAnsi="宋体" w:eastAsia="宋体" w:cs="宋体"/>
          <w:color w:val="auto"/>
          <w:sz w:val="24"/>
          <w:highlight w:val="none"/>
          <w:lang w:val="en-US" w:eastAsia="zh-CN"/>
        </w:rPr>
        <w:t xml:space="preserve">）根据跟踪审计情况，出具跟踪审计报告； </w:t>
      </w:r>
    </w:p>
    <w:p w14:paraId="51A82018">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10</w:t>
      </w:r>
      <w:r>
        <w:rPr>
          <w:rFonts w:hint="eastAsia" w:ascii="宋体" w:hAnsi="宋体" w:eastAsia="宋体" w:cs="宋体"/>
          <w:color w:val="auto"/>
          <w:sz w:val="24"/>
          <w:highlight w:val="none"/>
          <w:lang w:val="en-US" w:eastAsia="zh-CN"/>
        </w:rPr>
        <w:t xml:space="preserve">）配合上级部门对本项目的检查、审计、稽查等工作； </w:t>
      </w:r>
    </w:p>
    <w:p w14:paraId="3BE8260F">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11</w:t>
      </w:r>
      <w:r>
        <w:rPr>
          <w:rFonts w:hint="eastAsia" w:ascii="宋体" w:hAnsi="宋体" w:eastAsia="宋体" w:cs="宋体"/>
          <w:color w:val="auto"/>
          <w:sz w:val="24"/>
          <w:highlight w:val="none"/>
          <w:lang w:val="en-US" w:eastAsia="zh-CN"/>
        </w:rPr>
        <w:t xml:space="preserve">）工作实施所需的电脑、文具、通讯设备、测量工具等为完成项目所需的所有工具，须由供应商自备，自行考虑。 </w:t>
      </w:r>
    </w:p>
    <w:p w14:paraId="76F49F5A">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12</w:t>
      </w:r>
      <w:r>
        <w:rPr>
          <w:rFonts w:hint="eastAsia" w:ascii="宋体" w:hAnsi="宋体" w:eastAsia="宋体" w:cs="宋体"/>
          <w:color w:val="auto"/>
          <w:sz w:val="24"/>
          <w:highlight w:val="none"/>
          <w:lang w:val="en-US" w:eastAsia="zh-CN"/>
        </w:rPr>
        <w:t xml:space="preserve">）审计人员应完整、准确、真实地反映和记录的工作情况，出具相应报告，做好各类资料的归集、存档和保管工作。 </w:t>
      </w:r>
    </w:p>
    <w:p w14:paraId="7977086F">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default" w:ascii="宋体" w:hAnsi="宋体" w:eastAsia="宋体" w:cs="宋体"/>
          <w:color w:val="auto"/>
          <w:sz w:val="24"/>
          <w:highlight w:val="none"/>
          <w:lang w:val="en-US" w:eastAsia="zh-CN"/>
        </w:rPr>
        <w:t>13</w:t>
      </w:r>
      <w:r>
        <w:rPr>
          <w:rFonts w:hint="eastAsia" w:ascii="宋体" w:hAnsi="宋体" w:eastAsia="宋体" w:cs="宋体"/>
          <w:color w:val="auto"/>
          <w:sz w:val="24"/>
          <w:highlight w:val="none"/>
          <w:lang w:val="en-US" w:eastAsia="zh-CN"/>
        </w:rPr>
        <w:t>）其他与项目投资控制相关的工作。</w:t>
      </w:r>
    </w:p>
    <w:p w14:paraId="2816750A">
      <w:pPr>
        <w:keepNext w:val="0"/>
        <w:keepLines w:val="0"/>
        <w:pageBreakBefore w:val="0"/>
        <w:widowControl/>
        <w:suppressLineNumbers w:val="0"/>
        <w:kinsoku/>
        <w:wordWrap/>
        <w:overflowPunct/>
        <w:topLinePunct w:val="0"/>
        <w:autoSpaceDE/>
        <w:autoSpaceDN/>
        <w:bidi w:val="0"/>
        <w:adjustRightInd/>
        <w:snapToGrid/>
        <w:spacing w:line="520" w:lineRule="exact"/>
        <w:ind w:firstLine="241" w:firstLineChars="100"/>
        <w:jc w:val="left"/>
        <w:textAlignment w:val="auto"/>
        <w:rPr>
          <w:color w:val="auto"/>
          <w:sz w:val="24"/>
          <w:szCs w:val="24"/>
          <w:highlight w:val="none"/>
        </w:rPr>
      </w:pPr>
      <w:r>
        <w:rPr>
          <w:rFonts w:hint="eastAsia" w:ascii="宋体" w:hAnsi="宋体"/>
          <w:b/>
          <w:color w:val="auto"/>
          <w:sz w:val="24"/>
          <w:lang w:val="en-US" w:eastAsia="zh-CN"/>
        </w:rPr>
        <w:t>二</w:t>
      </w:r>
      <w:r>
        <w:rPr>
          <w:rFonts w:hint="eastAsia" w:ascii="宋体" w:hAnsi="宋体"/>
          <w:b/>
          <w:color w:val="auto"/>
          <w:sz w:val="24"/>
        </w:rPr>
        <w:t>、</w:t>
      </w:r>
      <w:r>
        <w:rPr>
          <w:rFonts w:hint="eastAsia" w:ascii="宋体" w:hAnsi="宋体" w:eastAsia="宋体" w:cs="宋体"/>
          <w:color w:val="auto"/>
          <w:kern w:val="0"/>
          <w:sz w:val="24"/>
          <w:szCs w:val="24"/>
          <w:highlight w:val="none"/>
          <w:lang w:val="en-US" w:eastAsia="zh-CN" w:bidi="ar"/>
        </w:rPr>
        <w:t>服务标准：符合山东省现行清单编制要求、《山东省建设工程造价管理办法》等。</w:t>
      </w:r>
    </w:p>
    <w:p w14:paraId="26F55526">
      <w:pPr>
        <w:spacing w:line="470" w:lineRule="exact"/>
        <w:ind w:firstLine="48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br w:type="page"/>
      </w:r>
    </w:p>
    <w:p w14:paraId="68EC58E8">
      <w:pPr>
        <w:spacing w:line="470" w:lineRule="exact"/>
        <w:ind w:firstLine="480" w:firstLineChars="200"/>
        <w:rPr>
          <w:rFonts w:asciiTheme="majorEastAsia" w:hAnsiTheme="majorEastAsia" w:eastAsiaTheme="majorEastAsia" w:cstheme="majorEastAsia"/>
          <w:sz w:val="24"/>
          <w:highlight w:val="none"/>
        </w:rPr>
      </w:pPr>
    </w:p>
    <w:p w14:paraId="65A811E8">
      <w:pPr>
        <w:pStyle w:val="2"/>
        <w:keepNext/>
        <w:keepLines/>
        <w:pageBreakBefore w:val="0"/>
        <w:widowControl w:val="0"/>
        <w:kinsoku/>
        <w:wordWrap/>
        <w:overflowPunct/>
        <w:topLinePunct w:val="0"/>
        <w:autoSpaceDE/>
        <w:autoSpaceDN/>
        <w:bidi w:val="0"/>
        <w:adjustRightInd/>
        <w:snapToGrid/>
        <w:spacing w:line="420" w:lineRule="auto"/>
        <w:textAlignment w:val="auto"/>
        <w:rPr>
          <w:rFonts w:hint="eastAsia"/>
        </w:rPr>
      </w:pPr>
      <w:bookmarkStart w:id="199" w:name="_Toc14023"/>
      <w:bookmarkStart w:id="200" w:name="_Toc17005"/>
      <w:r>
        <w:rPr>
          <w:rFonts w:hint="eastAsia"/>
        </w:rPr>
        <w:t>第</w:t>
      </w:r>
      <w:r>
        <w:rPr>
          <w:rFonts w:hint="eastAsia"/>
          <w:lang w:val="en-US" w:eastAsia="zh-CN"/>
        </w:rPr>
        <w:t>七</w:t>
      </w:r>
      <w:r>
        <w:rPr>
          <w:rFonts w:hint="eastAsia"/>
        </w:rPr>
        <w:t>章  投标文件格式</w:t>
      </w:r>
      <w:bookmarkEnd w:id="195"/>
      <w:bookmarkEnd w:id="196"/>
      <w:bookmarkEnd w:id="199"/>
      <w:bookmarkEnd w:id="200"/>
    </w:p>
    <w:p w14:paraId="5EB9E740">
      <w:pPr>
        <w:spacing w:line="360" w:lineRule="auto"/>
        <w:rPr>
          <w:rFonts w:asciiTheme="majorEastAsia" w:hAnsiTheme="majorEastAsia" w:eastAsiaTheme="majorEastAsia" w:cstheme="majorEastAsia"/>
          <w:sz w:val="28"/>
          <w:szCs w:val="28"/>
          <w:highlight w:val="none"/>
        </w:rPr>
      </w:pPr>
      <w:bookmarkStart w:id="201" w:name="_Toc309377251"/>
    </w:p>
    <w:p w14:paraId="03F626F3">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533DA633">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5DAE8D2F">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5963B47E">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3CF81A81">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3E041E70">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6811E897">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29AE8FB9">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53FFB484">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642D6064">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3A69410E">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641E2C7F">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15A52E32">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01621DC9">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17768E21">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0672CA7B">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default" w:asciiTheme="majorEastAsia" w:hAnsiTheme="majorEastAsia" w:eastAsiaTheme="majorEastAsia" w:cstheme="majorEastAsia"/>
          <w:b/>
          <w:bCs/>
          <w:kern w:val="44"/>
          <w:sz w:val="36"/>
          <w:szCs w:val="36"/>
          <w:highlight w:val="none"/>
          <w:lang w:val="en-US" w:eastAsia="zh-CN" w:bidi="ar-SA"/>
        </w:rPr>
      </w:pPr>
      <w:r>
        <w:rPr>
          <w:rFonts w:hint="eastAsia" w:asciiTheme="majorEastAsia" w:hAnsiTheme="majorEastAsia" w:eastAsiaTheme="majorEastAsia" w:cstheme="majorEastAsia"/>
          <w:b/>
          <w:bCs/>
          <w:kern w:val="44"/>
          <w:sz w:val="36"/>
          <w:szCs w:val="36"/>
          <w:highlight w:val="none"/>
          <w:lang w:val="en-US" w:eastAsia="zh-CN" w:bidi="ar-SA"/>
        </w:rPr>
        <w:t>菏泽市牡丹区乡镇水环境综合治理项目（第二批施工、监理及跟踪审计）五标段</w:t>
      </w:r>
    </w:p>
    <w:p w14:paraId="251CD86B">
      <w:pPr>
        <w:jc w:val="center"/>
        <w:rPr>
          <w:rFonts w:asciiTheme="majorEastAsia" w:hAnsiTheme="majorEastAsia" w:eastAsiaTheme="majorEastAsia" w:cstheme="majorEastAsia"/>
          <w:sz w:val="28"/>
          <w:szCs w:val="28"/>
          <w:highlight w:val="none"/>
        </w:rPr>
      </w:pPr>
    </w:p>
    <w:p w14:paraId="7FBC4B98">
      <w:pPr>
        <w:spacing w:before="240" w:beforeLines="100"/>
        <w:rPr>
          <w:rFonts w:asciiTheme="majorEastAsia" w:hAnsiTheme="majorEastAsia" w:eastAsiaTheme="majorEastAsia" w:cstheme="majorEastAsia"/>
          <w:sz w:val="44"/>
          <w:szCs w:val="44"/>
          <w:highlight w:val="none"/>
        </w:rPr>
      </w:pPr>
    </w:p>
    <w:p w14:paraId="3F402446">
      <w:pPr>
        <w:widowControl w:val="0"/>
        <w:snapToGrid w:val="0"/>
        <w:spacing w:line="240" w:lineRule="auto"/>
        <w:jc w:val="center"/>
        <w:rPr>
          <w:rFonts w:hint="eastAsia" w:ascii="宋体" w:hAnsi="宋体" w:eastAsia="宋体" w:cs="宋体"/>
          <w:b/>
          <w:bCs w:val="0"/>
          <w:sz w:val="96"/>
          <w:szCs w:val="96"/>
        </w:rPr>
      </w:pPr>
      <w:r>
        <w:rPr>
          <w:rFonts w:hint="eastAsia" w:ascii="宋体" w:hAnsi="宋体" w:eastAsia="宋体" w:cs="宋体"/>
          <w:b/>
          <w:bCs w:val="0"/>
          <w:sz w:val="96"/>
          <w:szCs w:val="96"/>
        </w:rPr>
        <w:t>投标文件</w:t>
      </w:r>
    </w:p>
    <w:p w14:paraId="6525AECD">
      <w:pPr>
        <w:jc w:val="center"/>
        <w:rPr>
          <w:rFonts w:asciiTheme="majorEastAsia" w:hAnsiTheme="majorEastAsia" w:eastAsiaTheme="majorEastAsia" w:cstheme="majorEastAsia"/>
          <w:sz w:val="32"/>
          <w:szCs w:val="32"/>
          <w:highlight w:val="none"/>
        </w:rPr>
      </w:pPr>
    </w:p>
    <w:p w14:paraId="73F4C081">
      <w:pPr>
        <w:jc w:val="center"/>
        <w:rPr>
          <w:rFonts w:asciiTheme="majorEastAsia" w:hAnsiTheme="majorEastAsia" w:eastAsiaTheme="majorEastAsia" w:cstheme="majorEastAsia"/>
          <w:sz w:val="32"/>
          <w:szCs w:val="32"/>
          <w:highlight w:val="none"/>
        </w:rPr>
      </w:pPr>
    </w:p>
    <w:p w14:paraId="56A4212C">
      <w:pPr>
        <w:spacing w:line="360" w:lineRule="auto"/>
        <w:jc w:val="center"/>
        <w:rPr>
          <w:rFonts w:asciiTheme="majorEastAsia" w:hAnsiTheme="majorEastAsia" w:eastAsiaTheme="majorEastAsia" w:cstheme="majorEastAsia"/>
          <w:sz w:val="32"/>
          <w:szCs w:val="32"/>
          <w:highlight w:val="none"/>
        </w:rPr>
      </w:pPr>
    </w:p>
    <w:p w14:paraId="7B064707">
      <w:pPr>
        <w:spacing w:line="360" w:lineRule="auto"/>
        <w:ind w:firstLine="980" w:firstLineChars="350"/>
        <w:rPr>
          <w:rFonts w:asciiTheme="majorEastAsia" w:hAnsiTheme="majorEastAsia" w:eastAsiaTheme="majorEastAsia" w:cstheme="majorEastAsia"/>
          <w:sz w:val="28"/>
          <w:szCs w:val="28"/>
          <w:highlight w:val="none"/>
        </w:rPr>
      </w:pPr>
    </w:p>
    <w:p w14:paraId="1B437FAE">
      <w:pPr>
        <w:pStyle w:val="53"/>
        <w:rPr>
          <w:highlight w:val="none"/>
        </w:rPr>
      </w:pPr>
    </w:p>
    <w:p w14:paraId="5C3617FA">
      <w:pPr>
        <w:pStyle w:val="53"/>
        <w:rPr>
          <w:highlight w:val="none"/>
        </w:rPr>
      </w:pPr>
    </w:p>
    <w:p w14:paraId="26E0F51D">
      <w:pPr>
        <w:pStyle w:val="53"/>
        <w:rPr>
          <w:highlight w:val="none"/>
        </w:rPr>
      </w:pPr>
    </w:p>
    <w:p w14:paraId="11DCC5F6">
      <w:pPr>
        <w:pStyle w:val="53"/>
        <w:rPr>
          <w:highlight w:val="none"/>
        </w:rPr>
      </w:pPr>
    </w:p>
    <w:p w14:paraId="48F4EA89">
      <w:pPr>
        <w:pStyle w:val="53"/>
        <w:rPr>
          <w:highlight w:val="none"/>
        </w:rPr>
      </w:pPr>
    </w:p>
    <w:p w14:paraId="34D1D0E8">
      <w:pPr>
        <w:pStyle w:val="53"/>
        <w:rPr>
          <w:highlight w:val="none"/>
        </w:rPr>
      </w:pPr>
    </w:p>
    <w:p w14:paraId="5EADB1DE">
      <w:pPr>
        <w:widowControl w:val="0"/>
        <w:snapToGrid w:val="0"/>
        <w:spacing w:line="560" w:lineRule="exact"/>
        <w:ind w:firstLine="1124" w:firstLineChars="350"/>
        <w:rPr>
          <w:rFonts w:hint="eastAsia" w:ascii="宋体" w:hAnsi="宋体"/>
          <w:b/>
          <w:sz w:val="32"/>
          <w:szCs w:val="32"/>
        </w:rPr>
      </w:pPr>
    </w:p>
    <w:p w14:paraId="4D359062">
      <w:pPr>
        <w:widowControl w:val="0"/>
        <w:snapToGrid w:val="0"/>
        <w:spacing w:line="560" w:lineRule="exact"/>
        <w:ind w:firstLine="1124" w:firstLineChars="350"/>
        <w:rPr>
          <w:rFonts w:hint="eastAsia" w:ascii="宋体" w:hAnsi="宋体"/>
          <w:b/>
          <w:sz w:val="32"/>
          <w:szCs w:val="32"/>
        </w:rPr>
      </w:pPr>
      <w:r>
        <w:rPr>
          <w:rFonts w:hint="eastAsia" w:ascii="宋体" w:hAnsi="宋体"/>
          <w:b/>
          <w:sz w:val="32"/>
          <w:szCs w:val="32"/>
        </w:rPr>
        <w:t>投标人：</w:t>
      </w:r>
      <w:r>
        <w:rPr>
          <w:rFonts w:hint="eastAsia" w:ascii="宋体" w:hAnsi="宋体"/>
          <w:b/>
          <w:sz w:val="32"/>
          <w:szCs w:val="32"/>
          <w:u w:val="single"/>
        </w:rPr>
        <w:t xml:space="preserve">             </w:t>
      </w:r>
      <w:r>
        <w:rPr>
          <w:rFonts w:hint="eastAsia" w:ascii="宋体" w:hAnsi="宋体"/>
          <w:b/>
          <w:sz w:val="32"/>
          <w:szCs w:val="32"/>
        </w:rPr>
        <w:t>（盖单位公章）</w:t>
      </w:r>
    </w:p>
    <w:p w14:paraId="21DD8C3F">
      <w:pPr>
        <w:widowControl w:val="0"/>
        <w:snapToGrid w:val="0"/>
        <w:spacing w:line="560" w:lineRule="exact"/>
        <w:ind w:firstLine="561"/>
        <w:rPr>
          <w:rFonts w:hint="eastAsia" w:ascii="宋体" w:hAnsi="宋体"/>
          <w:b/>
          <w:sz w:val="32"/>
          <w:szCs w:val="32"/>
        </w:rPr>
      </w:pPr>
      <w:r>
        <w:rPr>
          <w:rFonts w:hint="eastAsia" w:ascii="宋体" w:hAnsi="宋体"/>
          <w:b/>
          <w:sz w:val="32"/>
          <w:szCs w:val="32"/>
        </w:rPr>
        <w:t> </w:t>
      </w:r>
    </w:p>
    <w:p w14:paraId="09F54A4A">
      <w:pPr>
        <w:widowControl w:val="0"/>
        <w:snapToGrid w:val="0"/>
        <w:spacing w:line="560" w:lineRule="exact"/>
        <w:ind w:firstLine="1124" w:firstLineChars="350"/>
        <w:rPr>
          <w:rFonts w:hint="eastAsia" w:ascii="宋体" w:hAnsi="宋体"/>
          <w:b/>
          <w:sz w:val="32"/>
          <w:szCs w:val="32"/>
        </w:rPr>
      </w:pPr>
      <w:r>
        <w:rPr>
          <w:rFonts w:hint="eastAsia" w:ascii="宋体" w:hAnsi="宋体"/>
          <w:b/>
          <w:sz w:val="32"/>
          <w:szCs w:val="32"/>
        </w:rPr>
        <w:t>法定代表人</w:t>
      </w:r>
    </w:p>
    <w:p w14:paraId="7DACC3FF">
      <w:pPr>
        <w:widowControl w:val="0"/>
        <w:snapToGrid w:val="0"/>
        <w:spacing w:line="560" w:lineRule="exact"/>
        <w:ind w:firstLine="1124" w:firstLineChars="350"/>
        <w:rPr>
          <w:rFonts w:hint="eastAsia" w:ascii="宋体" w:hAnsi="宋体"/>
          <w:b/>
          <w:sz w:val="32"/>
          <w:szCs w:val="32"/>
        </w:rPr>
      </w:pPr>
      <w:r>
        <w:rPr>
          <w:rFonts w:hint="eastAsia" w:ascii="宋体" w:hAnsi="宋体"/>
          <w:b/>
          <w:sz w:val="32"/>
          <w:szCs w:val="32"/>
        </w:rPr>
        <w:t>或委托代理人：</w:t>
      </w:r>
      <w:r>
        <w:rPr>
          <w:rFonts w:hint="eastAsia" w:ascii="宋体" w:hAnsi="宋体"/>
          <w:b/>
          <w:sz w:val="32"/>
          <w:szCs w:val="32"/>
          <w:u w:val="single"/>
        </w:rPr>
        <w:t xml:space="preserve">            </w:t>
      </w:r>
      <w:r>
        <w:rPr>
          <w:rFonts w:hint="eastAsia" w:ascii="宋体" w:hAnsi="宋体"/>
          <w:b/>
          <w:sz w:val="32"/>
          <w:szCs w:val="32"/>
        </w:rPr>
        <w:t>（签字或盖章）</w:t>
      </w:r>
    </w:p>
    <w:p w14:paraId="5F7852F5">
      <w:pPr>
        <w:widowControl w:val="0"/>
        <w:snapToGrid w:val="0"/>
        <w:spacing w:line="560" w:lineRule="exact"/>
        <w:jc w:val="center"/>
        <w:rPr>
          <w:rFonts w:hint="eastAsia" w:ascii="宋体" w:hAnsi="宋体"/>
          <w:b/>
          <w:sz w:val="32"/>
          <w:szCs w:val="32"/>
        </w:rPr>
      </w:pPr>
      <w:r>
        <w:rPr>
          <w:rFonts w:hint="eastAsia" w:ascii="宋体" w:hAnsi="宋体"/>
          <w:b/>
          <w:sz w:val="32"/>
          <w:szCs w:val="32"/>
        </w:rPr>
        <w:t> </w:t>
      </w:r>
    </w:p>
    <w:p w14:paraId="03E94047">
      <w:pPr>
        <w:ind w:firstLine="3855" w:firstLineChars="1200"/>
      </w:pPr>
      <w:r>
        <w:rPr>
          <w:rFonts w:hint="eastAsia" w:ascii="宋体" w:hAnsi="宋体"/>
          <w:b/>
          <w:sz w:val="32"/>
          <w:szCs w:val="32"/>
          <w:u w:val="single"/>
        </w:rPr>
        <w:t xml:space="preserve">      </w:t>
      </w:r>
      <w:r>
        <w:rPr>
          <w:rFonts w:hint="eastAsia" w:ascii="宋体" w:hAnsi="宋体"/>
          <w:b/>
          <w:sz w:val="32"/>
          <w:szCs w:val="32"/>
        </w:rPr>
        <w:t>年</w:t>
      </w:r>
      <w:r>
        <w:rPr>
          <w:rFonts w:hint="eastAsia" w:ascii="宋体" w:hAnsi="宋体"/>
          <w:b/>
          <w:sz w:val="32"/>
          <w:szCs w:val="32"/>
          <w:u w:val="single"/>
        </w:rPr>
        <w:t xml:space="preserve">    </w:t>
      </w:r>
      <w:r>
        <w:rPr>
          <w:rFonts w:hint="eastAsia" w:ascii="宋体" w:hAnsi="宋体"/>
          <w:b/>
          <w:sz w:val="32"/>
          <w:szCs w:val="32"/>
        </w:rPr>
        <w:t>月</w:t>
      </w:r>
      <w:r>
        <w:rPr>
          <w:rFonts w:hint="eastAsia" w:ascii="宋体" w:hAnsi="宋体"/>
          <w:b/>
          <w:sz w:val="32"/>
          <w:szCs w:val="32"/>
          <w:u w:val="single"/>
        </w:rPr>
        <w:t xml:space="preserve">    </w:t>
      </w:r>
      <w:r>
        <w:rPr>
          <w:rFonts w:hint="eastAsia" w:ascii="宋体" w:hAnsi="宋体"/>
          <w:b/>
          <w:sz w:val="32"/>
          <w:szCs w:val="32"/>
        </w:rPr>
        <w:t>日</w:t>
      </w:r>
    </w:p>
    <w:p w14:paraId="05358509">
      <w:pPr>
        <w:widowControl/>
        <w:jc w:val="left"/>
        <w:rPr>
          <w:rFonts w:asciiTheme="majorEastAsia" w:hAnsiTheme="majorEastAsia" w:eastAsiaTheme="majorEastAsia" w:cstheme="majorEastAsia"/>
          <w:sz w:val="30"/>
          <w:szCs w:val="30"/>
          <w:highlight w:val="none"/>
        </w:rPr>
      </w:pPr>
      <w:r>
        <w:rPr>
          <w:rFonts w:hint="eastAsia" w:asciiTheme="majorEastAsia" w:hAnsiTheme="majorEastAsia" w:eastAsiaTheme="majorEastAsia" w:cstheme="majorEastAsia"/>
          <w:sz w:val="30"/>
          <w:szCs w:val="30"/>
          <w:highlight w:val="none"/>
        </w:rPr>
        <w:br w:type="page"/>
      </w:r>
    </w:p>
    <w:p w14:paraId="195ABF32">
      <w:pPr>
        <w:spacing w:line="360" w:lineRule="auto"/>
        <w:jc w:val="center"/>
        <w:rPr>
          <w:rFonts w:asciiTheme="majorEastAsia" w:hAnsiTheme="majorEastAsia" w:eastAsiaTheme="majorEastAsia" w:cstheme="majorEastAsia"/>
          <w:sz w:val="30"/>
          <w:szCs w:val="30"/>
          <w:highlight w:val="none"/>
        </w:rPr>
      </w:pPr>
    </w:p>
    <w:p w14:paraId="40C51C11">
      <w:pPr>
        <w:spacing w:line="360" w:lineRule="auto"/>
        <w:jc w:val="center"/>
        <w:rPr>
          <w:rFonts w:asciiTheme="majorEastAsia" w:hAnsiTheme="majorEastAsia" w:eastAsiaTheme="majorEastAsia" w:cstheme="majorEastAsia"/>
          <w:sz w:val="36"/>
          <w:szCs w:val="36"/>
          <w:highlight w:val="none"/>
        </w:rPr>
      </w:pPr>
      <w:r>
        <w:rPr>
          <w:rFonts w:hint="eastAsia" w:asciiTheme="majorEastAsia" w:hAnsiTheme="majorEastAsia" w:eastAsiaTheme="majorEastAsia" w:cstheme="majorEastAsia"/>
          <w:sz w:val="36"/>
          <w:szCs w:val="36"/>
          <w:highlight w:val="none"/>
        </w:rPr>
        <w:t>目    录</w:t>
      </w:r>
    </w:p>
    <w:p w14:paraId="1BCD9B36">
      <w:pPr>
        <w:spacing w:line="600" w:lineRule="exact"/>
        <w:rPr>
          <w:rFonts w:asciiTheme="majorEastAsia" w:hAnsiTheme="majorEastAsia" w:eastAsiaTheme="majorEastAsia" w:cstheme="majorEastAsia"/>
          <w:szCs w:val="21"/>
          <w:highlight w:val="none"/>
        </w:rPr>
      </w:pPr>
    </w:p>
    <w:p w14:paraId="7E98F4AC">
      <w:pPr>
        <w:keepNext w:val="0"/>
        <w:keepLines w:val="0"/>
        <w:pageBreakBefore w:val="0"/>
        <w:widowControl/>
        <w:suppressLineNumbers w:val="0"/>
        <w:kinsoku/>
        <w:wordWrap/>
        <w:overflowPunct/>
        <w:topLinePunct w:val="0"/>
        <w:autoSpaceDE/>
        <w:autoSpaceDN/>
        <w:bidi w:val="0"/>
        <w:adjustRightInd/>
        <w:snapToGrid/>
        <w:spacing w:line="760" w:lineRule="exact"/>
        <w:ind w:firstLine="1080" w:firstLineChars="45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一、投标函、</w:t>
      </w:r>
      <w:r>
        <w:rPr>
          <w:rFonts w:hint="eastAsia" w:ascii="宋体" w:hAnsi="宋体" w:eastAsia="宋体" w:cs="宋体"/>
          <w:color w:val="auto"/>
          <w:sz w:val="24"/>
          <w:szCs w:val="24"/>
          <w:lang w:val="en-US" w:eastAsia="zh-CN"/>
        </w:rPr>
        <w:t xml:space="preserve">报价一览表 </w:t>
      </w:r>
    </w:p>
    <w:p w14:paraId="38FBA365">
      <w:pPr>
        <w:keepNext w:val="0"/>
        <w:keepLines w:val="0"/>
        <w:pageBreakBefore w:val="0"/>
        <w:widowControl/>
        <w:suppressLineNumbers w:val="0"/>
        <w:kinsoku/>
        <w:wordWrap/>
        <w:overflowPunct/>
        <w:topLinePunct w:val="0"/>
        <w:autoSpaceDE/>
        <w:autoSpaceDN/>
        <w:bidi w:val="0"/>
        <w:adjustRightInd/>
        <w:snapToGrid/>
        <w:spacing w:line="760" w:lineRule="exact"/>
        <w:ind w:firstLine="1080" w:firstLineChars="45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二、跟踪审计服务费报价明细单</w:t>
      </w:r>
      <w:r>
        <w:rPr>
          <w:rFonts w:hint="eastAsia" w:ascii="宋体" w:hAnsi="宋体" w:cs="宋体"/>
          <w:color w:val="auto"/>
          <w:sz w:val="24"/>
          <w:szCs w:val="24"/>
          <w:lang w:val="en-US" w:eastAsia="zh-CN"/>
        </w:rPr>
        <w:t>（格式自拟）</w:t>
      </w:r>
      <w:r>
        <w:rPr>
          <w:rFonts w:hint="eastAsia" w:ascii="宋体" w:hAnsi="宋体" w:eastAsia="宋体" w:cs="宋体"/>
          <w:color w:val="auto"/>
          <w:sz w:val="24"/>
          <w:szCs w:val="24"/>
          <w:lang w:val="en-US" w:eastAsia="zh-CN"/>
        </w:rPr>
        <w:t xml:space="preserve"> </w:t>
      </w:r>
    </w:p>
    <w:p w14:paraId="7715A295">
      <w:pPr>
        <w:keepNext w:val="0"/>
        <w:keepLines w:val="0"/>
        <w:pageBreakBefore w:val="0"/>
        <w:kinsoku/>
        <w:wordWrap/>
        <w:overflowPunct/>
        <w:topLinePunct w:val="0"/>
        <w:autoSpaceDE/>
        <w:autoSpaceDN/>
        <w:bidi w:val="0"/>
        <w:adjustRightInd/>
        <w:snapToGrid/>
        <w:spacing w:line="760" w:lineRule="exact"/>
        <w:ind w:firstLine="1080" w:firstLineChars="450"/>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三</w:t>
      </w:r>
      <w:r>
        <w:rPr>
          <w:rFonts w:hint="eastAsia" w:ascii="宋体" w:hAnsi="宋体" w:eastAsia="宋体" w:cs="宋体"/>
          <w:color w:val="auto"/>
          <w:sz w:val="24"/>
          <w:szCs w:val="24"/>
        </w:rPr>
        <w:t>、法定代表人身份证明</w:t>
      </w:r>
      <w:r>
        <w:rPr>
          <w:rFonts w:hint="eastAsia" w:ascii="宋体" w:hAnsi="宋体" w:cs="宋体"/>
          <w:color w:val="auto"/>
          <w:sz w:val="24"/>
          <w:szCs w:val="24"/>
          <w:lang w:eastAsia="zh-CN"/>
        </w:rPr>
        <w:t>或法人</w:t>
      </w:r>
      <w:r>
        <w:rPr>
          <w:rFonts w:hint="eastAsia" w:ascii="宋体" w:hAnsi="宋体" w:eastAsia="宋体" w:cs="宋体"/>
          <w:color w:val="auto"/>
          <w:sz w:val="24"/>
          <w:szCs w:val="24"/>
        </w:rPr>
        <w:t>授权委托书</w:t>
      </w:r>
    </w:p>
    <w:p w14:paraId="4C792858">
      <w:pPr>
        <w:keepNext w:val="0"/>
        <w:keepLines w:val="0"/>
        <w:pageBreakBefore w:val="0"/>
        <w:widowControl/>
        <w:suppressLineNumbers w:val="0"/>
        <w:kinsoku/>
        <w:wordWrap/>
        <w:overflowPunct/>
        <w:topLinePunct w:val="0"/>
        <w:autoSpaceDE/>
        <w:autoSpaceDN/>
        <w:bidi w:val="0"/>
        <w:adjustRightInd/>
        <w:snapToGrid/>
        <w:spacing w:line="760" w:lineRule="exact"/>
        <w:ind w:firstLine="1080" w:firstLineChars="45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服务方案</w:t>
      </w:r>
    </w:p>
    <w:p w14:paraId="2F8A127B">
      <w:pPr>
        <w:keepNext w:val="0"/>
        <w:keepLines w:val="0"/>
        <w:pageBreakBefore w:val="0"/>
        <w:kinsoku/>
        <w:wordWrap/>
        <w:overflowPunct/>
        <w:topLinePunct w:val="0"/>
        <w:autoSpaceDE/>
        <w:autoSpaceDN/>
        <w:bidi w:val="0"/>
        <w:adjustRightInd/>
        <w:snapToGrid/>
        <w:spacing w:line="760" w:lineRule="exact"/>
        <w:ind w:firstLine="1080" w:firstLineChars="450"/>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五</w:t>
      </w:r>
      <w:r>
        <w:rPr>
          <w:rFonts w:hint="eastAsia" w:ascii="宋体" w:hAnsi="宋体" w:eastAsia="宋体" w:cs="宋体"/>
          <w:color w:val="auto"/>
          <w:sz w:val="24"/>
          <w:szCs w:val="24"/>
        </w:rPr>
        <w:t>、资格审查资料</w:t>
      </w:r>
    </w:p>
    <w:p w14:paraId="72B552B5">
      <w:pPr>
        <w:keepNext w:val="0"/>
        <w:keepLines w:val="0"/>
        <w:pageBreakBefore w:val="0"/>
        <w:kinsoku/>
        <w:wordWrap/>
        <w:overflowPunct/>
        <w:topLinePunct w:val="0"/>
        <w:autoSpaceDE/>
        <w:autoSpaceDN/>
        <w:bidi w:val="0"/>
        <w:adjustRightInd/>
        <w:snapToGrid/>
        <w:spacing w:line="760" w:lineRule="exact"/>
        <w:ind w:firstLine="1080" w:firstLineChars="450"/>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六</w:t>
      </w:r>
      <w:r>
        <w:rPr>
          <w:rFonts w:hint="eastAsia" w:ascii="宋体" w:hAnsi="宋体" w:eastAsia="宋体" w:cs="宋体"/>
          <w:color w:val="auto"/>
          <w:sz w:val="24"/>
          <w:szCs w:val="24"/>
        </w:rPr>
        <w:t>、对招标文件的认同程度的声明</w:t>
      </w:r>
    </w:p>
    <w:p w14:paraId="58863934">
      <w:pPr>
        <w:keepNext w:val="0"/>
        <w:keepLines w:val="0"/>
        <w:pageBreakBefore w:val="0"/>
        <w:kinsoku/>
        <w:wordWrap/>
        <w:overflowPunct/>
        <w:topLinePunct w:val="0"/>
        <w:autoSpaceDE/>
        <w:autoSpaceDN/>
        <w:bidi w:val="0"/>
        <w:adjustRightInd/>
        <w:snapToGrid/>
        <w:spacing w:line="760" w:lineRule="exact"/>
        <w:ind w:firstLine="1080" w:firstLineChars="450"/>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七</w:t>
      </w:r>
      <w:r>
        <w:rPr>
          <w:rFonts w:hint="eastAsia" w:ascii="宋体" w:hAnsi="宋体" w:eastAsia="宋体" w:cs="宋体"/>
          <w:color w:val="auto"/>
          <w:sz w:val="24"/>
          <w:szCs w:val="24"/>
        </w:rPr>
        <w:t>、投标人认为需要提供的其他资料</w:t>
      </w:r>
    </w:p>
    <w:p w14:paraId="16A46A96">
      <w:pPr>
        <w:keepNext w:val="0"/>
        <w:keepLines w:val="0"/>
        <w:pageBreakBefore w:val="0"/>
        <w:widowControl w:val="0"/>
        <w:kinsoku/>
        <w:wordWrap/>
        <w:overflowPunct/>
        <w:topLinePunct w:val="0"/>
        <w:autoSpaceDE/>
        <w:autoSpaceDN/>
        <w:bidi w:val="0"/>
        <w:adjustRightInd/>
        <w:snapToGrid/>
        <w:spacing w:line="660" w:lineRule="exact"/>
        <w:ind w:firstLine="720" w:firstLineChars="300"/>
        <w:textAlignment w:val="auto"/>
        <w:rPr>
          <w:rFonts w:asciiTheme="majorEastAsia" w:hAnsiTheme="majorEastAsia" w:eastAsiaTheme="majorEastAsia" w:cstheme="majorEastAsia"/>
          <w:sz w:val="24"/>
          <w:highlight w:val="none"/>
        </w:rPr>
      </w:pPr>
    </w:p>
    <w:p w14:paraId="2E4857DA">
      <w:pPr>
        <w:spacing w:line="660" w:lineRule="exact"/>
        <w:ind w:firstLine="480" w:firstLineChars="200"/>
        <w:rPr>
          <w:sz w:val="24"/>
          <w:highlight w:val="none"/>
        </w:rPr>
      </w:pPr>
    </w:p>
    <w:p w14:paraId="5136B7E0">
      <w:pPr>
        <w:spacing w:line="360" w:lineRule="auto"/>
        <w:rPr>
          <w:rFonts w:asciiTheme="majorEastAsia" w:hAnsiTheme="majorEastAsia" w:eastAsiaTheme="majorEastAsia" w:cstheme="majorEastAsia"/>
          <w:sz w:val="28"/>
          <w:szCs w:val="28"/>
          <w:highlight w:val="none"/>
        </w:rPr>
      </w:pPr>
    </w:p>
    <w:p w14:paraId="671DD31C">
      <w:pPr>
        <w:spacing w:before="120" w:beforeLines="50" w:after="120" w:afterLines="50"/>
        <w:jc w:val="center"/>
        <w:outlineLvl w:val="1"/>
        <w:rPr>
          <w:rStyle w:val="42"/>
          <w:rFonts w:asciiTheme="majorEastAsia" w:hAnsiTheme="majorEastAsia" w:eastAsiaTheme="majorEastAsia" w:cstheme="majorEastAsia"/>
          <w:b/>
          <w:bCs/>
          <w:sz w:val="28"/>
          <w:highlight w:val="none"/>
        </w:rPr>
      </w:pPr>
      <w:r>
        <w:rPr>
          <w:rFonts w:hint="eastAsia" w:asciiTheme="majorEastAsia" w:hAnsiTheme="majorEastAsia" w:eastAsiaTheme="majorEastAsia" w:cstheme="majorEastAsia"/>
          <w:sz w:val="28"/>
          <w:szCs w:val="28"/>
          <w:highlight w:val="none"/>
        </w:rPr>
        <w:br w:type="page"/>
      </w:r>
      <w:bookmarkStart w:id="202" w:name="_Toc28812"/>
      <w:bookmarkStart w:id="203" w:name="_Toc10241"/>
      <w:bookmarkStart w:id="204" w:name="_Toc20352"/>
      <w:r>
        <w:rPr>
          <w:rStyle w:val="42"/>
          <w:rFonts w:hint="eastAsia" w:asciiTheme="majorEastAsia" w:hAnsiTheme="majorEastAsia" w:eastAsiaTheme="majorEastAsia" w:cstheme="majorEastAsia"/>
          <w:b/>
          <w:bCs/>
          <w:kern w:val="0"/>
          <w:sz w:val="28"/>
          <w:highlight w:val="none"/>
        </w:rPr>
        <w:t>一、投标函</w:t>
      </w:r>
      <w:bookmarkEnd w:id="201"/>
      <w:bookmarkEnd w:id="202"/>
      <w:bookmarkEnd w:id="203"/>
      <w:bookmarkEnd w:id="204"/>
    </w:p>
    <w:p w14:paraId="2D99D4B7">
      <w:pPr>
        <w:spacing w:line="470" w:lineRule="exact"/>
        <w:rPr>
          <w:rFonts w:asciiTheme="majorEastAsia" w:hAnsiTheme="majorEastAsia" w:eastAsiaTheme="majorEastAsia" w:cstheme="majorEastAsia"/>
          <w:bCs/>
          <w:sz w:val="24"/>
          <w:szCs w:val="24"/>
          <w:highlight w:val="none"/>
          <w:u w:val="single"/>
        </w:rPr>
      </w:pPr>
      <w:r>
        <w:rPr>
          <w:rFonts w:hint="eastAsia" w:asciiTheme="majorEastAsia" w:hAnsiTheme="majorEastAsia" w:eastAsiaTheme="majorEastAsia" w:cstheme="majorEastAsia"/>
          <w:bCs/>
          <w:sz w:val="24"/>
          <w:szCs w:val="24"/>
          <w:highlight w:val="none"/>
          <w:u w:val="single"/>
        </w:rPr>
        <w:t>（招标人名称）：</w:t>
      </w:r>
    </w:p>
    <w:p w14:paraId="37DD85C7">
      <w:pPr>
        <w:keepNext w:val="0"/>
        <w:keepLines w:val="0"/>
        <w:pageBreakBefore w:val="0"/>
        <w:widowControl w:val="0"/>
        <w:numPr>
          <w:ilvl w:val="0"/>
          <w:numId w:val="0"/>
        </w:numPr>
        <w:tabs>
          <w:tab w:val="left" w:pos="425"/>
        </w:tabs>
        <w:kinsoku/>
        <w:wordWrap/>
        <w:overflowPunct/>
        <w:topLinePunct w:val="0"/>
        <w:autoSpaceDE/>
        <w:autoSpaceDN/>
        <w:bidi w:val="0"/>
        <w:adjustRightInd/>
        <w:snapToGrid/>
        <w:spacing w:line="520" w:lineRule="exact"/>
        <w:ind w:firstLine="480" w:firstLineChars="200"/>
        <w:textAlignment w:val="auto"/>
        <w:rPr>
          <w:sz w:val="24"/>
          <w:szCs w:val="24"/>
          <w:highlight w:val="none"/>
        </w:rPr>
      </w:pPr>
      <w:r>
        <w:rPr>
          <w:rFonts w:hint="eastAsia" w:asciiTheme="majorEastAsia" w:hAnsiTheme="majorEastAsia" w:eastAsiaTheme="majorEastAsia" w:cstheme="majorEastAsia"/>
          <w:sz w:val="24"/>
          <w:szCs w:val="24"/>
          <w:highlight w:val="none"/>
          <w:lang w:val="en-US" w:eastAsia="zh-CN"/>
        </w:rPr>
        <w:t>1、</w:t>
      </w:r>
      <w:r>
        <w:rPr>
          <w:rFonts w:hint="eastAsia" w:asciiTheme="majorEastAsia" w:hAnsiTheme="majorEastAsia" w:eastAsiaTheme="majorEastAsia" w:cstheme="majorEastAsia"/>
          <w:sz w:val="24"/>
          <w:szCs w:val="24"/>
          <w:highlight w:val="none"/>
        </w:rPr>
        <w:t>根据已收到的</w:t>
      </w:r>
      <w:r>
        <w:rPr>
          <w:rFonts w:hint="eastAsia" w:asciiTheme="majorEastAsia" w:hAnsiTheme="majorEastAsia" w:eastAsiaTheme="majorEastAsia" w:cstheme="majorEastAsia"/>
          <w:sz w:val="24"/>
          <w:szCs w:val="24"/>
          <w:highlight w:val="none"/>
          <w:u w:val="single"/>
        </w:rPr>
        <w:t>　　　　　　　　　　　　　　　</w:t>
      </w:r>
      <w:r>
        <w:rPr>
          <w:rFonts w:hint="eastAsia" w:asciiTheme="majorEastAsia" w:hAnsiTheme="majorEastAsia" w:eastAsiaTheme="majorEastAsia" w:cstheme="majorEastAsia"/>
          <w:sz w:val="24"/>
          <w:szCs w:val="24"/>
          <w:highlight w:val="none"/>
        </w:rPr>
        <w:t>（项目名称）</w:t>
      </w:r>
      <w:r>
        <w:rPr>
          <w:rFonts w:hint="eastAsia" w:asciiTheme="majorEastAsia" w:hAnsiTheme="majorEastAsia" w:eastAsiaTheme="majorEastAsia" w:cstheme="majorEastAsia"/>
          <w:sz w:val="24"/>
          <w:szCs w:val="24"/>
          <w:highlight w:val="none"/>
          <w:lang w:eastAsia="zh-CN"/>
        </w:rPr>
        <w:t>五标段</w:t>
      </w:r>
      <w:r>
        <w:rPr>
          <w:rFonts w:hint="eastAsia" w:asciiTheme="majorEastAsia" w:hAnsiTheme="majorEastAsia" w:eastAsiaTheme="majorEastAsia" w:cstheme="majorEastAsia"/>
          <w:sz w:val="24"/>
          <w:szCs w:val="24"/>
          <w:highlight w:val="none"/>
        </w:rPr>
        <w:t>的招标文件，我单位经考察现场和研究上述工程招标文件的投标人须知、合同条款和其他有关文件后，我方愿</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以</w:t>
      </w:r>
      <w:r>
        <w:rPr>
          <w:rFonts w:hint="eastAsia" w:asciiTheme="majorEastAsia" w:hAnsiTheme="majorEastAsia" w:eastAsiaTheme="majorEastAsia" w:cstheme="majorEastAsia"/>
          <w:sz w:val="24"/>
          <w:szCs w:val="24"/>
          <w:highlight w:val="none"/>
          <w:lang w:eastAsia="zh-CN"/>
        </w:rPr>
        <w:t>跟踪审计</w:t>
      </w:r>
      <w:r>
        <w:rPr>
          <w:rFonts w:hint="eastAsia" w:asciiTheme="majorEastAsia" w:hAnsiTheme="majorEastAsia" w:eastAsiaTheme="majorEastAsia" w:cstheme="majorEastAsia"/>
          <w:sz w:val="24"/>
          <w:szCs w:val="24"/>
          <w:highlight w:val="none"/>
        </w:rPr>
        <w:t>费投标费</w:t>
      </w:r>
      <w:r>
        <w:rPr>
          <w:rFonts w:hint="eastAsia" w:ascii="宋体" w:hAnsi="宋体" w:eastAsia="宋体" w:cs="宋体"/>
          <w:color w:val="auto"/>
          <w:spacing w:val="-10"/>
          <w:sz w:val="24"/>
          <w:szCs w:val="24"/>
        </w:rPr>
        <w:t>为：</w:t>
      </w:r>
      <w:r>
        <w:rPr>
          <w:rFonts w:hint="eastAsia" w:asciiTheme="majorEastAsia" w:hAnsiTheme="majorEastAsia" w:eastAsiaTheme="majorEastAsia" w:cstheme="majorEastAsia"/>
          <w:sz w:val="24"/>
          <w:szCs w:val="24"/>
          <w:highlight w:val="none"/>
        </w:rPr>
        <w:t>大写</w:t>
      </w:r>
      <w:r>
        <w:rPr>
          <w:rFonts w:hint="eastAsia" w:ascii="宋体" w:hAnsi="宋体" w:eastAsia="宋体" w:cs="宋体"/>
          <w:color w:val="auto"/>
          <w:spacing w:val="-10"/>
          <w:sz w:val="24"/>
          <w:szCs w:val="24"/>
          <w:u w:val="single"/>
        </w:rPr>
        <w:t xml:space="preserve">            </w:t>
      </w:r>
      <w:r>
        <w:rPr>
          <w:rFonts w:hint="eastAsia" w:ascii="宋体" w:hAnsi="宋体" w:eastAsia="宋体" w:cs="宋体"/>
          <w:color w:val="auto"/>
          <w:spacing w:val="-10"/>
          <w:sz w:val="24"/>
          <w:szCs w:val="24"/>
        </w:rPr>
        <w:t>（</w:t>
      </w:r>
      <w:r>
        <w:rPr>
          <w:rFonts w:hint="eastAsia" w:asciiTheme="majorEastAsia" w:hAnsiTheme="majorEastAsia" w:eastAsiaTheme="majorEastAsia" w:cstheme="majorEastAsia"/>
          <w:sz w:val="24"/>
          <w:szCs w:val="24"/>
          <w:highlight w:val="none"/>
        </w:rPr>
        <w:t>小写</w:t>
      </w:r>
      <w:r>
        <w:rPr>
          <w:rFonts w:hint="eastAsia" w:ascii="宋体" w:hAnsi="宋体" w:eastAsia="宋体" w:cs="宋体"/>
          <w:color w:val="auto"/>
          <w:spacing w:val="-10"/>
          <w:sz w:val="24"/>
          <w:szCs w:val="24"/>
        </w:rPr>
        <w:t>：</w:t>
      </w:r>
      <w:r>
        <w:rPr>
          <w:rFonts w:hint="eastAsia" w:ascii="宋体" w:hAnsi="宋体" w:eastAsia="宋体" w:cs="宋体"/>
          <w:color w:val="auto"/>
          <w:spacing w:val="-10"/>
          <w:sz w:val="24"/>
          <w:szCs w:val="24"/>
          <w:u w:val="single"/>
        </w:rPr>
        <w:t xml:space="preserve">          </w:t>
      </w:r>
      <w:r>
        <w:rPr>
          <w:rFonts w:hint="eastAsia" w:ascii="宋体" w:hAnsi="宋体" w:eastAsia="宋体" w:cs="宋体"/>
          <w:color w:val="auto"/>
          <w:spacing w:val="-10"/>
          <w:sz w:val="24"/>
          <w:szCs w:val="24"/>
        </w:rPr>
        <w:t>）</w:t>
      </w:r>
      <w:r>
        <w:rPr>
          <w:rFonts w:hint="eastAsia" w:asciiTheme="majorEastAsia" w:hAnsiTheme="majorEastAsia" w:eastAsiaTheme="majorEastAsia" w:cstheme="majorEastAsia"/>
          <w:sz w:val="24"/>
          <w:szCs w:val="24"/>
          <w:highlight w:val="none"/>
        </w:rPr>
        <w:t>，按上述合同条件承担上述工程的</w:t>
      </w:r>
      <w:r>
        <w:rPr>
          <w:rFonts w:hint="eastAsia" w:asciiTheme="majorEastAsia" w:hAnsiTheme="majorEastAsia" w:eastAsiaTheme="majorEastAsia" w:cstheme="majorEastAsia"/>
          <w:sz w:val="24"/>
          <w:szCs w:val="24"/>
          <w:highlight w:val="none"/>
          <w:lang w:eastAsia="zh-CN"/>
        </w:rPr>
        <w:t>跟踪审计</w:t>
      </w:r>
      <w:r>
        <w:rPr>
          <w:rFonts w:hint="eastAsia" w:asciiTheme="majorEastAsia" w:hAnsiTheme="majorEastAsia" w:eastAsiaTheme="majorEastAsia" w:cstheme="majorEastAsia"/>
          <w:sz w:val="24"/>
          <w:szCs w:val="24"/>
          <w:highlight w:val="none"/>
        </w:rPr>
        <w:t>工作。</w:t>
      </w:r>
    </w:p>
    <w:p w14:paraId="7D62AC29">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2、我方同意所递交的投标文件</w:t>
      </w:r>
      <w:r>
        <w:rPr>
          <w:rFonts w:hint="eastAsia" w:asciiTheme="majorEastAsia" w:hAnsiTheme="majorEastAsia" w:eastAsiaTheme="majorEastAsia" w:cstheme="majorEastAsia"/>
          <w:sz w:val="24"/>
          <w:szCs w:val="24"/>
          <w:highlight w:val="none"/>
          <w:u w:val="single"/>
          <w:lang w:val="en-US" w:eastAsia="zh-CN"/>
        </w:rPr>
        <w:t>90日历</w:t>
      </w:r>
      <w:r>
        <w:rPr>
          <w:rFonts w:hint="eastAsia" w:asciiTheme="majorEastAsia" w:hAnsiTheme="majorEastAsia" w:eastAsiaTheme="majorEastAsia" w:cstheme="majorEastAsia"/>
          <w:sz w:val="24"/>
          <w:szCs w:val="24"/>
          <w:highlight w:val="none"/>
          <w:u w:val="single"/>
        </w:rPr>
        <w:t>天</w:t>
      </w:r>
      <w:r>
        <w:rPr>
          <w:rFonts w:hint="eastAsia" w:asciiTheme="majorEastAsia" w:hAnsiTheme="majorEastAsia" w:eastAsiaTheme="majorEastAsia" w:cstheme="majorEastAsia"/>
          <w:sz w:val="24"/>
          <w:szCs w:val="24"/>
          <w:highlight w:val="none"/>
        </w:rPr>
        <w:t>内有效，在此期间内我方的投标有可能中标，我方将受此约束。</w:t>
      </w:r>
    </w:p>
    <w:p w14:paraId="05BBDC8E">
      <w:pPr>
        <w:spacing w:line="470" w:lineRule="exact"/>
        <w:ind w:firstLine="480" w:firstLineChars="200"/>
        <w:rPr>
          <w:rFonts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3、除非另外达成协议并生效，你方的中标通知书和本投标文件将构成约束我们双方的合同。</w:t>
      </w:r>
    </w:p>
    <w:p w14:paraId="1E4010E5">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4、我方郑重声明对招标文件和合同条款完全认同，对招标文件中提出的对本次投标工程的质量、服务期等要求完全响应。</w:t>
      </w:r>
    </w:p>
    <w:p w14:paraId="0EC9D34B">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5、我方在此声明，所递交的投标文件及有关资料内容完整、真实和准确，且不存在第二章“投标人须知”第1.4.3 项规定的任何一种情形。</w:t>
      </w:r>
    </w:p>
    <w:p w14:paraId="3CCC9F08">
      <w:pPr>
        <w:spacing w:line="470" w:lineRule="exact"/>
        <w:ind w:firstLine="480" w:firstLineChars="200"/>
        <w:rPr>
          <w:rFonts w:asciiTheme="majorEastAsia" w:hAnsiTheme="majorEastAsia" w:eastAsiaTheme="majorEastAsia" w:cstheme="majorEastAsia"/>
          <w:sz w:val="24"/>
          <w:szCs w:val="24"/>
          <w:highlight w:val="none"/>
        </w:rPr>
      </w:pPr>
    </w:p>
    <w:p w14:paraId="2403B2FC">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投标人（盖单位章）：                              单位地址：</w:t>
      </w:r>
    </w:p>
    <w:p w14:paraId="35E1AE91">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法定代表人或委托代理人：（签字或盖章）            邮政编码：</w:t>
      </w:r>
    </w:p>
    <w:p w14:paraId="565CF8F7">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电话：                                            传    真：</w:t>
      </w:r>
    </w:p>
    <w:p w14:paraId="5A6834A7">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开户银行名称：                                    银行账号：</w:t>
      </w:r>
    </w:p>
    <w:p w14:paraId="5F1AF3BA">
      <w:pPr>
        <w:spacing w:line="470" w:lineRule="exact"/>
        <w:ind w:firstLine="480" w:firstLineChars="200"/>
        <w:rPr>
          <w:rFonts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开户银行地址：                                    日期：     年   月   日</w:t>
      </w:r>
    </w:p>
    <w:p w14:paraId="48A348E1">
      <w:pPr>
        <w:rPr>
          <w:rFonts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br w:type="page"/>
      </w:r>
    </w:p>
    <w:p w14:paraId="290D07D4">
      <w:pPr>
        <w:spacing w:before="120" w:beforeLines="50" w:after="120" w:afterLines="50"/>
        <w:jc w:val="center"/>
        <w:outlineLvl w:val="1"/>
        <w:rPr>
          <w:rStyle w:val="42"/>
          <w:rFonts w:asciiTheme="majorEastAsia" w:hAnsiTheme="majorEastAsia" w:eastAsiaTheme="majorEastAsia" w:cstheme="majorEastAsia"/>
          <w:b/>
          <w:bCs/>
          <w:iCs w:val="0"/>
          <w:sz w:val="28"/>
          <w:highlight w:val="none"/>
        </w:rPr>
      </w:pPr>
      <w:bookmarkStart w:id="205" w:name="_Toc7019"/>
      <w:bookmarkStart w:id="206" w:name="_Toc2497"/>
      <w:bookmarkStart w:id="207" w:name="_Toc21103"/>
      <w:bookmarkStart w:id="208" w:name="_Toc309377253"/>
      <w:r>
        <w:rPr>
          <w:rStyle w:val="42"/>
          <w:rFonts w:hint="eastAsia" w:asciiTheme="majorEastAsia" w:hAnsiTheme="majorEastAsia" w:eastAsiaTheme="majorEastAsia" w:cstheme="majorEastAsia"/>
          <w:b/>
          <w:bCs/>
          <w:iCs w:val="0"/>
          <w:sz w:val="28"/>
          <w:highlight w:val="none"/>
          <w:lang w:eastAsia="zh-CN"/>
        </w:rPr>
        <w:t>报价</w:t>
      </w:r>
      <w:r>
        <w:rPr>
          <w:rStyle w:val="42"/>
          <w:rFonts w:hint="eastAsia" w:asciiTheme="majorEastAsia" w:hAnsiTheme="majorEastAsia" w:eastAsiaTheme="majorEastAsia" w:cstheme="majorEastAsia"/>
          <w:b/>
          <w:bCs/>
          <w:iCs w:val="0"/>
          <w:sz w:val="28"/>
          <w:highlight w:val="none"/>
        </w:rPr>
        <w:t>一览表</w:t>
      </w:r>
      <w:bookmarkEnd w:id="205"/>
      <w:bookmarkEnd w:id="206"/>
      <w:bookmarkEnd w:id="207"/>
    </w:p>
    <w:tbl>
      <w:tblPr>
        <w:tblStyle w:val="36"/>
        <w:tblpPr w:leftFromText="180" w:rightFromText="180" w:vertAnchor="page" w:horzAnchor="margin" w:tblpX="-116" w:tblpY="2011"/>
        <w:tblW w:w="9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2203"/>
        <w:gridCol w:w="3710"/>
        <w:gridCol w:w="763"/>
        <w:gridCol w:w="998"/>
      </w:tblGrid>
      <w:tr w14:paraId="3FD9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1684" w:type="dxa"/>
            <w:vAlign w:val="center"/>
          </w:tcPr>
          <w:p w14:paraId="05BB67A2">
            <w:pPr>
              <w:spacing w:line="360" w:lineRule="auto"/>
              <w:jc w:val="center"/>
              <w:outlineLvl w:val="1"/>
              <w:rPr>
                <w:rFonts w:hint="eastAsia" w:asciiTheme="majorEastAsia" w:hAnsiTheme="majorEastAsia" w:eastAsiaTheme="majorEastAsia" w:cstheme="majorEastAsia"/>
                <w:sz w:val="24"/>
                <w:szCs w:val="32"/>
                <w:highlight w:val="none"/>
              </w:rPr>
            </w:pPr>
            <w:bookmarkStart w:id="209" w:name="_Toc25227"/>
            <w:bookmarkStart w:id="210" w:name="_Toc3755"/>
            <w:bookmarkStart w:id="211" w:name="_Toc6822"/>
            <w:bookmarkStart w:id="212" w:name="_Toc4862"/>
            <w:r>
              <w:rPr>
                <w:rFonts w:hint="eastAsia" w:asciiTheme="majorEastAsia" w:hAnsiTheme="majorEastAsia" w:eastAsiaTheme="majorEastAsia" w:cstheme="majorEastAsia"/>
                <w:sz w:val="24"/>
                <w:szCs w:val="32"/>
                <w:highlight w:val="none"/>
              </w:rPr>
              <w:t>项目名称</w:t>
            </w:r>
            <w:bookmarkEnd w:id="209"/>
            <w:bookmarkEnd w:id="210"/>
            <w:bookmarkEnd w:id="211"/>
            <w:bookmarkEnd w:id="212"/>
          </w:p>
        </w:tc>
        <w:tc>
          <w:tcPr>
            <w:tcW w:w="5913" w:type="dxa"/>
            <w:gridSpan w:val="2"/>
            <w:vAlign w:val="center"/>
          </w:tcPr>
          <w:p w14:paraId="72270110">
            <w:pPr>
              <w:spacing w:line="360" w:lineRule="auto"/>
              <w:jc w:val="center"/>
              <w:outlineLvl w:val="1"/>
              <w:rPr>
                <w:rFonts w:hint="eastAsia" w:asciiTheme="majorEastAsia" w:hAnsiTheme="majorEastAsia" w:eastAsiaTheme="majorEastAsia" w:cstheme="majorEastAsia"/>
                <w:sz w:val="24"/>
                <w:szCs w:val="32"/>
                <w:highlight w:val="none"/>
              </w:rPr>
            </w:pPr>
            <w:bookmarkStart w:id="213" w:name="_Toc25312"/>
            <w:bookmarkStart w:id="214" w:name="_Toc26129"/>
            <w:r>
              <w:rPr>
                <w:rFonts w:hint="eastAsia" w:asciiTheme="majorEastAsia" w:hAnsiTheme="majorEastAsia" w:eastAsiaTheme="majorEastAsia" w:cstheme="majorEastAsia"/>
                <w:sz w:val="24"/>
                <w:szCs w:val="32"/>
                <w:highlight w:val="none"/>
                <w:lang w:val="en-US" w:eastAsia="zh-CN"/>
              </w:rPr>
              <w:t>菏泽市牡丹区乡镇水环境综合治理项目（第二批施工、监理及跟踪审计）</w:t>
            </w:r>
            <w:bookmarkEnd w:id="213"/>
            <w:bookmarkEnd w:id="214"/>
          </w:p>
        </w:tc>
        <w:tc>
          <w:tcPr>
            <w:tcW w:w="763" w:type="dxa"/>
            <w:vAlign w:val="center"/>
          </w:tcPr>
          <w:p w14:paraId="26F7CC35">
            <w:pPr>
              <w:spacing w:line="360" w:lineRule="auto"/>
              <w:jc w:val="center"/>
              <w:outlineLvl w:val="1"/>
              <w:rPr>
                <w:rFonts w:hint="eastAsia" w:asciiTheme="majorEastAsia" w:hAnsiTheme="majorEastAsia" w:eastAsiaTheme="majorEastAsia" w:cstheme="majorEastAsia"/>
                <w:sz w:val="24"/>
                <w:szCs w:val="32"/>
                <w:highlight w:val="none"/>
                <w:lang w:eastAsia="zh-CN"/>
              </w:rPr>
            </w:pPr>
            <w:bookmarkStart w:id="215" w:name="_Toc3726"/>
            <w:bookmarkStart w:id="216" w:name="_Toc22806"/>
            <w:r>
              <w:rPr>
                <w:rFonts w:hint="eastAsia" w:asciiTheme="majorEastAsia" w:hAnsiTheme="majorEastAsia" w:eastAsiaTheme="majorEastAsia" w:cstheme="majorEastAsia"/>
                <w:sz w:val="24"/>
                <w:szCs w:val="32"/>
                <w:highlight w:val="none"/>
                <w:lang w:eastAsia="zh-CN"/>
              </w:rPr>
              <w:t>标段</w:t>
            </w:r>
            <w:bookmarkEnd w:id="215"/>
            <w:bookmarkEnd w:id="216"/>
          </w:p>
        </w:tc>
        <w:tc>
          <w:tcPr>
            <w:tcW w:w="998" w:type="dxa"/>
            <w:vAlign w:val="center"/>
          </w:tcPr>
          <w:p w14:paraId="2EA46DA6">
            <w:pPr>
              <w:spacing w:line="360" w:lineRule="auto"/>
              <w:jc w:val="center"/>
              <w:outlineLvl w:val="9"/>
              <w:rPr>
                <w:rFonts w:hint="eastAsia" w:asciiTheme="majorEastAsia" w:hAnsiTheme="majorEastAsia" w:eastAsiaTheme="majorEastAsia" w:cstheme="majorEastAsia"/>
                <w:sz w:val="24"/>
                <w:szCs w:val="32"/>
                <w:highlight w:val="none"/>
                <w:lang w:eastAsia="zh-CN"/>
              </w:rPr>
            </w:pPr>
            <w:r>
              <w:rPr>
                <w:rFonts w:hint="eastAsia" w:asciiTheme="majorEastAsia" w:hAnsiTheme="majorEastAsia" w:eastAsiaTheme="majorEastAsia" w:cstheme="majorEastAsia"/>
                <w:sz w:val="24"/>
                <w:szCs w:val="32"/>
                <w:highlight w:val="none"/>
                <w:lang w:val="en-US" w:eastAsia="zh-CN"/>
              </w:rPr>
              <w:t xml:space="preserve">五 </w:t>
            </w:r>
          </w:p>
        </w:tc>
      </w:tr>
      <w:tr w14:paraId="6747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684" w:type="dxa"/>
            <w:vAlign w:val="center"/>
          </w:tcPr>
          <w:p w14:paraId="008DDFBA">
            <w:pPr>
              <w:spacing w:line="360" w:lineRule="auto"/>
              <w:jc w:val="center"/>
              <w:outlineLvl w:val="1"/>
              <w:rPr>
                <w:rFonts w:hint="eastAsia" w:asciiTheme="majorEastAsia" w:hAnsiTheme="majorEastAsia" w:eastAsiaTheme="majorEastAsia" w:cstheme="majorEastAsia"/>
                <w:sz w:val="24"/>
                <w:szCs w:val="32"/>
                <w:highlight w:val="none"/>
              </w:rPr>
            </w:pPr>
            <w:bookmarkStart w:id="217" w:name="_Toc20495"/>
            <w:bookmarkStart w:id="218" w:name="_Toc31230"/>
            <w:bookmarkStart w:id="219" w:name="_Toc10836"/>
            <w:bookmarkStart w:id="220" w:name="_Toc2784"/>
            <w:r>
              <w:rPr>
                <w:rFonts w:hint="eastAsia" w:asciiTheme="majorEastAsia" w:hAnsiTheme="majorEastAsia" w:eastAsiaTheme="majorEastAsia" w:cstheme="majorEastAsia"/>
                <w:sz w:val="24"/>
                <w:szCs w:val="32"/>
                <w:highlight w:val="none"/>
              </w:rPr>
              <w:t>投标人名称</w:t>
            </w:r>
            <w:bookmarkEnd w:id="217"/>
            <w:bookmarkEnd w:id="218"/>
            <w:bookmarkEnd w:id="219"/>
            <w:bookmarkEnd w:id="220"/>
          </w:p>
        </w:tc>
        <w:tc>
          <w:tcPr>
            <w:tcW w:w="7674" w:type="dxa"/>
            <w:gridSpan w:val="4"/>
            <w:vAlign w:val="center"/>
          </w:tcPr>
          <w:p w14:paraId="4B93475D">
            <w:pPr>
              <w:spacing w:line="360" w:lineRule="auto"/>
              <w:jc w:val="center"/>
              <w:outlineLvl w:val="9"/>
              <w:rPr>
                <w:rFonts w:asciiTheme="majorEastAsia" w:hAnsiTheme="majorEastAsia" w:eastAsiaTheme="majorEastAsia" w:cstheme="majorEastAsia"/>
                <w:sz w:val="22"/>
                <w:szCs w:val="28"/>
                <w:highlight w:val="none"/>
              </w:rPr>
            </w:pPr>
          </w:p>
        </w:tc>
      </w:tr>
      <w:tr w14:paraId="22CBC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2" w:hRule="atLeast"/>
        </w:trPr>
        <w:tc>
          <w:tcPr>
            <w:tcW w:w="1684" w:type="dxa"/>
            <w:vMerge w:val="restart"/>
            <w:vAlign w:val="center"/>
          </w:tcPr>
          <w:p w14:paraId="62A4E949">
            <w:pPr>
              <w:spacing w:line="360" w:lineRule="auto"/>
              <w:jc w:val="center"/>
              <w:outlineLvl w:val="1"/>
              <w:rPr>
                <w:rFonts w:hint="default" w:asciiTheme="majorEastAsia" w:hAnsiTheme="majorEastAsia" w:eastAsiaTheme="majorEastAsia" w:cstheme="majorEastAsia"/>
                <w:sz w:val="24"/>
                <w:szCs w:val="32"/>
                <w:highlight w:val="none"/>
                <w:lang w:val="en-US" w:eastAsia="zh-CN"/>
              </w:rPr>
            </w:pPr>
            <w:bookmarkStart w:id="221" w:name="_Toc2321"/>
            <w:bookmarkStart w:id="222" w:name="_Toc12653"/>
            <w:r>
              <w:rPr>
                <w:rFonts w:hint="default" w:asciiTheme="majorEastAsia" w:hAnsiTheme="majorEastAsia" w:eastAsiaTheme="majorEastAsia" w:cstheme="majorEastAsia"/>
                <w:sz w:val="24"/>
                <w:szCs w:val="32"/>
                <w:highlight w:val="none"/>
                <w:lang w:val="en-US" w:eastAsia="zh-CN"/>
              </w:rPr>
              <w:t>投标报价</w:t>
            </w:r>
            <w:bookmarkEnd w:id="221"/>
            <w:bookmarkEnd w:id="222"/>
          </w:p>
        </w:tc>
        <w:tc>
          <w:tcPr>
            <w:tcW w:w="2203" w:type="dxa"/>
            <w:vMerge w:val="restart"/>
            <w:vAlign w:val="center"/>
          </w:tcPr>
          <w:p w14:paraId="6F4EB3DD">
            <w:pPr>
              <w:jc w:val="center"/>
              <w:rPr>
                <w:rFonts w:hint="eastAsia" w:ascii="宋体" w:hAnsi="宋体" w:eastAsia="宋体" w:cs="宋体"/>
                <w:color w:val="auto"/>
                <w:sz w:val="22"/>
                <w:szCs w:val="22"/>
              </w:rPr>
            </w:pPr>
            <w:r>
              <w:rPr>
                <w:rFonts w:hint="eastAsia" w:ascii="宋体" w:hAnsi="宋体" w:cs="宋体"/>
                <w:color w:val="auto"/>
                <w:sz w:val="22"/>
                <w:szCs w:val="22"/>
                <w:lang w:eastAsia="zh-CN"/>
              </w:rPr>
              <w:t>跟踪审计</w:t>
            </w:r>
            <w:r>
              <w:rPr>
                <w:rFonts w:hint="eastAsia" w:ascii="宋体" w:hAnsi="宋体" w:eastAsia="宋体" w:cs="宋体"/>
                <w:color w:val="auto"/>
                <w:sz w:val="22"/>
                <w:szCs w:val="22"/>
              </w:rPr>
              <w:t>费</w:t>
            </w:r>
          </w:p>
          <w:p w14:paraId="7FC3B3DF">
            <w:pPr>
              <w:jc w:val="center"/>
              <w:rPr>
                <w:rFonts w:hint="eastAsia" w:asciiTheme="majorEastAsia" w:hAnsiTheme="majorEastAsia" w:eastAsiaTheme="majorEastAsia" w:cstheme="majorEastAsia"/>
                <w:sz w:val="20"/>
                <w:szCs w:val="22"/>
                <w:highlight w:val="yellow"/>
                <w:lang w:eastAsia="zh-CN"/>
              </w:rPr>
            </w:pPr>
          </w:p>
        </w:tc>
        <w:tc>
          <w:tcPr>
            <w:tcW w:w="5471" w:type="dxa"/>
            <w:gridSpan w:val="3"/>
            <w:vAlign w:val="center"/>
          </w:tcPr>
          <w:p w14:paraId="17FFD119">
            <w:pPr>
              <w:jc w:val="both"/>
              <w:rPr>
                <w:rFonts w:hint="default" w:ascii="宋体" w:hAnsi="宋体" w:eastAsia="宋体" w:cs="宋体"/>
                <w:color w:val="auto"/>
                <w:sz w:val="22"/>
                <w:szCs w:val="22"/>
                <w:lang w:val="en-US"/>
              </w:rPr>
            </w:pPr>
            <w:r>
              <w:rPr>
                <w:rFonts w:hint="eastAsia" w:ascii="宋体" w:hAnsi="宋体" w:eastAsia="宋体" w:cs="宋体"/>
                <w:color w:val="auto"/>
                <w:sz w:val="22"/>
                <w:szCs w:val="22"/>
                <w:lang w:eastAsia="zh-CN"/>
              </w:rPr>
              <w:t>大写：</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cs="宋体"/>
                <w:color w:val="auto"/>
                <w:sz w:val="22"/>
                <w:szCs w:val="22"/>
                <w:u w:val="none"/>
                <w:lang w:val="en-US" w:eastAsia="zh-CN"/>
              </w:rPr>
              <w:t xml:space="preserve">   </w:t>
            </w:r>
            <w:r>
              <w:rPr>
                <w:rFonts w:hint="eastAsia" w:ascii="宋体" w:hAnsi="宋体" w:cs="宋体"/>
                <w:color w:val="auto"/>
                <w:sz w:val="22"/>
                <w:szCs w:val="22"/>
                <w:u w:val="single"/>
                <w:lang w:val="en-US" w:eastAsia="zh-CN"/>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u w:val="none"/>
                <w:lang w:val="en-US" w:eastAsia="zh-CN"/>
              </w:rPr>
              <w:t xml:space="preserve">      </w:t>
            </w:r>
          </w:p>
        </w:tc>
      </w:tr>
      <w:tr w14:paraId="0397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84" w:type="dxa"/>
            <w:vMerge w:val="continue"/>
            <w:vAlign w:val="center"/>
          </w:tcPr>
          <w:p w14:paraId="102DCFA1">
            <w:pPr>
              <w:spacing w:line="360" w:lineRule="auto"/>
              <w:jc w:val="center"/>
              <w:outlineLvl w:val="9"/>
              <w:rPr>
                <w:rFonts w:hint="default" w:asciiTheme="majorEastAsia" w:hAnsiTheme="majorEastAsia" w:eastAsiaTheme="majorEastAsia" w:cstheme="majorEastAsia"/>
                <w:sz w:val="24"/>
                <w:szCs w:val="32"/>
                <w:highlight w:val="none"/>
                <w:lang w:val="en-US" w:eastAsia="zh-CN"/>
              </w:rPr>
            </w:pPr>
          </w:p>
        </w:tc>
        <w:tc>
          <w:tcPr>
            <w:tcW w:w="2203" w:type="dxa"/>
            <w:vMerge w:val="continue"/>
            <w:vAlign w:val="center"/>
          </w:tcPr>
          <w:p w14:paraId="745B7F40">
            <w:pPr>
              <w:jc w:val="both"/>
              <w:rPr>
                <w:rFonts w:hint="eastAsia" w:asciiTheme="majorEastAsia" w:hAnsiTheme="majorEastAsia" w:eastAsiaTheme="majorEastAsia" w:cstheme="majorEastAsia"/>
                <w:sz w:val="20"/>
                <w:szCs w:val="22"/>
                <w:highlight w:val="yellow"/>
                <w:lang w:eastAsia="zh-CN"/>
              </w:rPr>
            </w:pPr>
          </w:p>
        </w:tc>
        <w:tc>
          <w:tcPr>
            <w:tcW w:w="5471" w:type="dxa"/>
            <w:gridSpan w:val="3"/>
            <w:vAlign w:val="center"/>
          </w:tcPr>
          <w:p w14:paraId="708A45AF">
            <w:pPr>
              <w:jc w:val="both"/>
              <w:rPr>
                <w:rFonts w:hint="eastAsia" w:ascii="宋体" w:hAnsi="宋体" w:eastAsia="宋体" w:cs="宋体"/>
                <w:color w:val="auto"/>
                <w:sz w:val="22"/>
                <w:szCs w:val="22"/>
              </w:rPr>
            </w:pPr>
            <w:r>
              <w:rPr>
                <w:rFonts w:hint="eastAsia" w:ascii="宋体" w:hAnsi="宋体" w:eastAsia="宋体" w:cs="宋体"/>
                <w:color w:val="auto"/>
                <w:sz w:val="22"/>
                <w:szCs w:val="22"/>
                <w:lang w:eastAsia="zh-CN"/>
              </w:rPr>
              <w:t>小写</w:t>
            </w:r>
            <w:r>
              <w:rPr>
                <w:rFonts w:hint="eastAsia" w:ascii="宋体" w:hAnsi="宋体" w:cs="宋体"/>
                <w:color w:val="auto"/>
                <w:sz w:val="22"/>
                <w:szCs w:val="22"/>
                <w:lang w:eastAsia="zh-CN"/>
              </w:rPr>
              <w:t>：</w:t>
            </w:r>
            <w:r>
              <w:rPr>
                <w:rFonts w:hint="eastAsia" w:ascii="宋体" w:hAnsi="宋体" w:eastAsia="宋体" w:cs="宋体"/>
                <w:color w:val="auto"/>
                <w:sz w:val="22"/>
                <w:szCs w:val="22"/>
                <w:u w:val="single"/>
                <w:lang w:val="en-US" w:eastAsia="zh-CN"/>
              </w:rPr>
              <w:t xml:space="preserve">      </w:t>
            </w:r>
          </w:p>
        </w:tc>
      </w:tr>
      <w:tr w14:paraId="22AA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684" w:type="dxa"/>
            <w:vAlign w:val="center"/>
          </w:tcPr>
          <w:p w14:paraId="351E27C2">
            <w:pPr>
              <w:spacing w:line="360" w:lineRule="auto"/>
              <w:jc w:val="center"/>
              <w:outlineLvl w:val="1"/>
              <w:rPr>
                <w:rFonts w:hint="eastAsia" w:asciiTheme="majorEastAsia" w:hAnsiTheme="majorEastAsia" w:eastAsiaTheme="majorEastAsia" w:cstheme="majorEastAsia"/>
                <w:sz w:val="24"/>
                <w:szCs w:val="32"/>
                <w:highlight w:val="none"/>
              </w:rPr>
            </w:pPr>
            <w:bookmarkStart w:id="223" w:name="_Toc24184"/>
            <w:bookmarkStart w:id="224" w:name="_Toc6697"/>
            <w:r>
              <w:rPr>
                <w:rFonts w:hint="eastAsia" w:asciiTheme="majorEastAsia" w:hAnsiTheme="majorEastAsia" w:eastAsiaTheme="majorEastAsia" w:cstheme="majorEastAsia"/>
                <w:sz w:val="24"/>
                <w:szCs w:val="32"/>
                <w:highlight w:val="none"/>
              </w:rPr>
              <w:t>服务期</w:t>
            </w:r>
            <w:bookmarkEnd w:id="223"/>
            <w:bookmarkEnd w:id="224"/>
          </w:p>
        </w:tc>
        <w:tc>
          <w:tcPr>
            <w:tcW w:w="7674" w:type="dxa"/>
            <w:gridSpan w:val="4"/>
            <w:vAlign w:val="center"/>
          </w:tcPr>
          <w:p w14:paraId="2A3186B4">
            <w:pPr>
              <w:spacing w:line="360" w:lineRule="auto"/>
              <w:jc w:val="center"/>
              <w:outlineLvl w:val="9"/>
              <w:rPr>
                <w:rFonts w:asciiTheme="majorEastAsia" w:hAnsiTheme="majorEastAsia" w:eastAsiaTheme="majorEastAsia" w:cstheme="majorEastAsia"/>
                <w:sz w:val="22"/>
                <w:szCs w:val="28"/>
                <w:highlight w:val="none"/>
              </w:rPr>
            </w:pPr>
          </w:p>
        </w:tc>
      </w:tr>
      <w:tr w14:paraId="13AB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0" w:hRule="atLeast"/>
        </w:trPr>
        <w:tc>
          <w:tcPr>
            <w:tcW w:w="1684" w:type="dxa"/>
            <w:vAlign w:val="center"/>
          </w:tcPr>
          <w:p w14:paraId="75A7AAD7">
            <w:pPr>
              <w:spacing w:line="360" w:lineRule="auto"/>
              <w:jc w:val="center"/>
              <w:outlineLvl w:val="1"/>
              <w:rPr>
                <w:rFonts w:hint="eastAsia" w:asciiTheme="majorEastAsia" w:hAnsiTheme="majorEastAsia" w:eastAsiaTheme="majorEastAsia" w:cstheme="majorEastAsia"/>
                <w:sz w:val="24"/>
                <w:szCs w:val="32"/>
                <w:highlight w:val="none"/>
              </w:rPr>
            </w:pPr>
            <w:bookmarkStart w:id="225" w:name="_Toc14325"/>
            <w:bookmarkStart w:id="226" w:name="_Toc21619"/>
            <w:r>
              <w:rPr>
                <w:rFonts w:hint="eastAsia" w:asciiTheme="majorEastAsia" w:hAnsiTheme="majorEastAsia" w:eastAsiaTheme="majorEastAsia" w:cstheme="majorEastAsia"/>
                <w:sz w:val="24"/>
                <w:szCs w:val="32"/>
                <w:highlight w:val="none"/>
              </w:rPr>
              <w:t>项目负责人</w:t>
            </w:r>
            <w:bookmarkEnd w:id="225"/>
            <w:bookmarkEnd w:id="226"/>
          </w:p>
        </w:tc>
        <w:tc>
          <w:tcPr>
            <w:tcW w:w="7674" w:type="dxa"/>
            <w:gridSpan w:val="4"/>
            <w:vAlign w:val="center"/>
          </w:tcPr>
          <w:p w14:paraId="793F3541">
            <w:pPr>
              <w:spacing w:line="360" w:lineRule="auto"/>
              <w:jc w:val="center"/>
              <w:outlineLvl w:val="9"/>
              <w:rPr>
                <w:rFonts w:asciiTheme="majorEastAsia" w:hAnsiTheme="majorEastAsia" w:eastAsiaTheme="majorEastAsia" w:cstheme="majorEastAsia"/>
                <w:sz w:val="22"/>
                <w:szCs w:val="22"/>
                <w:highlight w:val="none"/>
              </w:rPr>
            </w:pPr>
          </w:p>
        </w:tc>
      </w:tr>
      <w:tr w14:paraId="5ACD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684" w:type="dxa"/>
            <w:vAlign w:val="center"/>
          </w:tcPr>
          <w:p w14:paraId="2E50C23D">
            <w:pPr>
              <w:spacing w:line="360" w:lineRule="auto"/>
              <w:jc w:val="center"/>
              <w:outlineLvl w:val="1"/>
              <w:rPr>
                <w:rFonts w:hint="eastAsia" w:asciiTheme="majorEastAsia" w:hAnsiTheme="majorEastAsia" w:eastAsiaTheme="majorEastAsia" w:cstheme="majorEastAsia"/>
                <w:sz w:val="24"/>
                <w:szCs w:val="32"/>
                <w:highlight w:val="none"/>
              </w:rPr>
            </w:pPr>
            <w:bookmarkStart w:id="227" w:name="_Toc406"/>
            <w:bookmarkStart w:id="228" w:name="_Toc14099"/>
            <w:r>
              <w:rPr>
                <w:rFonts w:hint="eastAsia" w:asciiTheme="majorEastAsia" w:hAnsiTheme="majorEastAsia" w:eastAsiaTheme="majorEastAsia" w:cstheme="majorEastAsia"/>
                <w:sz w:val="24"/>
                <w:szCs w:val="32"/>
                <w:highlight w:val="none"/>
                <w:lang w:val="en-US" w:eastAsia="zh-CN"/>
              </w:rPr>
              <w:t>质量要求</w:t>
            </w:r>
            <w:bookmarkEnd w:id="227"/>
            <w:bookmarkEnd w:id="228"/>
          </w:p>
        </w:tc>
        <w:tc>
          <w:tcPr>
            <w:tcW w:w="7674" w:type="dxa"/>
            <w:gridSpan w:val="4"/>
            <w:vAlign w:val="center"/>
          </w:tcPr>
          <w:p w14:paraId="4987216F">
            <w:pPr>
              <w:spacing w:line="470" w:lineRule="exact"/>
              <w:jc w:val="center"/>
              <w:rPr>
                <w:rFonts w:asciiTheme="majorEastAsia" w:hAnsiTheme="majorEastAsia" w:eastAsiaTheme="majorEastAsia" w:cstheme="majorEastAsia"/>
                <w:sz w:val="22"/>
                <w:szCs w:val="22"/>
                <w:highlight w:val="none"/>
              </w:rPr>
            </w:pPr>
          </w:p>
        </w:tc>
      </w:tr>
      <w:tr w14:paraId="22E9F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684" w:type="dxa"/>
            <w:vAlign w:val="center"/>
          </w:tcPr>
          <w:p w14:paraId="1297C4A3">
            <w:pPr>
              <w:spacing w:line="360" w:lineRule="auto"/>
              <w:jc w:val="center"/>
              <w:outlineLvl w:val="1"/>
              <w:rPr>
                <w:rFonts w:hint="eastAsia" w:asciiTheme="majorEastAsia" w:hAnsiTheme="majorEastAsia" w:eastAsiaTheme="majorEastAsia" w:cstheme="majorEastAsia"/>
                <w:sz w:val="24"/>
                <w:szCs w:val="32"/>
                <w:highlight w:val="none"/>
              </w:rPr>
            </w:pPr>
            <w:bookmarkStart w:id="229" w:name="_Toc31387"/>
            <w:bookmarkStart w:id="230" w:name="_Toc3113"/>
            <w:r>
              <w:rPr>
                <w:rFonts w:hint="eastAsia" w:asciiTheme="majorEastAsia" w:hAnsiTheme="majorEastAsia" w:eastAsiaTheme="majorEastAsia" w:cstheme="majorEastAsia"/>
                <w:sz w:val="24"/>
                <w:szCs w:val="32"/>
                <w:highlight w:val="none"/>
                <w:lang w:eastAsia="zh-CN"/>
              </w:rPr>
              <w:t>对</w:t>
            </w:r>
            <w:r>
              <w:rPr>
                <w:rFonts w:hint="eastAsia" w:asciiTheme="majorEastAsia" w:hAnsiTheme="majorEastAsia" w:eastAsiaTheme="majorEastAsia" w:cstheme="majorEastAsia"/>
                <w:sz w:val="24"/>
                <w:szCs w:val="32"/>
                <w:highlight w:val="none"/>
              </w:rPr>
              <w:t>招标文件认同程度</w:t>
            </w:r>
            <w:bookmarkEnd w:id="229"/>
            <w:bookmarkEnd w:id="230"/>
          </w:p>
        </w:tc>
        <w:tc>
          <w:tcPr>
            <w:tcW w:w="7674" w:type="dxa"/>
            <w:gridSpan w:val="4"/>
            <w:vAlign w:val="center"/>
          </w:tcPr>
          <w:p w14:paraId="79F59A24">
            <w:pPr>
              <w:spacing w:line="470" w:lineRule="exact"/>
              <w:jc w:val="center"/>
              <w:rPr>
                <w:rFonts w:asciiTheme="majorEastAsia" w:hAnsiTheme="majorEastAsia" w:eastAsiaTheme="majorEastAsia" w:cstheme="majorEastAsia"/>
                <w:sz w:val="22"/>
                <w:szCs w:val="22"/>
                <w:highlight w:val="none"/>
              </w:rPr>
            </w:pPr>
          </w:p>
        </w:tc>
      </w:tr>
      <w:tr w14:paraId="2B93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684" w:type="dxa"/>
            <w:vAlign w:val="center"/>
          </w:tcPr>
          <w:p w14:paraId="2470A7B5">
            <w:pPr>
              <w:spacing w:line="360" w:lineRule="auto"/>
              <w:jc w:val="center"/>
              <w:outlineLvl w:val="1"/>
              <w:rPr>
                <w:rFonts w:hint="eastAsia" w:asciiTheme="majorEastAsia" w:hAnsiTheme="majorEastAsia" w:eastAsiaTheme="majorEastAsia" w:cstheme="majorEastAsia"/>
                <w:sz w:val="24"/>
                <w:szCs w:val="32"/>
                <w:highlight w:val="none"/>
              </w:rPr>
            </w:pPr>
            <w:bookmarkStart w:id="231" w:name="_Toc17734"/>
            <w:bookmarkStart w:id="232" w:name="_Toc16819"/>
            <w:r>
              <w:rPr>
                <w:rFonts w:hint="eastAsia" w:asciiTheme="majorEastAsia" w:hAnsiTheme="majorEastAsia" w:eastAsiaTheme="majorEastAsia" w:cstheme="majorEastAsia"/>
                <w:sz w:val="24"/>
                <w:szCs w:val="32"/>
                <w:highlight w:val="none"/>
              </w:rPr>
              <w:t>备注</w:t>
            </w:r>
            <w:bookmarkEnd w:id="231"/>
            <w:bookmarkEnd w:id="232"/>
          </w:p>
        </w:tc>
        <w:tc>
          <w:tcPr>
            <w:tcW w:w="7674" w:type="dxa"/>
            <w:gridSpan w:val="4"/>
            <w:vAlign w:val="center"/>
          </w:tcPr>
          <w:p w14:paraId="6F0F5F9E">
            <w:pPr>
              <w:spacing w:line="470" w:lineRule="exact"/>
              <w:jc w:val="center"/>
              <w:rPr>
                <w:rFonts w:asciiTheme="majorEastAsia" w:hAnsiTheme="majorEastAsia" w:eastAsiaTheme="majorEastAsia" w:cstheme="majorEastAsia"/>
                <w:sz w:val="22"/>
                <w:szCs w:val="22"/>
                <w:highlight w:val="none"/>
              </w:rPr>
            </w:pPr>
          </w:p>
        </w:tc>
      </w:tr>
    </w:tbl>
    <w:p w14:paraId="41B2CB9F">
      <w:pPr>
        <w:spacing w:line="470" w:lineRule="exact"/>
        <w:rPr>
          <w:rFonts w:asciiTheme="majorEastAsia" w:hAnsiTheme="majorEastAsia" w:eastAsiaTheme="majorEastAsia" w:cstheme="majorEastAsia"/>
          <w:sz w:val="21"/>
          <w:szCs w:val="21"/>
          <w:highlight w:val="none"/>
        </w:rPr>
      </w:pPr>
      <w:r>
        <w:rPr>
          <w:rStyle w:val="42"/>
          <w:rFonts w:hint="eastAsia" w:asciiTheme="majorEastAsia" w:hAnsiTheme="majorEastAsia" w:eastAsiaTheme="majorEastAsia" w:cstheme="majorEastAsia"/>
          <w:sz w:val="21"/>
          <w:szCs w:val="21"/>
          <w:highlight w:val="none"/>
        </w:rPr>
        <w:t>注：</w:t>
      </w:r>
      <w:r>
        <w:rPr>
          <w:rFonts w:hint="eastAsia" w:ascii="宋体" w:hAnsi="宋体" w:eastAsia="宋体" w:cs="宋体"/>
          <w:sz w:val="21"/>
          <w:szCs w:val="21"/>
          <w:highlight w:val="none"/>
          <w:lang w:val="en-US" w:eastAsia="zh-CN"/>
        </w:rPr>
        <w:t>小数点后最多保留两位小数</w:t>
      </w:r>
      <w:r>
        <w:rPr>
          <w:rFonts w:hint="eastAsia" w:ascii="宋体" w:hAnsi="宋体" w:eastAsia="宋体" w:cs="宋体"/>
          <w:sz w:val="21"/>
          <w:szCs w:val="21"/>
          <w:highlight w:val="none"/>
        </w:rPr>
        <w:t>。</w:t>
      </w:r>
    </w:p>
    <w:p w14:paraId="6ECF21B9">
      <w:pPr>
        <w:spacing w:line="470" w:lineRule="exact"/>
        <w:rPr>
          <w:rFonts w:asciiTheme="majorEastAsia" w:hAnsiTheme="majorEastAsia" w:eastAsiaTheme="majorEastAsia" w:cstheme="majorEastAsia"/>
          <w:szCs w:val="21"/>
          <w:highlight w:val="none"/>
        </w:rPr>
      </w:pPr>
    </w:p>
    <w:p w14:paraId="6B101243">
      <w:pPr>
        <w:keepNext w:val="0"/>
        <w:keepLines w:val="0"/>
        <w:pageBreakBefore w:val="0"/>
        <w:widowControl w:val="0"/>
        <w:tabs>
          <w:tab w:val="left" w:pos="1916"/>
        </w:tabs>
        <w:kinsoku/>
        <w:wordWrap/>
        <w:overflowPunct/>
        <w:topLinePunct w:val="0"/>
        <w:autoSpaceDE/>
        <w:autoSpaceDN/>
        <w:bidi w:val="0"/>
        <w:adjustRightInd/>
        <w:snapToGrid w:val="0"/>
        <w:spacing w:line="700" w:lineRule="exact"/>
        <w:ind w:firstLine="600" w:firstLineChars="250"/>
        <w:textAlignment w:val="baseline"/>
        <w:rPr>
          <w:rFonts w:hint="eastAsia" w:ascii="宋体" w:hAnsi="宋体"/>
          <w:sz w:val="24"/>
          <w:szCs w:val="24"/>
        </w:rPr>
      </w:pPr>
      <w:r>
        <w:rPr>
          <w:rFonts w:ascii="宋体" w:hAnsi="宋体"/>
          <w:sz w:val="24"/>
          <w:szCs w:val="24"/>
        </w:rPr>
        <w:t>投标人：</w:t>
      </w:r>
      <w:r>
        <w:rPr>
          <w:rFonts w:hint="eastAsia" w:ascii="宋体" w:hAnsi="宋体"/>
          <w:sz w:val="24"/>
          <w:szCs w:val="24"/>
          <w:u w:val="single" w:color="auto"/>
        </w:rPr>
        <w:t xml:space="preserve">                </w:t>
      </w:r>
      <w:r>
        <w:rPr>
          <w:rFonts w:ascii="宋体" w:hAnsi="宋体"/>
          <w:sz w:val="24"/>
          <w:szCs w:val="24"/>
        </w:rPr>
        <w:t>（</w:t>
      </w:r>
      <w:r>
        <w:rPr>
          <w:rFonts w:hint="eastAsia" w:ascii="宋体" w:hAnsi="宋体"/>
          <w:sz w:val="24"/>
          <w:szCs w:val="24"/>
        </w:rPr>
        <w:t>加盖单位公章</w:t>
      </w:r>
      <w:r>
        <w:rPr>
          <w:rFonts w:ascii="宋体" w:hAnsi="宋体"/>
          <w:sz w:val="24"/>
          <w:szCs w:val="24"/>
        </w:rPr>
        <w:t xml:space="preserve">） </w:t>
      </w:r>
    </w:p>
    <w:p w14:paraId="73A2EB85">
      <w:pPr>
        <w:keepNext w:val="0"/>
        <w:keepLines w:val="0"/>
        <w:pageBreakBefore w:val="0"/>
        <w:widowControl w:val="0"/>
        <w:tabs>
          <w:tab w:val="left" w:pos="1916"/>
        </w:tabs>
        <w:kinsoku/>
        <w:wordWrap/>
        <w:overflowPunct/>
        <w:topLinePunct w:val="0"/>
        <w:autoSpaceDE/>
        <w:autoSpaceDN/>
        <w:bidi w:val="0"/>
        <w:adjustRightInd/>
        <w:snapToGrid w:val="0"/>
        <w:spacing w:line="700" w:lineRule="exact"/>
        <w:ind w:firstLine="600" w:firstLineChars="250"/>
        <w:textAlignment w:val="baseline"/>
        <w:rPr>
          <w:rFonts w:ascii="宋体" w:hAnsi="宋体"/>
          <w:sz w:val="24"/>
          <w:szCs w:val="24"/>
        </w:rPr>
      </w:pPr>
      <w:r>
        <w:rPr>
          <w:rFonts w:ascii="宋体" w:hAnsi="宋体"/>
          <w:sz w:val="24"/>
          <w:szCs w:val="24"/>
        </w:rPr>
        <w:t>法定代表人</w:t>
      </w:r>
      <w:r>
        <w:rPr>
          <w:rFonts w:hint="eastAsia" w:ascii="宋体" w:hAnsi="宋体"/>
          <w:sz w:val="24"/>
          <w:szCs w:val="24"/>
        </w:rPr>
        <w:t>或委托代理人</w:t>
      </w:r>
      <w:r>
        <w:rPr>
          <w:rFonts w:ascii="宋体" w:hAnsi="宋体"/>
          <w:sz w:val="24"/>
          <w:szCs w:val="24"/>
        </w:rPr>
        <w:t>：</w:t>
      </w:r>
      <w:r>
        <w:rPr>
          <w:rFonts w:hint="eastAsia" w:ascii="宋体" w:hAnsi="宋体"/>
          <w:sz w:val="24"/>
          <w:szCs w:val="24"/>
          <w:u w:val="single" w:color="auto"/>
        </w:rPr>
        <w:t xml:space="preserve">           </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279832FF">
      <w:pPr>
        <w:keepNext w:val="0"/>
        <w:keepLines w:val="0"/>
        <w:pageBreakBefore w:val="0"/>
        <w:widowControl w:val="0"/>
        <w:tabs>
          <w:tab w:val="left" w:pos="1916"/>
        </w:tabs>
        <w:kinsoku/>
        <w:wordWrap/>
        <w:overflowPunct/>
        <w:topLinePunct w:val="0"/>
        <w:autoSpaceDE/>
        <w:autoSpaceDN/>
        <w:bidi w:val="0"/>
        <w:adjustRightInd/>
        <w:snapToGrid w:val="0"/>
        <w:spacing w:line="700" w:lineRule="exact"/>
        <w:ind w:firstLine="616" w:firstLineChars="257"/>
        <w:textAlignment w:val="baseline"/>
        <w:rPr>
          <w:rFonts w:hint="eastAsia" w:ascii="宋体" w:hAnsi="宋体"/>
          <w:sz w:val="24"/>
          <w:szCs w:val="24"/>
        </w:rPr>
        <w:sectPr>
          <w:pgSz w:w="11905" w:h="16838"/>
          <w:pgMar w:top="1247" w:right="1247" w:bottom="1134" w:left="1361" w:header="850" w:footer="907" w:gutter="0"/>
          <w:cols w:space="720" w:num="1"/>
          <w:titlePg/>
          <w:rtlGutter w:val="0"/>
          <w:docGrid w:linePitch="312" w:charSpace="0"/>
        </w:sectPr>
      </w:pPr>
      <w:r>
        <w:rPr>
          <w:rFonts w:hint="eastAsia" w:ascii="宋体" w:hAnsi="宋体"/>
          <w:sz w:val="24"/>
          <w:szCs w:val="24"/>
        </w:rPr>
        <w:t>日期：</w:t>
      </w:r>
      <w:r>
        <w:rPr>
          <w:rFonts w:hint="eastAsia" w:ascii="宋体" w:hAnsi="宋体"/>
          <w:sz w:val="24"/>
          <w:szCs w:val="24"/>
          <w:u w:val="single" w:color="auto"/>
        </w:rPr>
        <w:t xml:space="preserve">     </w:t>
      </w:r>
      <w:r>
        <w:rPr>
          <w:rFonts w:hint="eastAsia" w:ascii="宋体" w:hAnsi="宋体"/>
          <w:sz w:val="24"/>
          <w:szCs w:val="24"/>
        </w:rPr>
        <w:t>年</w:t>
      </w:r>
      <w:r>
        <w:rPr>
          <w:rFonts w:hint="eastAsia" w:ascii="宋体" w:hAnsi="宋体"/>
          <w:sz w:val="24"/>
          <w:szCs w:val="24"/>
          <w:u w:val="single" w:color="auto"/>
        </w:rPr>
        <w:t xml:space="preserve">     </w:t>
      </w:r>
      <w:r>
        <w:rPr>
          <w:rFonts w:hint="eastAsia" w:ascii="宋体" w:hAnsi="宋体"/>
          <w:sz w:val="24"/>
          <w:szCs w:val="24"/>
        </w:rPr>
        <w:t>月</w:t>
      </w:r>
      <w:r>
        <w:rPr>
          <w:rFonts w:hint="eastAsia" w:ascii="宋体" w:hAnsi="宋体"/>
          <w:sz w:val="24"/>
          <w:szCs w:val="24"/>
          <w:u w:val="single" w:color="auto"/>
        </w:rPr>
        <w:t xml:space="preserve">     </w:t>
      </w:r>
      <w:r>
        <w:rPr>
          <w:rFonts w:hint="eastAsia" w:ascii="宋体" w:hAnsi="宋体"/>
          <w:sz w:val="24"/>
          <w:szCs w:val="24"/>
        </w:rPr>
        <w:t>日</w:t>
      </w:r>
    </w:p>
    <w:p w14:paraId="4FCAFF2F">
      <w:pPr>
        <w:widowControl/>
        <w:jc w:val="left"/>
        <w:rPr>
          <w:rFonts w:asciiTheme="majorEastAsia" w:hAnsiTheme="majorEastAsia" w:eastAsiaTheme="majorEastAsia" w:cstheme="majorEastAsia"/>
          <w:szCs w:val="21"/>
          <w:highlight w:val="none"/>
        </w:rPr>
      </w:pPr>
    </w:p>
    <w:p w14:paraId="301DF1AC">
      <w:pPr>
        <w:spacing w:before="120" w:beforeLines="50" w:after="120" w:afterLines="50"/>
        <w:jc w:val="center"/>
        <w:outlineLvl w:val="1"/>
        <w:rPr>
          <w:rStyle w:val="42"/>
          <w:rFonts w:hint="eastAsia" w:asciiTheme="majorEastAsia" w:hAnsiTheme="majorEastAsia" w:eastAsiaTheme="majorEastAsia" w:cstheme="majorEastAsia"/>
          <w:b/>
          <w:bCs/>
          <w:kern w:val="0"/>
          <w:sz w:val="28"/>
          <w:highlight w:val="none"/>
        </w:rPr>
      </w:pPr>
      <w:bookmarkStart w:id="233" w:name="_Toc24003"/>
      <w:bookmarkStart w:id="234" w:name="_Toc16292"/>
      <w:r>
        <w:rPr>
          <w:rStyle w:val="42"/>
          <w:rFonts w:hint="eastAsia" w:asciiTheme="majorEastAsia" w:hAnsiTheme="majorEastAsia" w:eastAsiaTheme="majorEastAsia" w:cstheme="majorEastAsia"/>
          <w:b/>
          <w:bCs/>
          <w:kern w:val="0"/>
          <w:sz w:val="28"/>
          <w:highlight w:val="none"/>
          <w:lang w:val="en-US" w:eastAsia="zh-CN"/>
        </w:rPr>
        <w:t>二、跟踪审计服务费报价明细单（格式自拟）</w:t>
      </w:r>
      <w:bookmarkEnd w:id="233"/>
      <w:bookmarkEnd w:id="234"/>
    </w:p>
    <w:p w14:paraId="3718B1C4">
      <w:pPr>
        <w:spacing w:line="470" w:lineRule="exact"/>
        <w:ind w:right="480"/>
        <w:jc w:val="center"/>
        <w:rPr>
          <w:rFonts w:asciiTheme="majorEastAsia" w:hAnsiTheme="majorEastAsia" w:eastAsiaTheme="majorEastAsia" w:cstheme="majorEastAsia"/>
          <w:sz w:val="24"/>
          <w:highlight w:val="none"/>
        </w:rPr>
      </w:pPr>
    </w:p>
    <w:p w14:paraId="701B043E">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bookmarkStart w:id="235" w:name="_Toc875"/>
    </w:p>
    <w:p w14:paraId="122255C9">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5113532F">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51BECE49">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43DAF3AF">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3FF03522">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7A5BC7AE">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6EC707E7">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3BD404E9">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6D60DE84">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0FAA25BE">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7D58B7E7">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1D1A54EF">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3E6D92F6">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02D8182B">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08739040">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4A60B9BC">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329F9F84">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6CEC482B">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29368AF4">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176662FB">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9"/>
        <w:rPr>
          <w:rStyle w:val="42"/>
          <w:rFonts w:hint="eastAsia" w:asciiTheme="majorEastAsia" w:hAnsiTheme="majorEastAsia" w:eastAsiaTheme="majorEastAsia" w:cstheme="majorEastAsia"/>
          <w:b/>
          <w:bCs/>
          <w:sz w:val="28"/>
          <w:highlight w:val="none"/>
          <w:lang w:eastAsia="zh-CN"/>
        </w:rPr>
      </w:pPr>
    </w:p>
    <w:p w14:paraId="5F61344A">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1"/>
        <w:rPr>
          <w:rStyle w:val="42"/>
          <w:rFonts w:asciiTheme="majorEastAsia" w:hAnsiTheme="majorEastAsia" w:eastAsiaTheme="majorEastAsia" w:cstheme="majorEastAsia"/>
          <w:b/>
          <w:bCs/>
          <w:sz w:val="28"/>
          <w:highlight w:val="none"/>
        </w:rPr>
      </w:pPr>
      <w:bookmarkStart w:id="236" w:name="_Toc7613"/>
      <w:bookmarkStart w:id="237" w:name="_Toc29519"/>
      <w:r>
        <w:rPr>
          <w:rStyle w:val="42"/>
          <w:rFonts w:hint="eastAsia" w:asciiTheme="majorEastAsia" w:hAnsiTheme="majorEastAsia" w:eastAsiaTheme="majorEastAsia" w:cstheme="majorEastAsia"/>
          <w:b/>
          <w:bCs/>
          <w:sz w:val="28"/>
          <w:highlight w:val="none"/>
          <w:lang w:eastAsia="zh-CN"/>
        </w:rPr>
        <w:t>三</w:t>
      </w:r>
      <w:r>
        <w:rPr>
          <w:rStyle w:val="42"/>
          <w:rFonts w:hint="eastAsia" w:asciiTheme="majorEastAsia" w:hAnsiTheme="majorEastAsia" w:eastAsiaTheme="majorEastAsia" w:cstheme="majorEastAsia"/>
          <w:b/>
          <w:bCs/>
          <w:sz w:val="28"/>
          <w:highlight w:val="none"/>
        </w:rPr>
        <w:t>、</w:t>
      </w:r>
      <w:bookmarkEnd w:id="208"/>
      <w:bookmarkEnd w:id="235"/>
      <w:r>
        <w:rPr>
          <w:rStyle w:val="42"/>
          <w:rFonts w:hint="eastAsia" w:asciiTheme="majorEastAsia" w:hAnsiTheme="majorEastAsia" w:eastAsiaTheme="majorEastAsia" w:cstheme="majorEastAsia"/>
          <w:b/>
          <w:bCs/>
          <w:sz w:val="28"/>
          <w:highlight w:val="none"/>
        </w:rPr>
        <w:t>法定代表人身份证明</w:t>
      </w:r>
      <w:r>
        <w:rPr>
          <w:rStyle w:val="42"/>
          <w:rFonts w:hint="eastAsia" w:asciiTheme="majorEastAsia" w:hAnsiTheme="majorEastAsia" w:eastAsiaTheme="majorEastAsia" w:cstheme="majorEastAsia"/>
          <w:b/>
          <w:bCs/>
          <w:sz w:val="28"/>
          <w:highlight w:val="none"/>
          <w:lang w:eastAsia="zh-CN"/>
        </w:rPr>
        <w:t>或</w:t>
      </w:r>
      <w:r>
        <w:rPr>
          <w:rStyle w:val="42"/>
          <w:rFonts w:hint="eastAsia" w:asciiTheme="majorEastAsia" w:hAnsiTheme="majorEastAsia" w:eastAsiaTheme="majorEastAsia" w:cstheme="majorEastAsia"/>
          <w:b/>
          <w:bCs/>
          <w:sz w:val="28"/>
          <w:highlight w:val="none"/>
        </w:rPr>
        <w:t>法人授权委托书</w:t>
      </w:r>
      <w:bookmarkEnd w:id="236"/>
      <w:bookmarkEnd w:id="237"/>
    </w:p>
    <w:p w14:paraId="5FFA90FF">
      <w:pPr>
        <w:spacing w:line="480" w:lineRule="auto"/>
        <w:jc w:val="center"/>
        <w:rPr>
          <w:rFonts w:hint="eastAsia" w:ascii="宋体" w:hAnsi="宋体" w:cs="宋体"/>
          <w:b/>
          <w:bCs/>
          <w:szCs w:val="21"/>
        </w:rPr>
      </w:pPr>
      <w:r>
        <w:rPr>
          <w:rFonts w:hint="eastAsia" w:ascii="宋体" w:hAnsi="宋体" w:eastAsia="宋体" w:cs="宋体"/>
          <w:b/>
          <w:bCs/>
          <w:sz w:val="28"/>
          <w:szCs w:val="28"/>
          <w:lang w:eastAsia="zh-CN"/>
        </w:rPr>
        <w:t>（</w:t>
      </w:r>
      <w:r>
        <w:rPr>
          <w:rFonts w:hint="eastAsia" w:ascii="宋体" w:hAnsi="宋体" w:eastAsia="宋体" w:cs="宋体"/>
          <w:b/>
          <w:bCs/>
          <w:sz w:val="28"/>
          <w:szCs w:val="28"/>
        </w:rPr>
        <w:t>法定代表人</w:t>
      </w:r>
      <w:r>
        <w:rPr>
          <w:rFonts w:hint="eastAsia" w:ascii="宋体" w:hAnsi="宋体" w:eastAsia="宋体" w:cs="宋体"/>
          <w:b/>
          <w:bCs/>
          <w:sz w:val="28"/>
          <w:szCs w:val="28"/>
          <w:lang w:val="en-US" w:eastAsia="zh-CN"/>
        </w:rPr>
        <w:t>签署投标文件的提供</w:t>
      </w:r>
      <w:r>
        <w:rPr>
          <w:rFonts w:hint="eastAsia" w:ascii="宋体" w:hAnsi="宋体" w:eastAsia="宋体" w:cs="宋体"/>
          <w:b/>
          <w:bCs/>
          <w:sz w:val="28"/>
          <w:szCs w:val="28"/>
          <w:lang w:eastAsia="zh-CN"/>
        </w:rPr>
        <w:t>）</w:t>
      </w:r>
    </w:p>
    <w:p w14:paraId="79C81842">
      <w:pPr>
        <w:spacing w:line="480" w:lineRule="auto"/>
        <w:jc w:val="center"/>
        <w:rPr>
          <w:rFonts w:hint="eastAsia" w:ascii="宋体" w:hAnsi="宋体" w:eastAsia="宋体"/>
          <w:b/>
          <w:bCs/>
          <w:sz w:val="28"/>
          <w:szCs w:val="28"/>
          <w:lang w:eastAsia="zh-CN"/>
        </w:rPr>
      </w:pPr>
      <w:r>
        <w:rPr>
          <w:rFonts w:hint="eastAsia"/>
          <w:b/>
          <w:bCs/>
          <w:sz w:val="28"/>
          <w:szCs w:val="36"/>
        </w:rPr>
        <w:t>法定代表人身份证明</w:t>
      </w:r>
    </w:p>
    <w:p w14:paraId="2DE2DAC3">
      <w:pPr>
        <w:spacing w:line="470" w:lineRule="exact"/>
        <w:ind w:firstLine="2319" w:firstLineChars="1100"/>
        <w:rPr>
          <w:rFonts w:hint="eastAsia" w:ascii="宋体" w:hAnsi="宋体" w:cs="宋体"/>
          <w:b/>
          <w:bCs/>
          <w:szCs w:val="21"/>
        </w:rPr>
      </w:pPr>
    </w:p>
    <w:p w14:paraId="1446B0B7">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投标人名称：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7F7DBEF5">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单位性质：</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523E4917">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地址：</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363AEBD0">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成立时间：</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月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77778C4C">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经营期限：</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24091F78">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姓名：</w:t>
      </w:r>
      <w:r>
        <w:rPr>
          <w:rFonts w:hint="eastAsia" w:ascii="宋体" w:hAnsi="宋体" w:eastAsia="宋体" w:cs="宋体"/>
          <w:color w:val="auto"/>
          <w:sz w:val="24"/>
          <w:u w:val="single"/>
        </w:rPr>
        <w:t xml:space="preserve">        </w:t>
      </w:r>
      <w:r>
        <w:rPr>
          <w:rFonts w:hint="eastAsia" w:ascii="宋体" w:hAnsi="宋体" w:eastAsia="宋体" w:cs="宋体"/>
          <w:color w:val="auto"/>
          <w:sz w:val="24"/>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rPr>
        <w:t>年龄：</w:t>
      </w:r>
      <w:r>
        <w:rPr>
          <w:rFonts w:hint="eastAsia" w:ascii="宋体" w:hAnsi="宋体" w:eastAsia="宋体" w:cs="宋体"/>
          <w:color w:val="auto"/>
          <w:sz w:val="24"/>
          <w:u w:val="single"/>
        </w:rPr>
        <w:t xml:space="preserve">      </w:t>
      </w:r>
      <w:r>
        <w:rPr>
          <w:rFonts w:hint="eastAsia" w:ascii="宋体" w:hAnsi="宋体" w:eastAsia="宋体" w:cs="宋体"/>
          <w:color w:val="auto"/>
          <w:sz w:val="24"/>
        </w:rPr>
        <w:t>职务：</w:t>
      </w:r>
      <w:r>
        <w:rPr>
          <w:rFonts w:hint="eastAsia" w:ascii="宋体" w:hAnsi="宋体" w:eastAsia="宋体" w:cs="宋体"/>
          <w:color w:val="auto"/>
          <w:sz w:val="24"/>
          <w:u w:val="single"/>
        </w:rPr>
        <w:t xml:space="preserve">      </w:t>
      </w:r>
      <w:r>
        <w:rPr>
          <w:rFonts w:hint="eastAsia" w:ascii="宋体" w:hAnsi="宋体" w:eastAsia="宋体" w:cs="宋体"/>
          <w:color w:val="auto"/>
          <w:sz w:val="24"/>
        </w:rPr>
        <w:t>系</w:t>
      </w:r>
      <w:r>
        <w:rPr>
          <w:rFonts w:hint="eastAsia" w:ascii="宋体" w:hAnsi="宋体" w:eastAsia="宋体" w:cs="宋体"/>
          <w:color w:val="auto"/>
          <w:sz w:val="24"/>
          <w:u w:val="single"/>
        </w:rPr>
        <w:t xml:space="preserve">              </w:t>
      </w:r>
      <w:r>
        <w:rPr>
          <w:rFonts w:hint="eastAsia" w:ascii="宋体" w:hAnsi="宋体" w:eastAsia="宋体" w:cs="宋体"/>
          <w:color w:val="auto"/>
          <w:sz w:val="24"/>
        </w:rPr>
        <w:t>（投标人名称）的法定代表人。</w:t>
      </w:r>
    </w:p>
    <w:p w14:paraId="13814AEF">
      <w:pPr>
        <w:spacing w:line="720" w:lineRule="exact"/>
        <w:ind w:firstLine="960" w:firstLineChars="400"/>
        <w:rPr>
          <w:rFonts w:hint="eastAsia" w:ascii="宋体" w:hAnsi="宋体" w:eastAsia="宋体" w:cs="宋体"/>
          <w:color w:val="auto"/>
          <w:sz w:val="24"/>
        </w:rPr>
      </w:pPr>
      <w:r>
        <w:rPr>
          <w:rFonts w:hint="eastAsia" w:ascii="宋体" w:hAnsi="宋体" w:eastAsia="宋体" w:cs="宋体"/>
          <w:color w:val="auto"/>
          <w:sz w:val="24"/>
        </w:rPr>
        <w:t>特此证明。</w:t>
      </w:r>
    </w:p>
    <w:p w14:paraId="0BD0B5D9">
      <w:pPr>
        <w:spacing w:line="720" w:lineRule="exact"/>
        <w:ind w:firstLine="960" w:firstLineChars="400"/>
        <w:rPr>
          <w:rFonts w:hint="eastAsia" w:ascii="宋体" w:hAnsi="宋体" w:eastAsia="宋体" w:cs="宋体"/>
          <w:color w:val="auto"/>
          <w:sz w:val="24"/>
        </w:rPr>
      </w:pPr>
      <w:r>
        <w:rPr>
          <w:rFonts w:hint="eastAsia" w:ascii="宋体" w:hAnsi="宋体" w:eastAsia="宋体" w:cs="宋体"/>
          <w:color w:val="auto"/>
          <w:sz w:val="24"/>
        </w:rPr>
        <w:t>附法定代表人身份证</w:t>
      </w:r>
      <w:r>
        <w:rPr>
          <w:rFonts w:hint="eastAsia" w:ascii="宋体" w:hAnsi="宋体" w:eastAsia="宋体" w:cs="宋体"/>
          <w:color w:val="auto"/>
          <w:sz w:val="24"/>
          <w:lang w:eastAsia="zh-CN"/>
        </w:rPr>
        <w:t>原件扫描件</w:t>
      </w:r>
      <w:r>
        <w:rPr>
          <w:rFonts w:hint="eastAsia" w:asciiTheme="majorEastAsia" w:hAnsiTheme="majorEastAsia" w:eastAsiaTheme="majorEastAsia" w:cstheme="majorEastAsia"/>
          <w:color w:val="000000"/>
          <w:sz w:val="24"/>
          <w:szCs w:val="24"/>
          <w:highlight w:val="none"/>
        </w:rPr>
        <w:t>（含反、正两面）</w:t>
      </w:r>
      <w:r>
        <w:rPr>
          <w:rFonts w:hint="eastAsia" w:ascii="宋体" w:hAnsi="宋体" w:eastAsia="宋体" w:cs="宋体"/>
          <w:color w:val="auto"/>
          <w:sz w:val="24"/>
        </w:rPr>
        <w:t>。</w:t>
      </w:r>
    </w:p>
    <w:p w14:paraId="43E68F10">
      <w:pPr>
        <w:spacing w:line="360" w:lineRule="auto"/>
        <w:ind w:firstLine="480" w:firstLineChars="200"/>
        <w:rPr>
          <w:rFonts w:hint="eastAsia" w:ascii="宋体" w:hAnsi="宋体" w:eastAsia="宋体" w:cs="宋体"/>
          <w:color w:val="auto"/>
          <w:sz w:val="24"/>
        </w:rPr>
      </w:pPr>
    </w:p>
    <w:p w14:paraId="16871FE1">
      <w:pPr>
        <w:spacing w:line="360" w:lineRule="auto"/>
        <w:ind w:firstLine="480" w:firstLineChars="200"/>
        <w:rPr>
          <w:rFonts w:hint="eastAsia" w:ascii="宋体" w:hAnsi="宋体" w:eastAsia="宋体" w:cs="宋体"/>
          <w:color w:val="auto"/>
          <w:sz w:val="24"/>
        </w:rPr>
      </w:pPr>
    </w:p>
    <w:p w14:paraId="40A56264">
      <w:pPr>
        <w:spacing w:line="360" w:lineRule="auto"/>
        <w:ind w:firstLine="480" w:firstLineChars="200"/>
        <w:rPr>
          <w:rFonts w:hint="eastAsia" w:ascii="宋体" w:hAnsi="宋体" w:eastAsia="宋体" w:cs="宋体"/>
          <w:color w:val="auto"/>
          <w:sz w:val="24"/>
        </w:rPr>
      </w:pPr>
    </w:p>
    <w:p w14:paraId="10280D33">
      <w:pPr>
        <w:spacing w:line="360" w:lineRule="auto"/>
        <w:jc w:val="right"/>
        <w:rPr>
          <w:rFonts w:hint="eastAsia" w:ascii="宋体" w:hAnsi="宋体" w:eastAsia="宋体" w:cs="宋体"/>
          <w:color w:val="auto"/>
          <w:sz w:val="24"/>
        </w:rPr>
      </w:pPr>
      <w:r>
        <w:rPr>
          <w:rFonts w:hint="eastAsia" w:ascii="宋体" w:hAnsi="宋体" w:eastAsia="宋体" w:cs="宋体"/>
          <w:color w:val="auto"/>
          <w:sz w:val="24"/>
        </w:rPr>
        <w:t>投标人：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（盖单位章）</w:t>
      </w:r>
    </w:p>
    <w:p w14:paraId="36EDF233">
      <w:pPr>
        <w:spacing w:line="360" w:lineRule="auto"/>
        <w:ind w:firstLine="5160" w:firstLineChars="2150"/>
        <w:jc w:val="right"/>
        <w:rPr>
          <w:rFonts w:hint="eastAsia" w:ascii="宋体" w:hAnsi="宋体" w:eastAsia="宋体" w:cs="宋体"/>
          <w:color w:val="auto"/>
          <w:sz w:val="24"/>
          <w:u w:val="single"/>
        </w:rPr>
      </w:pPr>
    </w:p>
    <w:p w14:paraId="4799C501">
      <w:pPr>
        <w:spacing w:line="360" w:lineRule="auto"/>
        <w:jc w:val="center"/>
        <w:rPr>
          <w:rFonts w:hint="eastAsia" w:ascii="宋体" w:hAnsi="宋体" w:eastAsia="宋体" w:cs="宋体"/>
          <w:color w:val="auto"/>
          <w:sz w:val="24"/>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4B0F01C1">
      <w:pPr>
        <w:spacing w:line="360" w:lineRule="auto"/>
        <w:ind w:firstLine="420" w:firstLineChars="200"/>
        <w:rPr>
          <w:rFonts w:hint="eastAsia" w:ascii="宋体" w:hAnsi="宋体" w:eastAsia="宋体" w:cs="宋体"/>
          <w:color w:val="auto"/>
          <w:szCs w:val="21"/>
        </w:rPr>
        <w:sectPr>
          <w:pgSz w:w="11905" w:h="16838"/>
          <w:pgMar w:top="1361" w:right="1247" w:bottom="1247" w:left="1361" w:header="850" w:footer="907" w:gutter="0"/>
          <w:cols w:space="720" w:num="1"/>
          <w:titlePg/>
          <w:docGrid w:linePitch="312" w:charSpace="0"/>
        </w:sectPr>
      </w:pPr>
    </w:p>
    <w:p w14:paraId="4D70FB92">
      <w:pPr>
        <w:spacing w:line="470" w:lineRule="exact"/>
        <w:ind w:firstLine="3120" w:firstLineChars="13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 xml:space="preserve">               </w:t>
      </w:r>
    </w:p>
    <w:p w14:paraId="571A15FC">
      <w:pPr>
        <w:spacing w:line="470" w:lineRule="exact"/>
        <w:jc w:val="right"/>
        <w:rPr>
          <w:rFonts w:asciiTheme="majorEastAsia" w:hAnsiTheme="majorEastAsia" w:eastAsiaTheme="majorEastAsia" w:cstheme="majorEastAsia"/>
          <w:sz w:val="24"/>
          <w:szCs w:val="24"/>
          <w:highlight w:val="none"/>
        </w:rPr>
      </w:pPr>
    </w:p>
    <w:p w14:paraId="46A25E16">
      <w:pPr>
        <w:spacing w:before="120" w:beforeLines="50" w:after="120" w:afterLines="50"/>
        <w:jc w:val="center"/>
        <w:outlineLvl w:val="1"/>
        <w:rPr>
          <w:rStyle w:val="42"/>
          <w:rFonts w:hint="eastAsia" w:asciiTheme="majorEastAsia" w:hAnsiTheme="majorEastAsia" w:eastAsiaTheme="majorEastAsia" w:cstheme="majorEastAsia"/>
          <w:b/>
          <w:bCs/>
          <w:sz w:val="28"/>
          <w:highlight w:val="none"/>
        </w:rPr>
      </w:pPr>
      <w:bookmarkStart w:id="238" w:name="_Toc309377254"/>
      <w:bookmarkStart w:id="239" w:name="_Toc29764"/>
      <w:bookmarkStart w:id="240" w:name="_Toc4245"/>
      <w:bookmarkStart w:id="241" w:name="_Toc10415"/>
      <w:r>
        <w:rPr>
          <w:rStyle w:val="42"/>
          <w:rFonts w:hint="eastAsia" w:asciiTheme="majorEastAsia" w:hAnsiTheme="majorEastAsia" w:eastAsiaTheme="majorEastAsia" w:cstheme="majorEastAsia"/>
          <w:b/>
          <w:bCs/>
          <w:sz w:val="28"/>
          <w:highlight w:val="none"/>
          <w:lang w:eastAsia="zh-CN"/>
        </w:rPr>
        <w:t>法人</w:t>
      </w:r>
      <w:r>
        <w:rPr>
          <w:rStyle w:val="42"/>
          <w:rFonts w:hint="eastAsia" w:asciiTheme="majorEastAsia" w:hAnsiTheme="majorEastAsia" w:eastAsiaTheme="majorEastAsia" w:cstheme="majorEastAsia"/>
          <w:b/>
          <w:bCs/>
          <w:sz w:val="28"/>
          <w:highlight w:val="none"/>
        </w:rPr>
        <w:t>授权委托书</w:t>
      </w:r>
      <w:bookmarkEnd w:id="238"/>
      <w:bookmarkEnd w:id="239"/>
      <w:bookmarkEnd w:id="240"/>
      <w:bookmarkEnd w:id="241"/>
    </w:p>
    <w:p w14:paraId="68315D16">
      <w:pPr>
        <w:pStyle w:val="4"/>
        <w:numPr>
          <w:ilvl w:val="0"/>
          <w:numId w:val="0"/>
        </w:numPr>
        <w:ind w:firstLine="2249" w:firstLineChars="800"/>
        <w:jc w:val="both"/>
        <w:rPr>
          <w:rStyle w:val="42"/>
          <w:rFonts w:hint="eastAsia" w:asciiTheme="majorEastAsia" w:hAnsiTheme="majorEastAsia" w:eastAsiaTheme="majorEastAsia" w:cstheme="majorEastAsia"/>
          <w:b/>
          <w:bCs/>
          <w:kern w:val="2"/>
          <w:sz w:val="28"/>
          <w:szCs w:val="24"/>
          <w:highlight w:val="none"/>
          <w:lang w:val="en-US" w:eastAsia="zh-CN" w:bidi="ar-SA"/>
        </w:rPr>
      </w:pPr>
      <w:bookmarkStart w:id="242" w:name="_Toc28727"/>
      <w:bookmarkStart w:id="243" w:name="_Toc12714"/>
      <w:r>
        <w:rPr>
          <w:rStyle w:val="42"/>
          <w:rFonts w:hint="eastAsia" w:asciiTheme="majorEastAsia" w:hAnsiTheme="majorEastAsia" w:eastAsiaTheme="majorEastAsia" w:cstheme="majorEastAsia"/>
          <w:b/>
          <w:bCs/>
          <w:kern w:val="2"/>
          <w:sz w:val="28"/>
          <w:szCs w:val="24"/>
          <w:highlight w:val="none"/>
          <w:lang w:val="en-US" w:eastAsia="zh-CN" w:bidi="ar-SA"/>
        </w:rPr>
        <w:t>（委托代理人签署投标文件的提供）</w:t>
      </w:r>
      <w:bookmarkEnd w:id="242"/>
      <w:bookmarkEnd w:id="243"/>
    </w:p>
    <w:p w14:paraId="07D94630">
      <w:pPr>
        <w:pStyle w:val="14"/>
      </w:pPr>
    </w:p>
    <w:p w14:paraId="0CF41DA6">
      <w:pPr>
        <w:keepNext w:val="0"/>
        <w:keepLines w:val="0"/>
        <w:pageBreakBefore w:val="0"/>
        <w:widowControl w:val="0"/>
        <w:kinsoku/>
        <w:wordWrap/>
        <w:overflowPunct/>
        <w:topLinePunct/>
        <w:autoSpaceDE/>
        <w:autoSpaceDN/>
        <w:bidi w:val="0"/>
        <w:adjustRightInd/>
        <w:snapToGrid/>
        <w:spacing w:line="520" w:lineRule="exact"/>
        <w:ind w:left="0" w:leftChars="0" w:firstLine="600" w:firstLineChars="250"/>
        <w:textAlignment w:val="auto"/>
        <w:rPr>
          <w:rFonts w:asciiTheme="majorEastAsia" w:hAnsiTheme="majorEastAsia" w:eastAsiaTheme="majorEastAsia" w:cstheme="majorEastAsia"/>
          <w:color w:val="000000"/>
          <w:sz w:val="24"/>
          <w:szCs w:val="24"/>
          <w:highlight w:val="none"/>
        </w:rPr>
      </w:pPr>
      <w:bookmarkStart w:id="244" w:name="_Toc309377255"/>
      <w:r>
        <w:rPr>
          <w:rFonts w:hint="eastAsia" w:asciiTheme="majorEastAsia" w:hAnsiTheme="majorEastAsia" w:eastAsiaTheme="majorEastAsia" w:cstheme="majorEastAsia"/>
          <w:color w:val="000000"/>
          <w:sz w:val="24"/>
          <w:szCs w:val="24"/>
          <w:highlight w:val="none"/>
        </w:rPr>
        <w:t>本人（姓名）系（投标人名称）的法定代表人，现委托（姓名）为我方代理人。代理人根据授权，以我方名义签署、澄清、说明、补正、递交、撤回、修改 ______________（项目名称）投标文件、签订合同和处理有关事宜，其法律后果由我方承担。</w:t>
      </w:r>
    </w:p>
    <w:p w14:paraId="429093B3">
      <w:pPr>
        <w:keepNext w:val="0"/>
        <w:keepLines w:val="0"/>
        <w:pageBreakBefore w:val="0"/>
        <w:widowControl w:val="0"/>
        <w:kinsoku/>
        <w:wordWrap/>
        <w:overflowPunct/>
        <w:topLinePunct/>
        <w:autoSpaceDE/>
        <w:autoSpaceDN/>
        <w:bidi w:val="0"/>
        <w:adjustRightInd/>
        <w:snapToGrid/>
        <w:spacing w:line="520" w:lineRule="exact"/>
        <w:ind w:left="0" w:leftChars="0" w:firstLine="480" w:firstLineChars="200"/>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委托期限：</w:t>
      </w:r>
      <w:r>
        <w:rPr>
          <w:rFonts w:hint="eastAsia" w:asciiTheme="majorEastAsia" w:hAnsiTheme="majorEastAsia" w:eastAsiaTheme="majorEastAsia" w:cstheme="majorEastAsia"/>
          <w:color w:val="000000"/>
          <w:sz w:val="24"/>
          <w:szCs w:val="24"/>
          <w:highlight w:val="none"/>
          <w:lang w:val="en-US" w:eastAsia="zh-CN"/>
        </w:rPr>
        <w:t xml:space="preserve">     </w:t>
      </w:r>
      <w:r>
        <w:rPr>
          <w:rFonts w:hint="eastAsia" w:asciiTheme="majorEastAsia" w:hAnsiTheme="majorEastAsia" w:eastAsiaTheme="majorEastAsia" w:cstheme="majorEastAsia"/>
          <w:color w:val="000000"/>
          <w:sz w:val="24"/>
          <w:szCs w:val="24"/>
          <w:highlight w:val="none"/>
        </w:rPr>
        <w:t>。</w:t>
      </w:r>
    </w:p>
    <w:p w14:paraId="3BDCD93B">
      <w:pPr>
        <w:keepNext w:val="0"/>
        <w:keepLines w:val="0"/>
        <w:pageBreakBefore w:val="0"/>
        <w:widowControl w:val="0"/>
        <w:kinsoku/>
        <w:wordWrap/>
        <w:overflowPunct/>
        <w:topLinePunct/>
        <w:autoSpaceDE/>
        <w:autoSpaceDN/>
        <w:bidi w:val="0"/>
        <w:adjustRightInd/>
        <w:snapToGrid/>
        <w:spacing w:line="520" w:lineRule="exact"/>
        <w:ind w:left="0" w:leftChars="0" w:firstLine="480" w:firstLineChars="200"/>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代理人无转委托权。</w:t>
      </w:r>
    </w:p>
    <w:p w14:paraId="72126ED3">
      <w:pPr>
        <w:keepNext w:val="0"/>
        <w:keepLines w:val="0"/>
        <w:pageBreakBefore w:val="0"/>
        <w:widowControl w:val="0"/>
        <w:kinsoku/>
        <w:wordWrap/>
        <w:overflowPunct/>
        <w:topLinePunct/>
        <w:autoSpaceDE/>
        <w:autoSpaceDN/>
        <w:bidi w:val="0"/>
        <w:adjustRightInd/>
        <w:snapToGrid/>
        <w:spacing w:line="520" w:lineRule="exact"/>
        <w:ind w:left="0" w:leftChars="0" w:firstLine="480" w:firstLineChars="200"/>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附：法人及授权委托人身份证</w:t>
      </w:r>
      <w:r>
        <w:rPr>
          <w:rFonts w:hint="eastAsia" w:asciiTheme="majorEastAsia" w:hAnsiTheme="majorEastAsia" w:eastAsiaTheme="majorEastAsia" w:cstheme="majorEastAsia"/>
          <w:color w:val="000000"/>
          <w:sz w:val="24"/>
          <w:szCs w:val="24"/>
          <w:highlight w:val="none"/>
          <w:lang w:eastAsia="zh-CN"/>
        </w:rPr>
        <w:t>原件扫描件</w:t>
      </w:r>
      <w:r>
        <w:rPr>
          <w:rFonts w:hint="eastAsia" w:asciiTheme="majorEastAsia" w:hAnsiTheme="majorEastAsia" w:eastAsiaTheme="majorEastAsia" w:cstheme="majorEastAsia"/>
          <w:color w:val="000000"/>
          <w:sz w:val="24"/>
          <w:szCs w:val="24"/>
          <w:highlight w:val="none"/>
        </w:rPr>
        <w:t>（含反、正两面）。</w:t>
      </w:r>
    </w:p>
    <w:p w14:paraId="76018D9F">
      <w:pPr>
        <w:keepNext w:val="0"/>
        <w:keepLines w:val="0"/>
        <w:pageBreakBefore w:val="0"/>
        <w:widowControl w:val="0"/>
        <w:kinsoku/>
        <w:wordWrap/>
        <w:overflowPunct/>
        <w:topLinePunct/>
        <w:autoSpaceDE/>
        <w:autoSpaceDN/>
        <w:bidi w:val="0"/>
        <w:adjustRightInd/>
        <w:snapToGrid/>
        <w:spacing w:line="520" w:lineRule="exact"/>
        <w:ind w:left="0" w:leftChars="0"/>
        <w:textAlignment w:val="auto"/>
        <w:rPr>
          <w:rFonts w:asciiTheme="majorEastAsia" w:hAnsiTheme="majorEastAsia" w:eastAsiaTheme="majorEastAsia" w:cstheme="majorEastAsia"/>
          <w:color w:val="000000"/>
          <w:sz w:val="24"/>
          <w:szCs w:val="24"/>
          <w:highlight w:val="none"/>
        </w:rPr>
      </w:pPr>
    </w:p>
    <w:p w14:paraId="31582A1B">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hint="eastAsia" w:asciiTheme="majorEastAsia" w:hAnsiTheme="majorEastAsia" w:eastAsiaTheme="majorEastAsia" w:cstheme="majorEastAsia"/>
          <w:color w:val="000000"/>
          <w:sz w:val="24"/>
          <w:szCs w:val="24"/>
          <w:highlight w:val="none"/>
        </w:rPr>
      </w:pPr>
    </w:p>
    <w:p w14:paraId="01844AC5">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hint="eastAsia" w:asciiTheme="majorEastAsia" w:hAnsiTheme="majorEastAsia" w:eastAsiaTheme="majorEastAsia" w:cstheme="majorEastAsia"/>
          <w:color w:val="000000"/>
          <w:sz w:val="24"/>
          <w:szCs w:val="24"/>
          <w:highlight w:val="none"/>
        </w:rPr>
      </w:pPr>
    </w:p>
    <w:p w14:paraId="5C9432EE">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hint="eastAsia" w:asciiTheme="majorEastAsia" w:hAnsiTheme="majorEastAsia" w:eastAsiaTheme="majorEastAsia" w:cstheme="majorEastAsia"/>
          <w:color w:val="000000"/>
          <w:sz w:val="24"/>
          <w:szCs w:val="24"/>
          <w:highlight w:val="none"/>
        </w:rPr>
      </w:pPr>
    </w:p>
    <w:p w14:paraId="658928AD">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投标人： （盖单位章）</w:t>
      </w:r>
    </w:p>
    <w:p w14:paraId="5B631266">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095D6866">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法定代表人：（签字或盖章）</w:t>
      </w:r>
    </w:p>
    <w:p w14:paraId="01B65805">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0BE6022B">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u w:val="single"/>
        </w:rPr>
      </w:pPr>
      <w:r>
        <w:rPr>
          <w:rFonts w:hint="eastAsia" w:asciiTheme="majorEastAsia" w:hAnsiTheme="majorEastAsia" w:eastAsiaTheme="majorEastAsia" w:cstheme="majorEastAsia"/>
          <w:color w:val="000000"/>
          <w:sz w:val="24"/>
          <w:szCs w:val="24"/>
          <w:highlight w:val="none"/>
        </w:rPr>
        <w:t>身份证号码：</w:t>
      </w:r>
      <w:r>
        <w:rPr>
          <w:rFonts w:hint="eastAsia" w:asciiTheme="majorEastAsia" w:hAnsiTheme="majorEastAsia" w:eastAsiaTheme="majorEastAsia" w:cstheme="majorEastAsia"/>
          <w:color w:val="FFFFFF" w:themeColor="background1"/>
          <w:sz w:val="24"/>
          <w:szCs w:val="24"/>
          <w:highlight w:val="none"/>
          <w14:textFill>
            <w14:solidFill>
              <w14:schemeClr w14:val="bg1"/>
            </w14:solidFill>
          </w14:textFill>
        </w:rPr>
        <w:t>。</w:t>
      </w:r>
    </w:p>
    <w:p w14:paraId="2A9D1934">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4B286CBA">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委托代理人： （签字或盖章）</w:t>
      </w:r>
    </w:p>
    <w:p w14:paraId="1FDE5A6D">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005FB7B5">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u w:val="single"/>
        </w:rPr>
      </w:pPr>
      <w:r>
        <w:rPr>
          <w:rFonts w:hint="eastAsia" w:asciiTheme="majorEastAsia" w:hAnsiTheme="majorEastAsia" w:eastAsiaTheme="majorEastAsia" w:cstheme="majorEastAsia"/>
          <w:color w:val="000000"/>
          <w:sz w:val="24"/>
          <w:szCs w:val="24"/>
          <w:highlight w:val="none"/>
        </w:rPr>
        <w:t>身份证号码：</w:t>
      </w:r>
      <w:r>
        <w:rPr>
          <w:rFonts w:hint="eastAsia" w:asciiTheme="majorEastAsia" w:hAnsiTheme="majorEastAsia" w:eastAsiaTheme="majorEastAsia" w:cstheme="majorEastAsia"/>
          <w:color w:val="FFFFFF" w:themeColor="background1"/>
          <w:sz w:val="24"/>
          <w:szCs w:val="24"/>
          <w:highlight w:val="none"/>
          <w14:textFill>
            <w14:solidFill>
              <w14:schemeClr w14:val="bg1"/>
            </w14:solidFill>
          </w14:textFill>
        </w:rPr>
        <w:t>。</w:t>
      </w:r>
    </w:p>
    <w:p w14:paraId="48D2502A">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3860221D">
      <w:pPr>
        <w:keepNext w:val="0"/>
        <w:keepLines w:val="0"/>
        <w:pageBreakBefore w:val="0"/>
        <w:widowControl w:val="0"/>
        <w:kinsoku/>
        <w:wordWrap/>
        <w:overflowPunct/>
        <w:topLinePunct/>
        <w:autoSpaceDE/>
        <w:autoSpaceDN/>
        <w:bidi w:val="0"/>
        <w:adjustRightInd/>
        <w:snapToGrid/>
        <w:spacing w:line="520" w:lineRule="exact"/>
        <w:ind w:left="0" w:leftChars="0" w:firstLine="6120" w:firstLineChars="2550"/>
        <w:jc w:val="left"/>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年   月    日</w:t>
      </w:r>
    </w:p>
    <w:p w14:paraId="15D355FC">
      <w:pPr>
        <w:pStyle w:val="27"/>
        <w:adjustRightInd/>
        <w:spacing w:line="360" w:lineRule="auto"/>
        <w:ind w:firstLine="0"/>
        <w:textAlignment w:val="auto"/>
        <w:rPr>
          <w:rFonts w:asciiTheme="majorEastAsia" w:hAnsiTheme="majorEastAsia" w:eastAsiaTheme="majorEastAsia" w:cstheme="majorEastAsia"/>
          <w:color w:val="000000"/>
          <w:sz w:val="21"/>
          <w:szCs w:val="21"/>
          <w:highlight w:val="none"/>
        </w:rPr>
      </w:pPr>
    </w:p>
    <w:p w14:paraId="53CDD864">
      <w:pPr>
        <w:spacing w:line="470" w:lineRule="exact"/>
        <w:rPr>
          <w:rFonts w:asciiTheme="majorEastAsia" w:hAnsiTheme="majorEastAsia" w:eastAsiaTheme="majorEastAsia" w:cstheme="majorEastAsia"/>
          <w:sz w:val="24"/>
          <w:highlight w:val="none"/>
        </w:rPr>
      </w:pPr>
    </w:p>
    <w:p w14:paraId="32A107F7">
      <w:pPr>
        <w:widowControl/>
        <w:jc w:val="left"/>
        <w:rPr>
          <w:rStyle w:val="42"/>
          <w:rFonts w:hint="eastAsia" w:asciiTheme="majorEastAsia" w:hAnsiTheme="majorEastAsia" w:eastAsiaTheme="majorEastAsia" w:cstheme="majorEastAsia"/>
          <w:b/>
          <w:bCs/>
          <w:sz w:val="28"/>
          <w:highlight w:val="none"/>
        </w:rPr>
      </w:pPr>
      <w:r>
        <w:rPr>
          <w:rStyle w:val="42"/>
          <w:rFonts w:hint="eastAsia" w:asciiTheme="majorEastAsia" w:hAnsiTheme="majorEastAsia" w:eastAsiaTheme="majorEastAsia" w:cstheme="majorEastAsia"/>
          <w:b/>
          <w:bCs/>
          <w:sz w:val="28"/>
          <w:highlight w:val="none"/>
        </w:rPr>
        <w:br w:type="page"/>
      </w:r>
      <w:bookmarkEnd w:id="244"/>
      <w:bookmarkStart w:id="245" w:name="_Toc1152"/>
      <w:bookmarkStart w:id="246" w:name="_Toc309377261"/>
    </w:p>
    <w:p w14:paraId="5E3A14C2">
      <w:pPr>
        <w:widowControl/>
        <w:jc w:val="center"/>
        <w:rPr>
          <w:rStyle w:val="42"/>
          <w:rFonts w:hint="eastAsia" w:asciiTheme="majorEastAsia" w:hAnsiTheme="majorEastAsia" w:eastAsiaTheme="majorEastAsia" w:cstheme="majorEastAsia"/>
          <w:b/>
          <w:bCs/>
          <w:sz w:val="28"/>
          <w:highlight w:val="none"/>
        </w:rPr>
      </w:pPr>
    </w:p>
    <w:p w14:paraId="40FE8DEF">
      <w:pPr>
        <w:widowControl/>
        <w:jc w:val="center"/>
        <w:rPr>
          <w:rStyle w:val="42"/>
          <w:rFonts w:hint="eastAsia" w:asciiTheme="majorEastAsia" w:hAnsiTheme="majorEastAsia" w:eastAsiaTheme="majorEastAsia" w:cstheme="majorEastAsia"/>
          <w:b/>
          <w:bCs/>
          <w:sz w:val="28"/>
          <w:highlight w:val="none"/>
          <w:lang w:eastAsia="zh-CN"/>
        </w:rPr>
      </w:pPr>
      <w:r>
        <w:rPr>
          <w:rStyle w:val="42"/>
          <w:rFonts w:hint="eastAsia" w:asciiTheme="majorEastAsia" w:hAnsiTheme="majorEastAsia" w:eastAsiaTheme="majorEastAsia" w:cstheme="majorEastAsia"/>
          <w:b/>
          <w:bCs/>
          <w:sz w:val="28"/>
          <w:highlight w:val="none"/>
          <w:lang w:eastAsia="zh-CN"/>
        </w:rPr>
        <w:t>四</w:t>
      </w:r>
      <w:r>
        <w:rPr>
          <w:rStyle w:val="42"/>
          <w:rFonts w:hint="eastAsia" w:asciiTheme="majorEastAsia" w:hAnsiTheme="majorEastAsia" w:eastAsiaTheme="majorEastAsia" w:cstheme="majorEastAsia"/>
          <w:b/>
          <w:bCs/>
          <w:sz w:val="28"/>
          <w:highlight w:val="none"/>
        </w:rPr>
        <w:t>、</w:t>
      </w:r>
      <w:bookmarkEnd w:id="245"/>
      <w:r>
        <w:rPr>
          <w:rStyle w:val="42"/>
          <w:rFonts w:hint="eastAsia" w:asciiTheme="majorEastAsia" w:hAnsiTheme="majorEastAsia" w:eastAsiaTheme="majorEastAsia" w:cstheme="majorEastAsia"/>
          <w:b/>
          <w:bCs/>
          <w:sz w:val="28"/>
          <w:highlight w:val="none"/>
          <w:lang w:eastAsia="zh-CN"/>
        </w:rPr>
        <w:t>服务方案</w:t>
      </w:r>
    </w:p>
    <w:p w14:paraId="2D537F9E">
      <w:pPr>
        <w:spacing w:line="500" w:lineRule="exact"/>
        <w:jc w:val="center"/>
        <w:rPr>
          <w:rFonts w:hint="eastAsia" w:ascii="宋体" w:hAnsi="宋体" w:cs="宋体"/>
          <w:b/>
          <w:bCs/>
          <w:sz w:val="24"/>
          <w:szCs w:val="24"/>
          <w:lang w:val="zh-CN" w:eastAsia="zh-CN"/>
        </w:rPr>
      </w:pPr>
      <w:r>
        <w:rPr>
          <w:rFonts w:hint="eastAsia" w:ascii="宋体" w:hAnsi="宋体" w:cs="宋体"/>
          <w:b/>
          <w:bCs/>
          <w:sz w:val="24"/>
          <w:szCs w:val="24"/>
          <w:lang w:val="zh-CN" w:eastAsia="zh-CN"/>
        </w:rPr>
        <w:t>格式自拟，编制内容应根据评标办法中的评审因素内容编制；</w:t>
      </w:r>
    </w:p>
    <w:p w14:paraId="65C0CCFC">
      <w:pPr>
        <w:spacing w:line="500" w:lineRule="exact"/>
        <w:jc w:val="left"/>
        <w:rPr>
          <w:rFonts w:hint="eastAsia" w:ascii="宋体" w:hAnsi="宋体" w:cs="宋体"/>
          <w:b/>
          <w:bCs/>
          <w:sz w:val="28"/>
          <w:szCs w:val="28"/>
          <w:lang w:val="zh-CN" w:eastAsia="zh-CN"/>
        </w:rPr>
      </w:pPr>
    </w:p>
    <w:p w14:paraId="19BF77CF">
      <w:pPr>
        <w:spacing w:line="470" w:lineRule="exact"/>
        <w:jc w:val="center"/>
        <w:rPr>
          <w:rStyle w:val="42"/>
          <w:rFonts w:asciiTheme="majorEastAsia" w:hAnsiTheme="majorEastAsia" w:eastAsiaTheme="majorEastAsia" w:cstheme="majorEastAsia"/>
          <w:sz w:val="28"/>
          <w:szCs w:val="28"/>
          <w:highlight w:val="none"/>
        </w:rPr>
      </w:pPr>
      <w:r>
        <w:rPr>
          <w:rStyle w:val="42"/>
          <w:rFonts w:hint="eastAsia" w:asciiTheme="majorEastAsia" w:hAnsiTheme="majorEastAsia" w:eastAsiaTheme="majorEastAsia" w:cstheme="majorEastAsia"/>
          <w:sz w:val="28"/>
          <w:szCs w:val="28"/>
          <w:highlight w:val="none"/>
        </w:rPr>
        <w:br w:type="page"/>
      </w:r>
    </w:p>
    <w:p w14:paraId="476ACAB3">
      <w:pPr>
        <w:spacing w:before="120" w:beforeLines="50" w:after="120" w:afterLines="50"/>
        <w:jc w:val="center"/>
        <w:outlineLvl w:val="1"/>
        <w:rPr>
          <w:rStyle w:val="42"/>
          <w:rFonts w:asciiTheme="majorEastAsia" w:hAnsiTheme="majorEastAsia" w:eastAsiaTheme="majorEastAsia" w:cstheme="majorEastAsia"/>
          <w:b/>
          <w:bCs/>
          <w:sz w:val="28"/>
          <w:highlight w:val="none"/>
        </w:rPr>
      </w:pPr>
      <w:bookmarkStart w:id="247" w:name="_Toc27792"/>
      <w:bookmarkStart w:id="248" w:name="_Toc14837"/>
      <w:bookmarkStart w:id="249" w:name="_Toc18394"/>
      <w:r>
        <w:rPr>
          <w:rStyle w:val="42"/>
          <w:rFonts w:hint="eastAsia" w:asciiTheme="majorEastAsia" w:hAnsiTheme="majorEastAsia" w:eastAsiaTheme="majorEastAsia" w:cstheme="majorEastAsia"/>
          <w:b/>
          <w:bCs/>
          <w:sz w:val="28"/>
          <w:highlight w:val="none"/>
          <w:lang w:eastAsia="zh-CN"/>
        </w:rPr>
        <w:t>五</w:t>
      </w:r>
      <w:r>
        <w:rPr>
          <w:rStyle w:val="42"/>
          <w:rFonts w:hint="eastAsia" w:asciiTheme="majorEastAsia" w:hAnsiTheme="majorEastAsia" w:eastAsiaTheme="majorEastAsia" w:cstheme="majorEastAsia"/>
          <w:b/>
          <w:bCs/>
          <w:sz w:val="28"/>
          <w:highlight w:val="none"/>
        </w:rPr>
        <w:t>、资格审查表</w:t>
      </w:r>
      <w:bookmarkEnd w:id="246"/>
      <w:bookmarkEnd w:id="247"/>
      <w:bookmarkEnd w:id="248"/>
      <w:bookmarkEnd w:id="249"/>
    </w:p>
    <w:p w14:paraId="03085245">
      <w:pPr>
        <w:keepNext/>
        <w:jc w:val="left"/>
        <w:outlineLvl w:val="1"/>
        <w:rPr>
          <w:rFonts w:ascii="宋体" w:hAnsi="宋体"/>
          <w:b/>
          <w:bCs/>
          <w:color w:val="auto"/>
          <w:sz w:val="24"/>
        </w:rPr>
      </w:pPr>
      <w:bookmarkStart w:id="250" w:name="_Toc5927"/>
      <w:bookmarkStart w:id="251" w:name="_Toc18093"/>
      <w:bookmarkStart w:id="252" w:name="_Toc23487"/>
      <w:bookmarkStart w:id="253" w:name="_Toc5448"/>
      <w:bookmarkStart w:id="254" w:name="_Toc309377264"/>
      <w:r>
        <w:rPr>
          <w:rFonts w:hint="eastAsia" w:ascii="宋体" w:hAnsi="宋体"/>
          <w:b/>
          <w:bCs/>
          <w:color w:val="auto"/>
          <w:sz w:val="24"/>
        </w:rPr>
        <w:t>（一）资格审查部分</w:t>
      </w:r>
      <w:bookmarkEnd w:id="250"/>
      <w:bookmarkEnd w:id="251"/>
      <w:bookmarkEnd w:id="252"/>
      <w:bookmarkEnd w:id="253"/>
    </w:p>
    <w:p w14:paraId="563D5523">
      <w:pPr>
        <w:tabs>
          <w:tab w:val="left" w:pos="1507"/>
        </w:tabs>
        <w:spacing w:line="360" w:lineRule="auto"/>
        <w:ind w:firstLine="2429" w:firstLineChars="1100"/>
        <w:jc w:val="both"/>
        <w:rPr>
          <w:b/>
          <w:color w:val="auto"/>
          <w:sz w:val="22"/>
          <w:szCs w:val="22"/>
        </w:rPr>
      </w:pPr>
      <w:r>
        <w:rPr>
          <w:b/>
          <w:color w:val="auto"/>
          <w:sz w:val="22"/>
          <w:szCs w:val="22"/>
        </w:rPr>
        <w:t>（</w:t>
      </w:r>
      <w:r>
        <w:rPr>
          <w:rFonts w:hint="eastAsia"/>
          <w:b/>
          <w:color w:val="auto"/>
          <w:sz w:val="22"/>
          <w:szCs w:val="22"/>
        </w:rPr>
        <w:t>1</w:t>
      </w:r>
      <w:r>
        <w:rPr>
          <w:b/>
          <w:color w:val="auto"/>
          <w:sz w:val="22"/>
          <w:szCs w:val="22"/>
        </w:rPr>
        <w:t>）</w:t>
      </w:r>
      <w:r>
        <w:rPr>
          <w:rFonts w:hint="eastAsia"/>
          <w:b/>
          <w:color w:val="auto"/>
          <w:sz w:val="22"/>
          <w:szCs w:val="22"/>
        </w:rPr>
        <w:t>投标人</w:t>
      </w:r>
      <w:r>
        <w:rPr>
          <w:b/>
          <w:color w:val="auto"/>
          <w:sz w:val="22"/>
          <w:szCs w:val="22"/>
        </w:rPr>
        <w:t>基本情况表</w:t>
      </w:r>
    </w:p>
    <w:tbl>
      <w:tblPr>
        <w:tblStyle w:val="36"/>
        <w:tblW w:w="91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1039"/>
        <w:gridCol w:w="1544"/>
        <w:gridCol w:w="885"/>
        <w:gridCol w:w="399"/>
        <w:gridCol w:w="1343"/>
        <w:gridCol w:w="697"/>
        <w:gridCol w:w="1381"/>
      </w:tblGrid>
      <w:tr w14:paraId="3589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911" w:type="dxa"/>
            <w:noWrap w:val="0"/>
            <w:vAlign w:val="center"/>
          </w:tcPr>
          <w:p w14:paraId="3FF067AA">
            <w:pPr>
              <w:spacing w:line="360" w:lineRule="auto"/>
              <w:jc w:val="center"/>
              <w:rPr>
                <w:rFonts w:ascii="宋体" w:hAnsi="宋体" w:cs="宋体"/>
                <w:color w:val="auto"/>
                <w:sz w:val="24"/>
              </w:rPr>
            </w:pPr>
            <w:r>
              <w:rPr>
                <w:rFonts w:hint="eastAsia" w:ascii="宋体" w:hAnsi="宋体" w:cs="宋体"/>
                <w:color w:val="auto"/>
                <w:sz w:val="24"/>
              </w:rPr>
              <w:t>投标人名称</w:t>
            </w:r>
          </w:p>
        </w:tc>
        <w:tc>
          <w:tcPr>
            <w:tcW w:w="7288" w:type="dxa"/>
            <w:gridSpan w:val="7"/>
            <w:noWrap w:val="0"/>
            <w:vAlign w:val="center"/>
          </w:tcPr>
          <w:p w14:paraId="70C8EBAC">
            <w:pPr>
              <w:spacing w:line="360" w:lineRule="auto"/>
              <w:jc w:val="center"/>
              <w:rPr>
                <w:rFonts w:ascii="宋体" w:hAnsi="宋体" w:cs="宋体"/>
                <w:color w:val="auto"/>
                <w:sz w:val="24"/>
              </w:rPr>
            </w:pPr>
          </w:p>
        </w:tc>
      </w:tr>
      <w:tr w14:paraId="22F8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911" w:type="dxa"/>
            <w:noWrap w:val="0"/>
            <w:vAlign w:val="center"/>
          </w:tcPr>
          <w:p w14:paraId="5308FDE7">
            <w:pPr>
              <w:spacing w:line="360" w:lineRule="auto"/>
              <w:jc w:val="center"/>
              <w:rPr>
                <w:rFonts w:ascii="宋体" w:hAnsi="宋体" w:cs="宋体"/>
                <w:color w:val="auto"/>
                <w:sz w:val="24"/>
              </w:rPr>
            </w:pPr>
            <w:r>
              <w:rPr>
                <w:rFonts w:hint="eastAsia" w:ascii="宋体" w:hAnsi="宋体" w:cs="宋体"/>
                <w:color w:val="auto"/>
                <w:sz w:val="24"/>
              </w:rPr>
              <w:t>注册地址</w:t>
            </w:r>
          </w:p>
        </w:tc>
        <w:tc>
          <w:tcPr>
            <w:tcW w:w="3867" w:type="dxa"/>
            <w:gridSpan w:val="4"/>
            <w:noWrap w:val="0"/>
            <w:vAlign w:val="center"/>
          </w:tcPr>
          <w:p w14:paraId="454162D0">
            <w:pPr>
              <w:spacing w:line="360" w:lineRule="auto"/>
              <w:jc w:val="center"/>
              <w:rPr>
                <w:rFonts w:ascii="宋体" w:hAnsi="宋体" w:cs="宋体"/>
                <w:color w:val="auto"/>
                <w:sz w:val="24"/>
              </w:rPr>
            </w:pPr>
          </w:p>
        </w:tc>
        <w:tc>
          <w:tcPr>
            <w:tcW w:w="1343" w:type="dxa"/>
            <w:noWrap w:val="0"/>
            <w:vAlign w:val="center"/>
          </w:tcPr>
          <w:p w14:paraId="636DCBF7">
            <w:pPr>
              <w:spacing w:line="360" w:lineRule="auto"/>
              <w:jc w:val="center"/>
              <w:rPr>
                <w:rFonts w:ascii="宋体" w:hAnsi="宋体" w:cs="宋体"/>
                <w:color w:val="auto"/>
                <w:sz w:val="24"/>
              </w:rPr>
            </w:pPr>
            <w:r>
              <w:rPr>
                <w:rFonts w:hint="eastAsia" w:ascii="宋体" w:hAnsi="宋体" w:cs="宋体"/>
                <w:color w:val="auto"/>
                <w:sz w:val="24"/>
              </w:rPr>
              <w:t>邮政编码</w:t>
            </w:r>
          </w:p>
        </w:tc>
        <w:tc>
          <w:tcPr>
            <w:tcW w:w="2078" w:type="dxa"/>
            <w:gridSpan w:val="2"/>
            <w:noWrap w:val="0"/>
            <w:vAlign w:val="top"/>
          </w:tcPr>
          <w:p w14:paraId="5FF4B68D">
            <w:pPr>
              <w:spacing w:line="360" w:lineRule="auto"/>
              <w:rPr>
                <w:rFonts w:ascii="宋体" w:hAnsi="宋体" w:cs="宋体"/>
                <w:color w:val="auto"/>
                <w:sz w:val="24"/>
              </w:rPr>
            </w:pPr>
          </w:p>
        </w:tc>
      </w:tr>
      <w:tr w14:paraId="7EB0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11" w:type="dxa"/>
            <w:vMerge w:val="restart"/>
            <w:noWrap w:val="0"/>
            <w:vAlign w:val="center"/>
          </w:tcPr>
          <w:p w14:paraId="0939BBC5">
            <w:pPr>
              <w:spacing w:line="360" w:lineRule="auto"/>
              <w:jc w:val="center"/>
              <w:rPr>
                <w:rFonts w:ascii="宋体" w:hAnsi="宋体" w:cs="宋体"/>
                <w:color w:val="auto"/>
                <w:sz w:val="24"/>
              </w:rPr>
            </w:pPr>
            <w:r>
              <w:rPr>
                <w:rFonts w:hint="eastAsia" w:ascii="宋体" w:hAnsi="宋体" w:cs="宋体"/>
                <w:color w:val="auto"/>
                <w:sz w:val="24"/>
              </w:rPr>
              <w:t>联系方式</w:t>
            </w:r>
          </w:p>
        </w:tc>
        <w:tc>
          <w:tcPr>
            <w:tcW w:w="1039" w:type="dxa"/>
            <w:noWrap w:val="0"/>
            <w:vAlign w:val="center"/>
          </w:tcPr>
          <w:p w14:paraId="3E8F6EF2">
            <w:pPr>
              <w:spacing w:line="360" w:lineRule="auto"/>
              <w:jc w:val="center"/>
              <w:rPr>
                <w:rFonts w:ascii="宋体" w:hAnsi="宋体" w:cs="宋体"/>
                <w:color w:val="auto"/>
                <w:sz w:val="24"/>
              </w:rPr>
            </w:pPr>
            <w:r>
              <w:rPr>
                <w:rFonts w:hint="eastAsia" w:ascii="宋体" w:hAnsi="宋体" w:cs="宋体"/>
                <w:color w:val="auto"/>
                <w:sz w:val="24"/>
              </w:rPr>
              <w:t>联系人</w:t>
            </w:r>
          </w:p>
        </w:tc>
        <w:tc>
          <w:tcPr>
            <w:tcW w:w="2828" w:type="dxa"/>
            <w:gridSpan w:val="3"/>
            <w:noWrap w:val="0"/>
            <w:vAlign w:val="top"/>
          </w:tcPr>
          <w:p w14:paraId="4C41EAA3">
            <w:pPr>
              <w:spacing w:line="360" w:lineRule="auto"/>
              <w:rPr>
                <w:rFonts w:ascii="宋体" w:hAnsi="宋体" w:cs="宋体"/>
                <w:color w:val="auto"/>
                <w:sz w:val="24"/>
              </w:rPr>
            </w:pPr>
          </w:p>
        </w:tc>
        <w:tc>
          <w:tcPr>
            <w:tcW w:w="1343" w:type="dxa"/>
            <w:noWrap w:val="0"/>
            <w:vAlign w:val="center"/>
          </w:tcPr>
          <w:p w14:paraId="64287133">
            <w:pPr>
              <w:spacing w:line="360" w:lineRule="auto"/>
              <w:jc w:val="center"/>
              <w:rPr>
                <w:rFonts w:ascii="宋体" w:hAnsi="宋体" w:cs="宋体"/>
                <w:color w:val="auto"/>
                <w:sz w:val="24"/>
              </w:rPr>
            </w:pPr>
            <w:r>
              <w:rPr>
                <w:rFonts w:hint="eastAsia" w:ascii="宋体" w:hAnsi="宋体" w:cs="宋体"/>
                <w:color w:val="auto"/>
                <w:sz w:val="24"/>
              </w:rPr>
              <w:t>电话</w:t>
            </w:r>
          </w:p>
        </w:tc>
        <w:tc>
          <w:tcPr>
            <w:tcW w:w="2078" w:type="dxa"/>
            <w:gridSpan w:val="2"/>
            <w:noWrap w:val="0"/>
            <w:vAlign w:val="top"/>
          </w:tcPr>
          <w:p w14:paraId="22DFC731">
            <w:pPr>
              <w:spacing w:line="360" w:lineRule="auto"/>
              <w:rPr>
                <w:rFonts w:ascii="宋体" w:hAnsi="宋体" w:cs="宋体"/>
                <w:color w:val="auto"/>
                <w:sz w:val="24"/>
              </w:rPr>
            </w:pPr>
          </w:p>
        </w:tc>
      </w:tr>
      <w:tr w14:paraId="1B10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911" w:type="dxa"/>
            <w:vMerge w:val="continue"/>
            <w:noWrap w:val="0"/>
            <w:vAlign w:val="center"/>
          </w:tcPr>
          <w:p w14:paraId="1592A536">
            <w:pPr>
              <w:spacing w:line="360" w:lineRule="auto"/>
              <w:jc w:val="center"/>
              <w:rPr>
                <w:rFonts w:ascii="宋体" w:hAnsi="宋体" w:cs="宋体"/>
                <w:color w:val="auto"/>
                <w:sz w:val="24"/>
              </w:rPr>
            </w:pPr>
          </w:p>
        </w:tc>
        <w:tc>
          <w:tcPr>
            <w:tcW w:w="1039" w:type="dxa"/>
            <w:noWrap w:val="0"/>
            <w:vAlign w:val="center"/>
          </w:tcPr>
          <w:p w14:paraId="5582CEB2">
            <w:pPr>
              <w:spacing w:line="360" w:lineRule="auto"/>
              <w:jc w:val="center"/>
              <w:rPr>
                <w:rFonts w:ascii="宋体" w:hAnsi="宋体" w:cs="宋体"/>
                <w:color w:val="auto"/>
                <w:sz w:val="24"/>
              </w:rPr>
            </w:pPr>
            <w:r>
              <w:rPr>
                <w:rFonts w:hint="eastAsia" w:ascii="宋体" w:hAnsi="宋体" w:cs="宋体"/>
                <w:color w:val="auto"/>
                <w:sz w:val="24"/>
              </w:rPr>
              <w:t>传真</w:t>
            </w:r>
          </w:p>
        </w:tc>
        <w:tc>
          <w:tcPr>
            <w:tcW w:w="2828" w:type="dxa"/>
            <w:gridSpan w:val="3"/>
            <w:noWrap w:val="0"/>
            <w:vAlign w:val="top"/>
          </w:tcPr>
          <w:p w14:paraId="56290A1B">
            <w:pPr>
              <w:spacing w:line="360" w:lineRule="auto"/>
              <w:rPr>
                <w:rFonts w:ascii="宋体" w:hAnsi="宋体" w:cs="宋体"/>
                <w:color w:val="auto"/>
                <w:sz w:val="24"/>
              </w:rPr>
            </w:pPr>
          </w:p>
        </w:tc>
        <w:tc>
          <w:tcPr>
            <w:tcW w:w="1343" w:type="dxa"/>
            <w:noWrap w:val="0"/>
            <w:vAlign w:val="center"/>
          </w:tcPr>
          <w:p w14:paraId="60C0A4B1">
            <w:pPr>
              <w:spacing w:line="360" w:lineRule="auto"/>
              <w:jc w:val="center"/>
              <w:rPr>
                <w:rFonts w:ascii="宋体" w:hAnsi="宋体" w:cs="宋体"/>
                <w:color w:val="auto"/>
                <w:sz w:val="24"/>
              </w:rPr>
            </w:pPr>
            <w:r>
              <w:rPr>
                <w:rFonts w:hint="eastAsia" w:ascii="宋体" w:hAnsi="宋体" w:cs="宋体"/>
                <w:color w:val="auto"/>
                <w:sz w:val="24"/>
              </w:rPr>
              <w:t>网址</w:t>
            </w:r>
          </w:p>
        </w:tc>
        <w:tc>
          <w:tcPr>
            <w:tcW w:w="2078" w:type="dxa"/>
            <w:gridSpan w:val="2"/>
            <w:noWrap w:val="0"/>
            <w:vAlign w:val="top"/>
          </w:tcPr>
          <w:p w14:paraId="27095A15">
            <w:pPr>
              <w:spacing w:line="360" w:lineRule="auto"/>
              <w:rPr>
                <w:rFonts w:ascii="宋体" w:hAnsi="宋体" w:cs="宋体"/>
                <w:color w:val="auto"/>
                <w:sz w:val="24"/>
              </w:rPr>
            </w:pPr>
          </w:p>
        </w:tc>
      </w:tr>
      <w:tr w14:paraId="68A3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911" w:type="dxa"/>
            <w:noWrap w:val="0"/>
            <w:vAlign w:val="center"/>
          </w:tcPr>
          <w:p w14:paraId="5401F4D4">
            <w:pPr>
              <w:spacing w:line="360" w:lineRule="auto"/>
              <w:jc w:val="center"/>
              <w:rPr>
                <w:rFonts w:ascii="宋体" w:hAnsi="宋体" w:cs="宋体"/>
                <w:color w:val="auto"/>
                <w:sz w:val="24"/>
              </w:rPr>
            </w:pPr>
            <w:r>
              <w:rPr>
                <w:rFonts w:hint="eastAsia" w:ascii="宋体" w:hAnsi="宋体" w:cs="宋体"/>
                <w:color w:val="auto"/>
                <w:sz w:val="24"/>
              </w:rPr>
              <w:t>组织结构</w:t>
            </w:r>
          </w:p>
        </w:tc>
        <w:tc>
          <w:tcPr>
            <w:tcW w:w="7288" w:type="dxa"/>
            <w:gridSpan w:val="7"/>
            <w:noWrap w:val="0"/>
            <w:vAlign w:val="top"/>
          </w:tcPr>
          <w:p w14:paraId="75BF7297">
            <w:pPr>
              <w:spacing w:line="360" w:lineRule="auto"/>
              <w:rPr>
                <w:rFonts w:ascii="宋体" w:hAnsi="宋体" w:cs="宋体"/>
                <w:color w:val="auto"/>
                <w:sz w:val="24"/>
              </w:rPr>
            </w:pPr>
          </w:p>
        </w:tc>
      </w:tr>
      <w:tr w14:paraId="3A37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911" w:type="dxa"/>
            <w:noWrap w:val="0"/>
            <w:vAlign w:val="center"/>
          </w:tcPr>
          <w:p w14:paraId="2DDA93CE">
            <w:pPr>
              <w:spacing w:line="360" w:lineRule="auto"/>
              <w:jc w:val="center"/>
              <w:rPr>
                <w:rFonts w:ascii="宋体" w:hAnsi="宋体" w:cs="宋体"/>
                <w:color w:val="auto"/>
                <w:sz w:val="24"/>
              </w:rPr>
            </w:pPr>
            <w:r>
              <w:rPr>
                <w:rFonts w:hint="eastAsia" w:ascii="宋体" w:hAnsi="宋体" w:cs="宋体"/>
                <w:color w:val="auto"/>
                <w:sz w:val="24"/>
              </w:rPr>
              <w:t>法定代表人</w:t>
            </w:r>
          </w:p>
        </w:tc>
        <w:tc>
          <w:tcPr>
            <w:tcW w:w="1039" w:type="dxa"/>
            <w:noWrap w:val="0"/>
            <w:vAlign w:val="center"/>
          </w:tcPr>
          <w:p w14:paraId="5BCA9FA6">
            <w:pPr>
              <w:spacing w:line="360" w:lineRule="auto"/>
              <w:jc w:val="center"/>
              <w:rPr>
                <w:rFonts w:ascii="宋体" w:hAnsi="宋体" w:cs="宋体"/>
                <w:color w:val="auto"/>
                <w:sz w:val="24"/>
              </w:rPr>
            </w:pPr>
            <w:r>
              <w:rPr>
                <w:rFonts w:hint="eastAsia" w:ascii="宋体" w:hAnsi="宋体" w:cs="宋体"/>
                <w:color w:val="auto"/>
                <w:sz w:val="24"/>
              </w:rPr>
              <w:t>姓名</w:t>
            </w:r>
          </w:p>
        </w:tc>
        <w:tc>
          <w:tcPr>
            <w:tcW w:w="1544" w:type="dxa"/>
            <w:noWrap w:val="0"/>
            <w:vAlign w:val="center"/>
          </w:tcPr>
          <w:p w14:paraId="1D519D28">
            <w:pPr>
              <w:spacing w:line="360" w:lineRule="auto"/>
              <w:jc w:val="center"/>
              <w:rPr>
                <w:rFonts w:ascii="宋体" w:hAnsi="宋体" w:cs="宋体"/>
                <w:color w:val="auto"/>
                <w:sz w:val="24"/>
              </w:rPr>
            </w:pPr>
          </w:p>
        </w:tc>
        <w:tc>
          <w:tcPr>
            <w:tcW w:w="1284" w:type="dxa"/>
            <w:gridSpan w:val="2"/>
            <w:noWrap w:val="0"/>
            <w:vAlign w:val="center"/>
          </w:tcPr>
          <w:p w14:paraId="03086F03">
            <w:pPr>
              <w:spacing w:line="360" w:lineRule="auto"/>
              <w:jc w:val="center"/>
              <w:rPr>
                <w:rFonts w:ascii="宋体" w:hAnsi="宋体" w:cs="宋体"/>
                <w:color w:val="auto"/>
                <w:sz w:val="24"/>
              </w:rPr>
            </w:pPr>
            <w:r>
              <w:rPr>
                <w:rFonts w:hint="eastAsia" w:ascii="宋体" w:hAnsi="宋体" w:cs="宋体"/>
                <w:color w:val="auto"/>
                <w:sz w:val="24"/>
              </w:rPr>
              <w:t>技术职称</w:t>
            </w:r>
          </w:p>
        </w:tc>
        <w:tc>
          <w:tcPr>
            <w:tcW w:w="1343" w:type="dxa"/>
            <w:noWrap w:val="0"/>
            <w:vAlign w:val="center"/>
          </w:tcPr>
          <w:p w14:paraId="0680CE56">
            <w:pPr>
              <w:spacing w:line="360" w:lineRule="auto"/>
              <w:jc w:val="center"/>
              <w:rPr>
                <w:rFonts w:ascii="宋体" w:hAnsi="宋体" w:cs="宋体"/>
                <w:color w:val="auto"/>
                <w:sz w:val="24"/>
              </w:rPr>
            </w:pPr>
          </w:p>
        </w:tc>
        <w:tc>
          <w:tcPr>
            <w:tcW w:w="697" w:type="dxa"/>
            <w:noWrap w:val="0"/>
            <w:vAlign w:val="center"/>
          </w:tcPr>
          <w:p w14:paraId="02C31EA0">
            <w:pPr>
              <w:spacing w:line="360" w:lineRule="auto"/>
              <w:jc w:val="center"/>
              <w:rPr>
                <w:rFonts w:ascii="宋体" w:hAnsi="宋体" w:cs="宋体"/>
                <w:color w:val="auto"/>
                <w:sz w:val="24"/>
              </w:rPr>
            </w:pPr>
            <w:r>
              <w:rPr>
                <w:rFonts w:hint="eastAsia" w:ascii="宋体" w:hAnsi="宋体" w:cs="宋体"/>
                <w:color w:val="auto"/>
                <w:sz w:val="24"/>
              </w:rPr>
              <w:t>电话</w:t>
            </w:r>
          </w:p>
        </w:tc>
        <w:tc>
          <w:tcPr>
            <w:tcW w:w="1381" w:type="dxa"/>
            <w:noWrap w:val="0"/>
            <w:vAlign w:val="center"/>
          </w:tcPr>
          <w:p w14:paraId="706831F4">
            <w:pPr>
              <w:spacing w:line="360" w:lineRule="auto"/>
              <w:jc w:val="center"/>
              <w:rPr>
                <w:rFonts w:ascii="宋体" w:hAnsi="宋体" w:cs="宋体"/>
                <w:color w:val="auto"/>
                <w:sz w:val="24"/>
              </w:rPr>
            </w:pPr>
          </w:p>
        </w:tc>
      </w:tr>
      <w:tr w14:paraId="514B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911" w:type="dxa"/>
            <w:noWrap w:val="0"/>
            <w:vAlign w:val="center"/>
          </w:tcPr>
          <w:p w14:paraId="155AE7EB">
            <w:pPr>
              <w:spacing w:line="360" w:lineRule="auto"/>
              <w:jc w:val="center"/>
              <w:rPr>
                <w:rFonts w:ascii="宋体" w:hAnsi="宋体" w:cs="宋体"/>
                <w:color w:val="auto"/>
                <w:sz w:val="24"/>
              </w:rPr>
            </w:pPr>
            <w:r>
              <w:rPr>
                <w:rFonts w:hint="eastAsia" w:ascii="宋体" w:hAnsi="宋体" w:cs="宋体"/>
                <w:color w:val="auto"/>
                <w:sz w:val="24"/>
              </w:rPr>
              <w:t>技术负责人</w:t>
            </w:r>
          </w:p>
        </w:tc>
        <w:tc>
          <w:tcPr>
            <w:tcW w:w="1039" w:type="dxa"/>
            <w:noWrap w:val="0"/>
            <w:vAlign w:val="center"/>
          </w:tcPr>
          <w:p w14:paraId="5E22B543">
            <w:pPr>
              <w:spacing w:line="360" w:lineRule="auto"/>
              <w:jc w:val="center"/>
              <w:rPr>
                <w:rFonts w:ascii="宋体" w:hAnsi="宋体" w:cs="宋体"/>
                <w:color w:val="auto"/>
                <w:sz w:val="24"/>
              </w:rPr>
            </w:pPr>
            <w:r>
              <w:rPr>
                <w:rFonts w:hint="eastAsia" w:ascii="宋体" w:hAnsi="宋体" w:cs="宋体"/>
                <w:color w:val="auto"/>
                <w:sz w:val="24"/>
              </w:rPr>
              <w:t>姓名</w:t>
            </w:r>
          </w:p>
        </w:tc>
        <w:tc>
          <w:tcPr>
            <w:tcW w:w="1544" w:type="dxa"/>
            <w:noWrap w:val="0"/>
            <w:vAlign w:val="center"/>
          </w:tcPr>
          <w:p w14:paraId="0A599512">
            <w:pPr>
              <w:spacing w:line="360" w:lineRule="auto"/>
              <w:jc w:val="center"/>
              <w:rPr>
                <w:rFonts w:ascii="宋体" w:hAnsi="宋体" w:cs="宋体"/>
                <w:color w:val="auto"/>
                <w:sz w:val="24"/>
              </w:rPr>
            </w:pPr>
          </w:p>
        </w:tc>
        <w:tc>
          <w:tcPr>
            <w:tcW w:w="1284" w:type="dxa"/>
            <w:gridSpan w:val="2"/>
            <w:noWrap w:val="0"/>
            <w:vAlign w:val="center"/>
          </w:tcPr>
          <w:p w14:paraId="4FDD7397">
            <w:pPr>
              <w:spacing w:line="360" w:lineRule="auto"/>
              <w:jc w:val="center"/>
              <w:rPr>
                <w:rFonts w:ascii="宋体" w:hAnsi="宋体" w:cs="宋体"/>
                <w:color w:val="auto"/>
                <w:sz w:val="24"/>
              </w:rPr>
            </w:pPr>
            <w:r>
              <w:rPr>
                <w:rFonts w:hint="eastAsia" w:ascii="宋体" w:hAnsi="宋体" w:cs="宋体"/>
                <w:color w:val="auto"/>
                <w:sz w:val="24"/>
              </w:rPr>
              <w:t>技术职称</w:t>
            </w:r>
          </w:p>
        </w:tc>
        <w:tc>
          <w:tcPr>
            <w:tcW w:w="1343" w:type="dxa"/>
            <w:noWrap w:val="0"/>
            <w:vAlign w:val="center"/>
          </w:tcPr>
          <w:p w14:paraId="0FE19B4B">
            <w:pPr>
              <w:spacing w:line="360" w:lineRule="auto"/>
              <w:jc w:val="center"/>
              <w:rPr>
                <w:rFonts w:ascii="宋体" w:hAnsi="宋体" w:cs="宋体"/>
                <w:color w:val="auto"/>
                <w:sz w:val="24"/>
              </w:rPr>
            </w:pPr>
          </w:p>
        </w:tc>
        <w:tc>
          <w:tcPr>
            <w:tcW w:w="697" w:type="dxa"/>
            <w:noWrap w:val="0"/>
            <w:vAlign w:val="center"/>
          </w:tcPr>
          <w:p w14:paraId="40D47F72">
            <w:pPr>
              <w:spacing w:line="360" w:lineRule="auto"/>
              <w:jc w:val="center"/>
              <w:rPr>
                <w:rFonts w:ascii="宋体" w:hAnsi="宋体" w:cs="宋体"/>
                <w:color w:val="auto"/>
                <w:sz w:val="24"/>
              </w:rPr>
            </w:pPr>
            <w:r>
              <w:rPr>
                <w:rFonts w:hint="eastAsia" w:ascii="宋体" w:hAnsi="宋体" w:cs="宋体"/>
                <w:color w:val="auto"/>
                <w:sz w:val="24"/>
              </w:rPr>
              <w:t>电话</w:t>
            </w:r>
          </w:p>
        </w:tc>
        <w:tc>
          <w:tcPr>
            <w:tcW w:w="1381" w:type="dxa"/>
            <w:noWrap w:val="0"/>
            <w:vAlign w:val="center"/>
          </w:tcPr>
          <w:p w14:paraId="608B70CD">
            <w:pPr>
              <w:spacing w:line="360" w:lineRule="auto"/>
              <w:jc w:val="center"/>
              <w:rPr>
                <w:rFonts w:ascii="宋体" w:hAnsi="宋体" w:cs="宋体"/>
                <w:color w:val="auto"/>
                <w:sz w:val="24"/>
              </w:rPr>
            </w:pPr>
          </w:p>
        </w:tc>
      </w:tr>
      <w:tr w14:paraId="5BEB1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911" w:type="dxa"/>
            <w:noWrap w:val="0"/>
            <w:vAlign w:val="center"/>
          </w:tcPr>
          <w:p w14:paraId="61462E7D">
            <w:pPr>
              <w:spacing w:line="360" w:lineRule="auto"/>
              <w:jc w:val="center"/>
              <w:rPr>
                <w:rFonts w:ascii="宋体" w:hAnsi="宋体" w:cs="宋体"/>
                <w:color w:val="auto"/>
                <w:sz w:val="24"/>
              </w:rPr>
            </w:pPr>
            <w:r>
              <w:rPr>
                <w:rFonts w:hint="eastAsia" w:ascii="宋体" w:hAnsi="宋体" w:cs="宋体"/>
                <w:color w:val="auto"/>
                <w:sz w:val="24"/>
              </w:rPr>
              <w:t>成立时间</w:t>
            </w:r>
          </w:p>
        </w:tc>
        <w:tc>
          <w:tcPr>
            <w:tcW w:w="2583" w:type="dxa"/>
            <w:gridSpan w:val="2"/>
            <w:noWrap w:val="0"/>
            <w:vAlign w:val="top"/>
          </w:tcPr>
          <w:p w14:paraId="4B45282C">
            <w:pPr>
              <w:spacing w:line="360" w:lineRule="auto"/>
              <w:rPr>
                <w:rFonts w:ascii="宋体" w:hAnsi="宋体" w:cs="宋体"/>
                <w:color w:val="auto"/>
                <w:sz w:val="24"/>
              </w:rPr>
            </w:pPr>
          </w:p>
        </w:tc>
        <w:tc>
          <w:tcPr>
            <w:tcW w:w="4705" w:type="dxa"/>
            <w:gridSpan w:val="5"/>
            <w:noWrap w:val="0"/>
            <w:vAlign w:val="center"/>
          </w:tcPr>
          <w:p w14:paraId="7D642CBA">
            <w:pPr>
              <w:spacing w:line="360" w:lineRule="auto"/>
              <w:jc w:val="center"/>
              <w:rPr>
                <w:rFonts w:ascii="宋体" w:hAnsi="宋体" w:cs="宋体"/>
                <w:color w:val="auto"/>
                <w:sz w:val="24"/>
              </w:rPr>
            </w:pPr>
            <w:r>
              <w:rPr>
                <w:color w:val="auto"/>
                <w:sz w:val="24"/>
              </w:rPr>
              <w:t>有职称人员</w:t>
            </w:r>
          </w:p>
        </w:tc>
      </w:tr>
      <w:tr w14:paraId="4B32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911" w:type="dxa"/>
            <w:noWrap w:val="0"/>
            <w:vAlign w:val="center"/>
          </w:tcPr>
          <w:p w14:paraId="0E677995">
            <w:pPr>
              <w:spacing w:line="360" w:lineRule="auto"/>
              <w:jc w:val="center"/>
              <w:rPr>
                <w:rFonts w:ascii="宋体" w:hAnsi="宋体" w:cs="宋体"/>
                <w:color w:val="auto"/>
                <w:sz w:val="24"/>
              </w:rPr>
            </w:pPr>
            <w:r>
              <w:rPr>
                <w:rFonts w:hint="eastAsia" w:ascii="宋体" w:hAnsi="宋体" w:cs="宋体"/>
                <w:color w:val="auto"/>
                <w:sz w:val="24"/>
              </w:rPr>
              <w:t>企业资质等级</w:t>
            </w:r>
          </w:p>
        </w:tc>
        <w:tc>
          <w:tcPr>
            <w:tcW w:w="2583" w:type="dxa"/>
            <w:gridSpan w:val="2"/>
            <w:noWrap w:val="0"/>
            <w:vAlign w:val="top"/>
          </w:tcPr>
          <w:p w14:paraId="2DDD6E4C">
            <w:pPr>
              <w:spacing w:line="360" w:lineRule="auto"/>
              <w:rPr>
                <w:rFonts w:ascii="宋体" w:hAnsi="宋体" w:cs="宋体"/>
                <w:color w:val="auto"/>
                <w:sz w:val="24"/>
              </w:rPr>
            </w:pPr>
          </w:p>
        </w:tc>
        <w:tc>
          <w:tcPr>
            <w:tcW w:w="885" w:type="dxa"/>
            <w:vMerge w:val="restart"/>
            <w:noWrap w:val="0"/>
            <w:vAlign w:val="center"/>
          </w:tcPr>
          <w:p w14:paraId="4AAFA4E4">
            <w:pPr>
              <w:spacing w:line="360" w:lineRule="auto"/>
              <w:rPr>
                <w:rFonts w:ascii="宋体" w:hAnsi="宋体" w:cs="宋体"/>
                <w:color w:val="auto"/>
                <w:sz w:val="24"/>
              </w:rPr>
            </w:pPr>
            <w:r>
              <w:rPr>
                <w:rFonts w:hint="eastAsia" w:ascii="宋体" w:hAnsi="宋体" w:cs="宋体"/>
                <w:color w:val="auto"/>
                <w:sz w:val="24"/>
              </w:rPr>
              <w:t>其中</w:t>
            </w:r>
          </w:p>
        </w:tc>
        <w:tc>
          <w:tcPr>
            <w:tcW w:w="1742" w:type="dxa"/>
            <w:gridSpan w:val="2"/>
            <w:noWrap w:val="0"/>
            <w:vAlign w:val="center"/>
          </w:tcPr>
          <w:p w14:paraId="63E07167">
            <w:pPr>
              <w:spacing w:line="360" w:lineRule="auto"/>
              <w:jc w:val="center"/>
              <w:rPr>
                <w:rFonts w:ascii="宋体" w:hAnsi="宋体" w:cs="宋体"/>
                <w:color w:val="auto"/>
                <w:sz w:val="24"/>
              </w:rPr>
            </w:pPr>
            <w:r>
              <w:rPr>
                <w:color w:val="auto"/>
                <w:sz w:val="24"/>
              </w:rPr>
              <w:t>国家注册人员</w:t>
            </w:r>
          </w:p>
        </w:tc>
        <w:tc>
          <w:tcPr>
            <w:tcW w:w="2078" w:type="dxa"/>
            <w:gridSpan w:val="2"/>
            <w:noWrap w:val="0"/>
            <w:vAlign w:val="top"/>
          </w:tcPr>
          <w:p w14:paraId="13F45F02">
            <w:pPr>
              <w:spacing w:line="360" w:lineRule="auto"/>
              <w:rPr>
                <w:rFonts w:ascii="宋体" w:hAnsi="宋体" w:cs="宋体"/>
                <w:color w:val="auto"/>
                <w:sz w:val="24"/>
              </w:rPr>
            </w:pPr>
          </w:p>
        </w:tc>
      </w:tr>
      <w:tr w14:paraId="27AE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911" w:type="dxa"/>
            <w:noWrap w:val="0"/>
            <w:vAlign w:val="center"/>
          </w:tcPr>
          <w:p w14:paraId="6866E6BB">
            <w:pPr>
              <w:spacing w:line="360" w:lineRule="auto"/>
              <w:jc w:val="center"/>
              <w:rPr>
                <w:rFonts w:ascii="宋体" w:hAnsi="宋体" w:cs="宋体"/>
                <w:color w:val="auto"/>
                <w:sz w:val="24"/>
              </w:rPr>
            </w:pPr>
            <w:r>
              <w:rPr>
                <w:rFonts w:hint="eastAsia" w:ascii="宋体" w:hAnsi="宋体" w:cs="宋体"/>
                <w:color w:val="auto"/>
                <w:sz w:val="24"/>
              </w:rPr>
              <w:t>营业执照号</w:t>
            </w:r>
          </w:p>
        </w:tc>
        <w:tc>
          <w:tcPr>
            <w:tcW w:w="2583" w:type="dxa"/>
            <w:gridSpan w:val="2"/>
            <w:noWrap w:val="0"/>
            <w:vAlign w:val="top"/>
          </w:tcPr>
          <w:p w14:paraId="0AA5AD40">
            <w:pPr>
              <w:spacing w:line="360" w:lineRule="auto"/>
              <w:rPr>
                <w:rFonts w:ascii="宋体" w:hAnsi="宋体" w:cs="宋体"/>
                <w:color w:val="auto"/>
                <w:sz w:val="24"/>
              </w:rPr>
            </w:pPr>
          </w:p>
        </w:tc>
        <w:tc>
          <w:tcPr>
            <w:tcW w:w="885" w:type="dxa"/>
            <w:vMerge w:val="continue"/>
            <w:noWrap w:val="0"/>
            <w:vAlign w:val="top"/>
          </w:tcPr>
          <w:p w14:paraId="238212DC">
            <w:pPr>
              <w:spacing w:line="360" w:lineRule="auto"/>
              <w:rPr>
                <w:rFonts w:ascii="宋体" w:hAnsi="宋体" w:cs="宋体"/>
                <w:color w:val="auto"/>
                <w:sz w:val="24"/>
              </w:rPr>
            </w:pPr>
          </w:p>
        </w:tc>
        <w:tc>
          <w:tcPr>
            <w:tcW w:w="1742" w:type="dxa"/>
            <w:gridSpan w:val="2"/>
            <w:noWrap w:val="0"/>
            <w:vAlign w:val="center"/>
          </w:tcPr>
          <w:p w14:paraId="43859DE2">
            <w:pPr>
              <w:spacing w:line="360" w:lineRule="auto"/>
              <w:jc w:val="center"/>
              <w:rPr>
                <w:rFonts w:ascii="宋体" w:hAnsi="宋体" w:cs="宋体"/>
                <w:color w:val="auto"/>
                <w:sz w:val="24"/>
              </w:rPr>
            </w:pPr>
            <w:r>
              <w:rPr>
                <w:rFonts w:hint="eastAsia" w:ascii="宋体" w:hAnsi="宋体" w:cs="宋体"/>
                <w:color w:val="auto"/>
                <w:sz w:val="24"/>
              </w:rPr>
              <w:t>高级职称人员</w:t>
            </w:r>
          </w:p>
        </w:tc>
        <w:tc>
          <w:tcPr>
            <w:tcW w:w="2078" w:type="dxa"/>
            <w:gridSpan w:val="2"/>
            <w:noWrap w:val="0"/>
            <w:vAlign w:val="top"/>
          </w:tcPr>
          <w:p w14:paraId="1A69526D">
            <w:pPr>
              <w:spacing w:line="360" w:lineRule="auto"/>
              <w:rPr>
                <w:rFonts w:ascii="宋体" w:hAnsi="宋体" w:cs="宋体"/>
                <w:color w:val="auto"/>
                <w:sz w:val="24"/>
              </w:rPr>
            </w:pPr>
          </w:p>
        </w:tc>
      </w:tr>
      <w:tr w14:paraId="2C54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911" w:type="dxa"/>
            <w:noWrap w:val="0"/>
            <w:vAlign w:val="center"/>
          </w:tcPr>
          <w:p w14:paraId="1553269B">
            <w:pPr>
              <w:spacing w:line="360" w:lineRule="auto"/>
              <w:jc w:val="center"/>
              <w:rPr>
                <w:rFonts w:ascii="宋体" w:hAnsi="宋体" w:cs="宋体"/>
                <w:color w:val="auto"/>
                <w:sz w:val="24"/>
              </w:rPr>
            </w:pPr>
            <w:r>
              <w:rPr>
                <w:rFonts w:hint="eastAsia" w:ascii="宋体" w:hAnsi="宋体" w:cs="宋体"/>
                <w:color w:val="auto"/>
                <w:sz w:val="24"/>
              </w:rPr>
              <w:t>注册资金</w:t>
            </w:r>
          </w:p>
        </w:tc>
        <w:tc>
          <w:tcPr>
            <w:tcW w:w="2583" w:type="dxa"/>
            <w:gridSpan w:val="2"/>
            <w:noWrap w:val="0"/>
            <w:vAlign w:val="top"/>
          </w:tcPr>
          <w:p w14:paraId="76F8B740">
            <w:pPr>
              <w:spacing w:line="360" w:lineRule="auto"/>
              <w:rPr>
                <w:rFonts w:ascii="宋体" w:hAnsi="宋体" w:cs="宋体"/>
                <w:color w:val="auto"/>
                <w:sz w:val="24"/>
              </w:rPr>
            </w:pPr>
          </w:p>
        </w:tc>
        <w:tc>
          <w:tcPr>
            <w:tcW w:w="885" w:type="dxa"/>
            <w:vMerge w:val="continue"/>
            <w:noWrap w:val="0"/>
            <w:vAlign w:val="top"/>
          </w:tcPr>
          <w:p w14:paraId="0F8B7BE9">
            <w:pPr>
              <w:spacing w:line="360" w:lineRule="auto"/>
              <w:rPr>
                <w:rFonts w:ascii="宋体" w:hAnsi="宋体" w:cs="宋体"/>
                <w:color w:val="auto"/>
                <w:sz w:val="24"/>
              </w:rPr>
            </w:pPr>
          </w:p>
        </w:tc>
        <w:tc>
          <w:tcPr>
            <w:tcW w:w="1742" w:type="dxa"/>
            <w:gridSpan w:val="2"/>
            <w:noWrap w:val="0"/>
            <w:vAlign w:val="center"/>
          </w:tcPr>
          <w:p w14:paraId="1BD25532">
            <w:pPr>
              <w:spacing w:line="360" w:lineRule="auto"/>
              <w:jc w:val="center"/>
              <w:rPr>
                <w:rFonts w:ascii="宋体" w:hAnsi="宋体" w:cs="宋体"/>
                <w:color w:val="auto"/>
                <w:sz w:val="24"/>
              </w:rPr>
            </w:pPr>
            <w:r>
              <w:rPr>
                <w:rFonts w:hint="eastAsia" w:ascii="宋体" w:hAnsi="宋体" w:cs="宋体"/>
                <w:color w:val="auto"/>
                <w:sz w:val="24"/>
              </w:rPr>
              <w:t>中级职称人员</w:t>
            </w:r>
          </w:p>
        </w:tc>
        <w:tc>
          <w:tcPr>
            <w:tcW w:w="2078" w:type="dxa"/>
            <w:gridSpan w:val="2"/>
            <w:noWrap w:val="0"/>
            <w:vAlign w:val="top"/>
          </w:tcPr>
          <w:p w14:paraId="76216075">
            <w:pPr>
              <w:spacing w:line="360" w:lineRule="auto"/>
              <w:rPr>
                <w:rFonts w:ascii="宋体" w:hAnsi="宋体" w:cs="宋体"/>
                <w:color w:val="auto"/>
                <w:sz w:val="24"/>
              </w:rPr>
            </w:pPr>
          </w:p>
        </w:tc>
      </w:tr>
      <w:tr w14:paraId="1DE9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911" w:type="dxa"/>
            <w:noWrap w:val="0"/>
            <w:vAlign w:val="center"/>
          </w:tcPr>
          <w:p w14:paraId="08681842">
            <w:pPr>
              <w:spacing w:line="360" w:lineRule="auto"/>
              <w:jc w:val="center"/>
              <w:rPr>
                <w:rFonts w:ascii="宋体" w:hAnsi="宋体" w:cs="宋体"/>
                <w:color w:val="auto"/>
                <w:sz w:val="24"/>
              </w:rPr>
            </w:pPr>
            <w:r>
              <w:rPr>
                <w:rFonts w:hint="eastAsia" w:ascii="宋体" w:hAnsi="宋体" w:cs="宋体"/>
                <w:color w:val="auto"/>
                <w:sz w:val="24"/>
              </w:rPr>
              <w:t>开户银行</w:t>
            </w:r>
          </w:p>
        </w:tc>
        <w:tc>
          <w:tcPr>
            <w:tcW w:w="2583" w:type="dxa"/>
            <w:gridSpan w:val="2"/>
            <w:noWrap w:val="0"/>
            <w:vAlign w:val="top"/>
          </w:tcPr>
          <w:p w14:paraId="4C6B4DFF">
            <w:pPr>
              <w:spacing w:line="360" w:lineRule="auto"/>
              <w:rPr>
                <w:rFonts w:ascii="宋体" w:hAnsi="宋体" w:cs="宋体"/>
                <w:color w:val="auto"/>
                <w:sz w:val="24"/>
              </w:rPr>
            </w:pPr>
          </w:p>
        </w:tc>
        <w:tc>
          <w:tcPr>
            <w:tcW w:w="885" w:type="dxa"/>
            <w:vMerge w:val="continue"/>
            <w:noWrap w:val="0"/>
            <w:vAlign w:val="top"/>
          </w:tcPr>
          <w:p w14:paraId="2A095D17">
            <w:pPr>
              <w:spacing w:line="360" w:lineRule="auto"/>
              <w:rPr>
                <w:rFonts w:ascii="宋体" w:hAnsi="宋体" w:cs="宋体"/>
                <w:color w:val="auto"/>
                <w:sz w:val="24"/>
              </w:rPr>
            </w:pPr>
          </w:p>
        </w:tc>
        <w:tc>
          <w:tcPr>
            <w:tcW w:w="1742" w:type="dxa"/>
            <w:gridSpan w:val="2"/>
            <w:noWrap w:val="0"/>
            <w:vAlign w:val="center"/>
          </w:tcPr>
          <w:p w14:paraId="1E4501DB">
            <w:pPr>
              <w:spacing w:line="360" w:lineRule="auto"/>
              <w:jc w:val="center"/>
              <w:rPr>
                <w:rFonts w:ascii="宋体" w:hAnsi="宋体" w:cs="宋体"/>
                <w:color w:val="auto"/>
                <w:sz w:val="24"/>
              </w:rPr>
            </w:pPr>
            <w:r>
              <w:rPr>
                <w:rFonts w:hint="eastAsia" w:ascii="宋体" w:hAnsi="宋体" w:cs="宋体"/>
                <w:color w:val="auto"/>
                <w:sz w:val="24"/>
              </w:rPr>
              <w:t>初级职称人员</w:t>
            </w:r>
          </w:p>
        </w:tc>
        <w:tc>
          <w:tcPr>
            <w:tcW w:w="2078" w:type="dxa"/>
            <w:gridSpan w:val="2"/>
            <w:noWrap w:val="0"/>
            <w:vAlign w:val="top"/>
          </w:tcPr>
          <w:p w14:paraId="13F34173">
            <w:pPr>
              <w:spacing w:line="360" w:lineRule="auto"/>
              <w:rPr>
                <w:rFonts w:ascii="宋体" w:hAnsi="宋体" w:cs="宋体"/>
                <w:color w:val="auto"/>
                <w:sz w:val="24"/>
              </w:rPr>
            </w:pPr>
          </w:p>
        </w:tc>
      </w:tr>
      <w:tr w14:paraId="4736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911" w:type="dxa"/>
            <w:noWrap w:val="0"/>
            <w:vAlign w:val="center"/>
          </w:tcPr>
          <w:p w14:paraId="0005D05E">
            <w:pPr>
              <w:spacing w:line="360" w:lineRule="auto"/>
              <w:jc w:val="center"/>
              <w:rPr>
                <w:rFonts w:ascii="宋体" w:hAnsi="宋体" w:cs="宋体"/>
                <w:color w:val="auto"/>
                <w:sz w:val="24"/>
              </w:rPr>
            </w:pPr>
            <w:r>
              <w:rPr>
                <w:rFonts w:hint="eastAsia" w:ascii="宋体" w:hAnsi="宋体" w:cs="宋体"/>
                <w:color w:val="auto"/>
                <w:sz w:val="24"/>
              </w:rPr>
              <w:t>账号</w:t>
            </w:r>
          </w:p>
        </w:tc>
        <w:tc>
          <w:tcPr>
            <w:tcW w:w="2583" w:type="dxa"/>
            <w:gridSpan w:val="2"/>
            <w:noWrap w:val="0"/>
            <w:vAlign w:val="top"/>
          </w:tcPr>
          <w:p w14:paraId="04386EE8">
            <w:pPr>
              <w:spacing w:line="360" w:lineRule="auto"/>
              <w:rPr>
                <w:rFonts w:ascii="宋体" w:hAnsi="宋体" w:cs="宋体"/>
                <w:color w:val="auto"/>
                <w:sz w:val="24"/>
              </w:rPr>
            </w:pPr>
          </w:p>
        </w:tc>
        <w:tc>
          <w:tcPr>
            <w:tcW w:w="885" w:type="dxa"/>
            <w:vMerge w:val="continue"/>
            <w:noWrap w:val="0"/>
            <w:vAlign w:val="top"/>
          </w:tcPr>
          <w:p w14:paraId="18ED64AE">
            <w:pPr>
              <w:spacing w:line="360" w:lineRule="auto"/>
              <w:rPr>
                <w:rFonts w:ascii="宋体" w:hAnsi="宋体" w:cs="宋体"/>
                <w:color w:val="auto"/>
                <w:sz w:val="24"/>
              </w:rPr>
            </w:pPr>
          </w:p>
        </w:tc>
        <w:tc>
          <w:tcPr>
            <w:tcW w:w="1742" w:type="dxa"/>
            <w:gridSpan w:val="2"/>
            <w:noWrap w:val="0"/>
            <w:vAlign w:val="center"/>
          </w:tcPr>
          <w:p w14:paraId="20258A73">
            <w:pPr>
              <w:spacing w:line="360" w:lineRule="auto"/>
              <w:jc w:val="center"/>
              <w:rPr>
                <w:rFonts w:ascii="宋体" w:hAnsi="宋体" w:cs="宋体"/>
                <w:color w:val="auto"/>
                <w:sz w:val="24"/>
              </w:rPr>
            </w:pPr>
            <w:r>
              <w:rPr>
                <w:color w:val="auto"/>
                <w:sz w:val="24"/>
              </w:rPr>
              <w:t>技术工</w:t>
            </w:r>
          </w:p>
        </w:tc>
        <w:tc>
          <w:tcPr>
            <w:tcW w:w="2078" w:type="dxa"/>
            <w:gridSpan w:val="2"/>
            <w:noWrap w:val="0"/>
            <w:vAlign w:val="top"/>
          </w:tcPr>
          <w:p w14:paraId="37E75F1C">
            <w:pPr>
              <w:spacing w:line="360" w:lineRule="auto"/>
              <w:rPr>
                <w:rFonts w:ascii="宋体" w:hAnsi="宋体" w:cs="宋体"/>
                <w:color w:val="auto"/>
                <w:sz w:val="24"/>
              </w:rPr>
            </w:pPr>
          </w:p>
        </w:tc>
      </w:tr>
      <w:tr w14:paraId="0B41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1911" w:type="dxa"/>
            <w:noWrap w:val="0"/>
            <w:vAlign w:val="top"/>
          </w:tcPr>
          <w:p w14:paraId="31430B39">
            <w:pPr>
              <w:spacing w:line="360" w:lineRule="auto"/>
              <w:rPr>
                <w:rFonts w:ascii="宋体" w:hAnsi="宋体" w:cs="宋体"/>
                <w:color w:val="auto"/>
                <w:sz w:val="24"/>
              </w:rPr>
            </w:pPr>
          </w:p>
          <w:p w14:paraId="01F0389E">
            <w:pPr>
              <w:spacing w:line="360" w:lineRule="auto"/>
              <w:rPr>
                <w:rFonts w:ascii="宋体" w:hAnsi="宋体" w:cs="宋体"/>
                <w:color w:val="auto"/>
                <w:sz w:val="24"/>
              </w:rPr>
            </w:pPr>
            <w:r>
              <w:rPr>
                <w:rFonts w:hint="eastAsia" w:ascii="宋体" w:hAnsi="宋体" w:cs="宋体"/>
                <w:color w:val="auto"/>
                <w:sz w:val="24"/>
              </w:rPr>
              <w:t>经营范围</w:t>
            </w:r>
          </w:p>
        </w:tc>
        <w:tc>
          <w:tcPr>
            <w:tcW w:w="7288" w:type="dxa"/>
            <w:gridSpan w:val="7"/>
            <w:noWrap w:val="0"/>
            <w:vAlign w:val="top"/>
          </w:tcPr>
          <w:p w14:paraId="459040B9">
            <w:pPr>
              <w:spacing w:line="360" w:lineRule="auto"/>
              <w:rPr>
                <w:rFonts w:ascii="宋体" w:hAnsi="宋体" w:cs="宋体"/>
                <w:color w:val="auto"/>
                <w:sz w:val="24"/>
              </w:rPr>
            </w:pPr>
          </w:p>
        </w:tc>
      </w:tr>
      <w:tr w14:paraId="232E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911" w:type="dxa"/>
            <w:noWrap w:val="0"/>
            <w:vAlign w:val="top"/>
          </w:tcPr>
          <w:p w14:paraId="03E45439">
            <w:pPr>
              <w:spacing w:line="360" w:lineRule="auto"/>
              <w:rPr>
                <w:rFonts w:ascii="宋体" w:hAnsi="宋体" w:cs="宋体"/>
                <w:color w:val="auto"/>
                <w:sz w:val="24"/>
              </w:rPr>
            </w:pPr>
          </w:p>
          <w:p w14:paraId="639A5393">
            <w:pPr>
              <w:spacing w:line="360" w:lineRule="auto"/>
              <w:rPr>
                <w:rFonts w:ascii="宋体" w:hAnsi="宋体" w:cs="宋体"/>
                <w:color w:val="auto"/>
                <w:sz w:val="24"/>
              </w:rPr>
            </w:pPr>
            <w:r>
              <w:rPr>
                <w:rFonts w:hint="eastAsia" w:ascii="宋体" w:hAnsi="宋体" w:cs="宋体"/>
                <w:color w:val="auto"/>
                <w:sz w:val="24"/>
              </w:rPr>
              <w:t>备注</w:t>
            </w:r>
          </w:p>
        </w:tc>
        <w:tc>
          <w:tcPr>
            <w:tcW w:w="7288" w:type="dxa"/>
            <w:gridSpan w:val="7"/>
            <w:noWrap w:val="0"/>
            <w:vAlign w:val="top"/>
          </w:tcPr>
          <w:p w14:paraId="73A12517">
            <w:pPr>
              <w:spacing w:line="360" w:lineRule="auto"/>
              <w:rPr>
                <w:rFonts w:ascii="宋体" w:hAnsi="宋体" w:cs="宋体"/>
                <w:color w:val="auto"/>
                <w:sz w:val="24"/>
              </w:rPr>
            </w:pPr>
          </w:p>
        </w:tc>
      </w:tr>
    </w:tbl>
    <w:p w14:paraId="6E3E8339">
      <w:pPr>
        <w:rPr>
          <w:rFonts w:hint="eastAsia" w:ascii="宋体" w:hAnsi="宋体" w:eastAsia="宋体" w:cs="宋体"/>
          <w:bCs/>
          <w:color w:val="auto"/>
          <w:sz w:val="24"/>
          <w:szCs w:val="24"/>
        </w:rPr>
      </w:pPr>
    </w:p>
    <w:p w14:paraId="0DD2EF97">
      <w:pPr>
        <w:rPr>
          <w:rFonts w:ascii="宋体" w:hAnsi="宋体" w:cs="宋体"/>
          <w:color w:val="auto"/>
        </w:rPr>
      </w:pPr>
      <w:r>
        <w:rPr>
          <w:rFonts w:hint="eastAsia" w:ascii="宋体" w:hAnsi="宋体" w:eastAsia="宋体" w:cs="宋体"/>
          <w:bCs/>
          <w:color w:val="auto"/>
          <w:sz w:val="24"/>
          <w:szCs w:val="24"/>
        </w:rPr>
        <w:t>注：此表后附资格审查资料等</w:t>
      </w:r>
      <w:r>
        <w:rPr>
          <w:rFonts w:hint="eastAsia" w:ascii="宋体" w:hAnsi="宋体" w:eastAsia="宋体" w:cs="宋体"/>
          <w:bCs/>
          <w:color w:val="auto"/>
          <w:sz w:val="24"/>
          <w:szCs w:val="24"/>
          <w:lang w:eastAsia="zh-CN"/>
        </w:rPr>
        <w:t>原件</w:t>
      </w:r>
      <w:r>
        <w:rPr>
          <w:rFonts w:hint="eastAsia" w:ascii="宋体" w:hAnsi="宋体" w:eastAsia="宋体" w:cs="宋体"/>
          <w:bCs/>
          <w:color w:val="auto"/>
          <w:sz w:val="24"/>
          <w:szCs w:val="24"/>
          <w:lang w:val="en-US" w:eastAsia="zh-CN"/>
        </w:rPr>
        <w:t>扫描件并加盖单位公章。</w:t>
      </w:r>
    </w:p>
    <w:p w14:paraId="47F7E56E">
      <w:pPr>
        <w:ind w:firstLine="1687" w:firstLineChars="700"/>
        <w:rPr>
          <w:rFonts w:ascii="宋体" w:hAnsi="宋体" w:cs="宋体"/>
          <w:b/>
          <w:color w:val="auto"/>
          <w:sz w:val="24"/>
          <w:szCs w:val="20"/>
        </w:rPr>
      </w:pPr>
    </w:p>
    <w:p w14:paraId="67FFC892">
      <w:pPr>
        <w:pStyle w:val="55"/>
        <w:rPr>
          <w:color w:val="auto"/>
        </w:rPr>
      </w:pPr>
    </w:p>
    <w:p w14:paraId="2D84F0A5">
      <w:pPr>
        <w:ind w:firstLine="1687" w:firstLineChars="700"/>
        <w:rPr>
          <w:rFonts w:ascii="宋体" w:hAnsi="宋体" w:cs="宋体"/>
          <w:b/>
          <w:color w:val="auto"/>
          <w:sz w:val="24"/>
          <w:szCs w:val="20"/>
        </w:rPr>
      </w:pPr>
    </w:p>
    <w:p w14:paraId="27447BBE">
      <w:pPr>
        <w:ind w:firstLine="1687" w:firstLineChars="700"/>
        <w:rPr>
          <w:rFonts w:ascii="宋体" w:hAnsi="宋体" w:cs="宋体"/>
          <w:b/>
          <w:color w:val="auto"/>
          <w:sz w:val="24"/>
          <w:szCs w:val="20"/>
        </w:rPr>
      </w:pPr>
    </w:p>
    <w:p w14:paraId="5D959947">
      <w:pPr>
        <w:ind w:firstLine="1687" w:firstLineChars="700"/>
        <w:rPr>
          <w:rFonts w:ascii="宋体" w:hAnsi="宋体" w:cs="宋体"/>
          <w:b/>
          <w:color w:val="auto"/>
          <w:sz w:val="24"/>
          <w:szCs w:val="20"/>
        </w:rPr>
      </w:pPr>
    </w:p>
    <w:p w14:paraId="229BE5DA">
      <w:pPr>
        <w:jc w:val="center"/>
        <w:rPr>
          <w:rFonts w:ascii="宋体" w:hAnsi="宋体" w:cs="宋体"/>
          <w:b/>
          <w:color w:val="auto"/>
          <w:sz w:val="32"/>
          <w:szCs w:val="32"/>
        </w:rPr>
      </w:pPr>
      <w:r>
        <w:rPr>
          <w:rFonts w:hint="eastAsia" w:ascii="宋体" w:hAnsi="宋体" w:cs="宋体"/>
          <w:b/>
          <w:color w:val="auto"/>
          <w:sz w:val="32"/>
          <w:szCs w:val="32"/>
        </w:rPr>
        <w:t>（2）近3年内无重大违法记录的书面声明</w:t>
      </w:r>
    </w:p>
    <w:p w14:paraId="31DC0EAA">
      <w:pPr>
        <w:widowControl/>
        <w:tabs>
          <w:tab w:val="left" w:pos="900"/>
        </w:tabs>
        <w:spacing w:line="360" w:lineRule="auto"/>
        <w:ind w:left="990" w:hanging="450"/>
        <w:jc w:val="left"/>
        <w:rPr>
          <w:rFonts w:ascii="宋体" w:hAnsi="宋体" w:cs="宋体"/>
          <w:color w:val="auto"/>
          <w:spacing w:val="-6"/>
          <w:kern w:val="0"/>
          <w:szCs w:val="21"/>
        </w:rPr>
      </w:pPr>
    </w:p>
    <w:p w14:paraId="7922ACC8">
      <w:pPr>
        <w:spacing w:line="360" w:lineRule="auto"/>
        <w:rPr>
          <w:rFonts w:ascii="宋体" w:hAnsi="宋体" w:cs="宋体"/>
          <w:color w:val="auto"/>
          <w:sz w:val="24"/>
        </w:rPr>
      </w:pPr>
    </w:p>
    <w:p w14:paraId="710D64FF">
      <w:pPr>
        <w:keepNext w:val="0"/>
        <w:keepLines w:val="0"/>
        <w:pageBreakBefore w:val="0"/>
        <w:widowControl w:val="0"/>
        <w:kinsoku/>
        <w:wordWrap/>
        <w:overflowPunct/>
        <w:topLinePunct w:val="0"/>
        <w:autoSpaceDE/>
        <w:autoSpaceDN/>
        <w:bidi w:val="0"/>
        <w:adjustRightInd/>
        <w:snapToGrid/>
        <w:spacing w:line="600" w:lineRule="exact"/>
        <w:textAlignment w:val="auto"/>
        <w:rPr>
          <w:rFonts w:ascii="宋体" w:hAnsi="宋体" w:cs="宋体"/>
          <w:color w:val="auto"/>
          <w:sz w:val="24"/>
        </w:rPr>
      </w:pPr>
      <w:r>
        <w:rPr>
          <w:rFonts w:hint="eastAsia" w:ascii="宋体" w:hAnsi="宋体" w:cs="宋体"/>
          <w:color w:val="auto"/>
          <w:sz w:val="24"/>
        </w:rPr>
        <w:t>致</w:t>
      </w:r>
      <w:r>
        <w:rPr>
          <w:rFonts w:hint="eastAsia" w:ascii="宋体" w:hAnsi="宋体" w:cs="宋体"/>
          <w:color w:val="auto"/>
          <w:sz w:val="24"/>
          <w:u w:val="single"/>
        </w:rPr>
        <w:t>（招标人）</w:t>
      </w:r>
      <w:r>
        <w:rPr>
          <w:rFonts w:hint="eastAsia" w:ascii="宋体" w:hAnsi="宋体" w:cs="宋体"/>
          <w:color w:val="auto"/>
          <w:sz w:val="24"/>
        </w:rPr>
        <w:t>：</w:t>
      </w:r>
    </w:p>
    <w:p w14:paraId="29B84F1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ascii="宋体" w:hAnsi="宋体" w:cs="宋体"/>
          <w:color w:val="auto"/>
          <w:sz w:val="24"/>
        </w:rPr>
      </w:pPr>
      <w:r>
        <w:rPr>
          <w:rFonts w:hint="eastAsia" w:ascii="宋体" w:hAnsi="宋体" w:cs="宋体"/>
          <w:color w:val="auto"/>
          <w:sz w:val="24"/>
        </w:rPr>
        <w:t>我公司在参加</w:t>
      </w:r>
      <w:r>
        <w:rPr>
          <w:rFonts w:hint="eastAsia" w:ascii="宋体" w:hAnsi="宋体" w:cs="宋体"/>
          <w:color w:val="auto"/>
          <w:sz w:val="24"/>
          <w:u w:val="single"/>
        </w:rPr>
        <w:t>（项目名称）</w:t>
      </w:r>
      <w:r>
        <w:rPr>
          <w:rFonts w:hint="eastAsia" w:ascii="宋体" w:hAnsi="宋体" w:cs="宋体"/>
          <w:color w:val="auto"/>
          <w:sz w:val="24"/>
          <w:u w:val="single"/>
          <w:lang w:eastAsia="zh-CN"/>
        </w:rPr>
        <w:t>五标段</w:t>
      </w:r>
      <w:r>
        <w:rPr>
          <w:rFonts w:hint="eastAsia" w:ascii="宋体" w:hAnsi="宋体" w:cs="宋体"/>
          <w:color w:val="auto"/>
          <w:sz w:val="24"/>
          <w:u w:val="single"/>
        </w:rPr>
        <w:t>（项目编号）</w:t>
      </w:r>
      <w:r>
        <w:rPr>
          <w:rFonts w:hint="eastAsia" w:ascii="宋体" w:hAnsi="宋体" w:cs="宋体"/>
          <w:color w:val="auto"/>
          <w:sz w:val="24"/>
        </w:rPr>
        <w:t>项目招标活动中，作出如下承诺：</w:t>
      </w:r>
    </w:p>
    <w:p w14:paraId="683D1DB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ascii="宋体" w:hAnsi="宋体" w:cs="宋体"/>
          <w:color w:val="auto"/>
          <w:sz w:val="24"/>
        </w:rPr>
      </w:pPr>
      <w:r>
        <w:rPr>
          <w:rFonts w:hint="eastAsia" w:ascii="宋体" w:hAnsi="宋体" w:cs="宋体"/>
          <w:color w:val="auto"/>
          <w:sz w:val="24"/>
        </w:rPr>
        <w:t>一、参加本次</w:t>
      </w:r>
      <w:r>
        <w:rPr>
          <w:rFonts w:hint="eastAsia" w:ascii="宋体" w:hAnsi="宋体" w:cs="宋体"/>
          <w:color w:val="auto"/>
          <w:sz w:val="24"/>
          <w:lang w:val="en-US" w:eastAsia="zh-CN"/>
        </w:rPr>
        <w:t>招标</w:t>
      </w:r>
      <w:r>
        <w:rPr>
          <w:rFonts w:hint="eastAsia" w:ascii="宋体" w:hAnsi="宋体" w:cs="宋体"/>
          <w:color w:val="auto"/>
          <w:sz w:val="24"/>
        </w:rPr>
        <w:t>活动前三年内，在经营活动中没有重大违法记录；</w:t>
      </w:r>
    </w:p>
    <w:p w14:paraId="6C6BE2F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ascii="宋体" w:hAnsi="宋体" w:cs="宋体"/>
          <w:color w:val="auto"/>
          <w:sz w:val="24"/>
        </w:rPr>
      </w:pPr>
      <w:r>
        <w:rPr>
          <w:rFonts w:hint="eastAsia" w:ascii="宋体" w:hAnsi="宋体" w:cs="宋体"/>
          <w:color w:val="auto"/>
          <w:sz w:val="24"/>
        </w:rPr>
        <w:t>二、未挂靠、借用资质进行投标等违法违规行为；</w:t>
      </w:r>
    </w:p>
    <w:p w14:paraId="090E8E9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ascii="宋体" w:hAnsi="宋体" w:cs="宋体"/>
          <w:color w:val="auto"/>
          <w:sz w:val="24"/>
        </w:rPr>
      </w:pPr>
      <w:r>
        <w:rPr>
          <w:rFonts w:hint="eastAsia" w:ascii="宋体" w:hAnsi="宋体" w:cs="宋体"/>
          <w:color w:val="auto"/>
          <w:sz w:val="24"/>
        </w:rPr>
        <w:t>三、提供的相关文件均真实、有效。若发现我方存在上述问题，愿按照采购相关规定接受处罚，列入采购黑名单并处相应罚款。</w:t>
      </w:r>
    </w:p>
    <w:p w14:paraId="22E4D3F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ascii="宋体" w:hAnsi="宋体" w:cs="宋体"/>
          <w:color w:val="auto"/>
          <w:sz w:val="24"/>
        </w:rPr>
      </w:pPr>
      <w:r>
        <w:rPr>
          <w:rFonts w:hint="eastAsia" w:ascii="宋体" w:hAnsi="宋体" w:cs="宋体"/>
          <w:color w:val="auto"/>
          <w:sz w:val="24"/>
        </w:rPr>
        <w:t>特此声明。</w:t>
      </w:r>
    </w:p>
    <w:p w14:paraId="6254ADA4">
      <w:pPr>
        <w:spacing w:line="360" w:lineRule="auto"/>
        <w:rPr>
          <w:rFonts w:ascii="宋体" w:hAnsi="宋体" w:cs="宋体"/>
          <w:color w:val="auto"/>
          <w:sz w:val="24"/>
        </w:rPr>
      </w:pPr>
    </w:p>
    <w:p w14:paraId="37FA8A3F">
      <w:pPr>
        <w:spacing w:line="360" w:lineRule="auto"/>
        <w:rPr>
          <w:rFonts w:ascii="宋体" w:hAnsi="宋体" w:cs="宋体"/>
          <w:color w:val="auto"/>
          <w:sz w:val="24"/>
        </w:rPr>
      </w:pPr>
    </w:p>
    <w:p w14:paraId="126D8851">
      <w:pPr>
        <w:pStyle w:val="55"/>
        <w:rPr>
          <w:color w:val="auto"/>
        </w:rPr>
      </w:pPr>
    </w:p>
    <w:p w14:paraId="45AF99A5">
      <w:pPr>
        <w:rPr>
          <w:color w:val="auto"/>
        </w:rPr>
      </w:pPr>
    </w:p>
    <w:p w14:paraId="385B7840">
      <w:pPr>
        <w:widowControl w:val="0"/>
        <w:snapToGrid w:val="0"/>
        <w:spacing w:line="840" w:lineRule="exact"/>
        <w:ind w:firstLine="480" w:firstLineChars="200"/>
        <w:rPr>
          <w:rFonts w:ascii="宋体" w:hAnsi="宋体"/>
          <w:color w:val="auto"/>
          <w:sz w:val="24"/>
          <w:szCs w:val="24"/>
        </w:rPr>
      </w:pPr>
      <w:r>
        <w:rPr>
          <w:rFonts w:ascii="宋体" w:hAnsi="宋体"/>
          <w:color w:val="auto"/>
          <w:sz w:val="24"/>
          <w:szCs w:val="24"/>
        </w:rPr>
        <w:t>投标人：</w:t>
      </w:r>
      <w:r>
        <w:rPr>
          <w:rFonts w:ascii="宋体" w:hAnsi="宋体"/>
          <w:color w:val="auto"/>
          <w:sz w:val="24"/>
          <w:szCs w:val="24"/>
          <w:u w:val="single"/>
        </w:rPr>
        <w:t xml:space="preserve">                     </w:t>
      </w:r>
      <w:r>
        <w:rPr>
          <w:rFonts w:ascii="宋体" w:hAnsi="宋体"/>
          <w:color w:val="auto"/>
          <w:sz w:val="24"/>
          <w:szCs w:val="24"/>
        </w:rPr>
        <w:t>（</w:t>
      </w:r>
      <w:r>
        <w:rPr>
          <w:rFonts w:hint="eastAsia" w:ascii="宋体" w:hAnsi="宋体"/>
          <w:color w:val="auto"/>
          <w:sz w:val="24"/>
          <w:szCs w:val="24"/>
        </w:rPr>
        <w:t>盖单位公章</w:t>
      </w:r>
      <w:r>
        <w:rPr>
          <w:rFonts w:ascii="宋体" w:hAnsi="宋体"/>
          <w:color w:val="auto"/>
          <w:sz w:val="24"/>
          <w:szCs w:val="24"/>
        </w:rPr>
        <w:t>）</w:t>
      </w:r>
    </w:p>
    <w:p w14:paraId="52A6BE1F">
      <w:pPr>
        <w:widowControl w:val="0"/>
        <w:snapToGrid w:val="0"/>
        <w:spacing w:line="840" w:lineRule="exact"/>
        <w:ind w:firstLine="480" w:firstLineChars="200"/>
        <w:rPr>
          <w:rFonts w:ascii="宋体" w:hAnsi="宋体"/>
          <w:color w:val="auto"/>
          <w:sz w:val="24"/>
          <w:szCs w:val="24"/>
        </w:rPr>
      </w:pPr>
      <w:r>
        <w:rPr>
          <w:rFonts w:ascii="宋体" w:hAnsi="宋体"/>
          <w:color w:val="auto"/>
          <w:sz w:val="24"/>
          <w:szCs w:val="24"/>
        </w:rPr>
        <w:t>法定代表人或委托代理人：</w:t>
      </w:r>
      <w:r>
        <w:rPr>
          <w:rFonts w:ascii="宋体" w:hAnsi="宋体"/>
          <w:color w:val="auto"/>
          <w:sz w:val="24"/>
          <w:szCs w:val="24"/>
          <w:u w:val="single"/>
        </w:rPr>
        <w:t xml:space="preserve">             </w:t>
      </w:r>
      <w:r>
        <w:rPr>
          <w:rFonts w:ascii="宋体" w:hAnsi="宋体"/>
          <w:color w:val="auto"/>
          <w:sz w:val="24"/>
          <w:szCs w:val="24"/>
        </w:rPr>
        <w:t>（签字</w:t>
      </w:r>
      <w:r>
        <w:rPr>
          <w:rFonts w:hint="eastAsia" w:ascii="宋体" w:hAnsi="宋体"/>
          <w:color w:val="auto"/>
          <w:sz w:val="24"/>
          <w:szCs w:val="24"/>
        </w:rPr>
        <w:t>或盖章</w:t>
      </w:r>
      <w:r>
        <w:rPr>
          <w:rFonts w:ascii="宋体" w:hAnsi="宋体"/>
          <w:color w:val="auto"/>
          <w:sz w:val="24"/>
          <w:szCs w:val="24"/>
        </w:rPr>
        <w:t>）</w:t>
      </w:r>
    </w:p>
    <w:p w14:paraId="6409C786">
      <w:pPr>
        <w:widowControl w:val="0"/>
        <w:snapToGrid w:val="0"/>
        <w:spacing w:line="840" w:lineRule="exact"/>
        <w:ind w:firstLine="480" w:firstLineChars="200"/>
        <w:rPr>
          <w:rFonts w:hint="eastAsia" w:ascii="宋体"/>
          <w:color w:val="auto"/>
        </w:rPr>
      </w:pPr>
      <w:r>
        <w:rPr>
          <w:rFonts w:hint="eastAsia" w:ascii="宋体" w:hAnsi="宋体"/>
          <w:color w:val="auto"/>
          <w:sz w:val="24"/>
          <w:szCs w:val="24"/>
          <w:u w:val="none" w:color="auto"/>
        </w:rPr>
        <w:t>日期：</w:t>
      </w:r>
      <w:r>
        <w:rPr>
          <w:rFonts w:ascii="宋体" w:hAnsi="宋体"/>
          <w:color w:val="auto"/>
          <w:sz w:val="24"/>
          <w:szCs w:val="24"/>
          <w:u w:val="single"/>
        </w:rPr>
        <w:t xml:space="preserve">     </w:t>
      </w:r>
      <w:r>
        <w:rPr>
          <w:rFonts w:ascii="宋体" w:hAnsi="宋体"/>
          <w:color w:val="auto"/>
          <w:sz w:val="24"/>
          <w:szCs w:val="24"/>
        </w:rPr>
        <w:t>年</w:t>
      </w:r>
      <w:r>
        <w:rPr>
          <w:rFonts w:ascii="宋体" w:hAnsi="宋体"/>
          <w:color w:val="auto"/>
          <w:sz w:val="24"/>
          <w:szCs w:val="24"/>
          <w:u w:val="single"/>
        </w:rPr>
        <w:t xml:space="preserve">    </w:t>
      </w:r>
      <w:r>
        <w:rPr>
          <w:rFonts w:ascii="宋体" w:hAnsi="宋体"/>
          <w:color w:val="auto"/>
          <w:sz w:val="24"/>
          <w:szCs w:val="24"/>
        </w:rPr>
        <w:t>月</w:t>
      </w:r>
      <w:r>
        <w:rPr>
          <w:rFonts w:ascii="宋体" w:hAnsi="宋体"/>
          <w:color w:val="auto"/>
          <w:sz w:val="24"/>
          <w:szCs w:val="24"/>
          <w:u w:val="single"/>
        </w:rPr>
        <w:t xml:space="preserve">    </w:t>
      </w:r>
      <w:r>
        <w:rPr>
          <w:rFonts w:ascii="宋体" w:hAnsi="宋体"/>
          <w:color w:val="auto"/>
          <w:sz w:val="24"/>
          <w:szCs w:val="24"/>
        </w:rPr>
        <w:t>日</w:t>
      </w:r>
      <w:r>
        <w:rPr>
          <w:rFonts w:ascii="宋体"/>
          <w:color w:val="auto"/>
        </w:rPr>
        <w:t> </w:t>
      </w:r>
    </w:p>
    <w:p w14:paraId="085DB291">
      <w:pPr>
        <w:ind w:firstLine="1687" w:firstLineChars="700"/>
        <w:rPr>
          <w:rFonts w:ascii="宋体" w:hAnsi="宋体" w:cs="宋体"/>
          <w:b/>
          <w:color w:val="auto"/>
          <w:sz w:val="24"/>
          <w:szCs w:val="20"/>
        </w:rPr>
      </w:pPr>
    </w:p>
    <w:p w14:paraId="04501E12">
      <w:pPr>
        <w:ind w:firstLine="1687" w:firstLineChars="700"/>
        <w:rPr>
          <w:rFonts w:ascii="宋体" w:hAnsi="宋体" w:cs="宋体"/>
          <w:b/>
          <w:color w:val="auto"/>
          <w:sz w:val="24"/>
          <w:szCs w:val="20"/>
        </w:rPr>
      </w:pPr>
    </w:p>
    <w:p w14:paraId="3E5234C6">
      <w:pPr>
        <w:ind w:firstLine="1687" w:firstLineChars="700"/>
        <w:rPr>
          <w:rFonts w:ascii="宋体" w:hAnsi="宋体" w:cs="宋体"/>
          <w:b/>
          <w:color w:val="auto"/>
          <w:sz w:val="24"/>
          <w:szCs w:val="20"/>
        </w:rPr>
      </w:pPr>
    </w:p>
    <w:p w14:paraId="7DC2D69A">
      <w:pPr>
        <w:ind w:firstLine="1687" w:firstLineChars="700"/>
        <w:rPr>
          <w:rFonts w:ascii="宋体" w:hAnsi="宋体" w:cs="宋体"/>
          <w:b/>
          <w:color w:val="auto"/>
          <w:sz w:val="24"/>
          <w:szCs w:val="20"/>
        </w:rPr>
      </w:pPr>
    </w:p>
    <w:p w14:paraId="6F41E140">
      <w:pPr>
        <w:ind w:firstLine="1687" w:firstLineChars="700"/>
        <w:rPr>
          <w:rFonts w:ascii="宋体" w:hAnsi="宋体" w:cs="宋体"/>
          <w:b/>
          <w:color w:val="auto"/>
          <w:sz w:val="24"/>
          <w:szCs w:val="20"/>
        </w:rPr>
      </w:pPr>
    </w:p>
    <w:p w14:paraId="7D92D76B">
      <w:pPr>
        <w:ind w:firstLine="1687" w:firstLineChars="700"/>
        <w:rPr>
          <w:rFonts w:ascii="宋体" w:hAnsi="宋体" w:cs="宋体"/>
          <w:b/>
          <w:color w:val="auto"/>
          <w:sz w:val="24"/>
          <w:szCs w:val="20"/>
        </w:rPr>
      </w:pPr>
    </w:p>
    <w:p w14:paraId="2289E3D5">
      <w:pPr>
        <w:ind w:firstLine="1687" w:firstLineChars="700"/>
        <w:rPr>
          <w:rFonts w:ascii="宋体" w:hAnsi="宋体" w:cs="宋体"/>
          <w:b/>
          <w:color w:val="auto"/>
          <w:sz w:val="24"/>
          <w:szCs w:val="20"/>
        </w:rPr>
      </w:pPr>
    </w:p>
    <w:p w14:paraId="4F3D2F33">
      <w:pPr>
        <w:ind w:firstLine="1687" w:firstLineChars="700"/>
        <w:rPr>
          <w:rFonts w:ascii="宋体" w:hAnsi="宋体" w:cs="宋体"/>
          <w:b/>
          <w:color w:val="auto"/>
          <w:sz w:val="24"/>
          <w:szCs w:val="20"/>
        </w:rPr>
      </w:pPr>
    </w:p>
    <w:p w14:paraId="643346D2">
      <w:pPr>
        <w:ind w:firstLine="1687" w:firstLineChars="700"/>
        <w:rPr>
          <w:rFonts w:ascii="宋体" w:hAnsi="宋体" w:cs="宋体"/>
          <w:b/>
          <w:color w:val="auto"/>
          <w:sz w:val="24"/>
          <w:szCs w:val="20"/>
        </w:rPr>
      </w:pPr>
    </w:p>
    <w:p w14:paraId="63C56BE5">
      <w:pPr>
        <w:ind w:firstLine="1687" w:firstLineChars="700"/>
        <w:rPr>
          <w:rFonts w:ascii="宋体" w:hAnsi="宋体" w:cs="宋体"/>
          <w:b/>
          <w:color w:val="auto"/>
          <w:sz w:val="24"/>
          <w:szCs w:val="20"/>
        </w:rPr>
      </w:pPr>
    </w:p>
    <w:p w14:paraId="5EF36C17">
      <w:pPr>
        <w:ind w:firstLine="1687" w:firstLineChars="700"/>
        <w:rPr>
          <w:rFonts w:ascii="宋体" w:hAnsi="宋体" w:cs="宋体"/>
          <w:b/>
          <w:color w:val="auto"/>
          <w:sz w:val="24"/>
          <w:szCs w:val="20"/>
        </w:rPr>
      </w:pPr>
    </w:p>
    <w:p w14:paraId="6CA8FD49">
      <w:pPr>
        <w:ind w:firstLine="1687" w:firstLineChars="700"/>
        <w:rPr>
          <w:rFonts w:ascii="宋体" w:hAnsi="宋体" w:cs="宋体"/>
          <w:b/>
          <w:color w:val="auto"/>
          <w:sz w:val="24"/>
          <w:szCs w:val="20"/>
        </w:rPr>
      </w:pPr>
    </w:p>
    <w:p w14:paraId="19998DE8">
      <w:pPr>
        <w:ind w:firstLine="1687" w:firstLineChars="700"/>
        <w:rPr>
          <w:rFonts w:ascii="宋体" w:hAnsi="宋体" w:cs="宋体"/>
          <w:b/>
          <w:color w:val="auto"/>
          <w:sz w:val="24"/>
          <w:szCs w:val="20"/>
        </w:rPr>
      </w:pPr>
    </w:p>
    <w:p w14:paraId="61C66298">
      <w:pPr>
        <w:ind w:firstLine="1687" w:firstLineChars="700"/>
        <w:rPr>
          <w:rFonts w:ascii="宋体" w:hAnsi="宋体" w:cs="宋体"/>
          <w:b/>
          <w:color w:val="auto"/>
          <w:sz w:val="24"/>
          <w:szCs w:val="20"/>
        </w:rPr>
      </w:pPr>
    </w:p>
    <w:p w14:paraId="39B3EB5A">
      <w:pPr>
        <w:ind w:firstLine="1687" w:firstLineChars="700"/>
        <w:rPr>
          <w:rFonts w:ascii="宋体" w:hAnsi="宋体" w:cs="宋体"/>
          <w:b/>
          <w:color w:val="auto"/>
          <w:sz w:val="24"/>
          <w:szCs w:val="20"/>
        </w:rPr>
      </w:pPr>
    </w:p>
    <w:p w14:paraId="12E809E7">
      <w:pPr>
        <w:ind w:firstLine="1687" w:firstLineChars="700"/>
        <w:rPr>
          <w:rFonts w:ascii="宋体" w:hAnsi="宋体" w:cs="宋体"/>
          <w:b/>
          <w:color w:val="auto"/>
          <w:sz w:val="24"/>
          <w:szCs w:val="20"/>
        </w:rPr>
      </w:pPr>
    </w:p>
    <w:p w14:paraId="451312F0">
      <w:pPr>
        <w:ind w:firstLine="1687" w:firstLineChars="700"/>
        <w:rPr>
          <w:rFonts w:ascii="宋体" w:hAnsi="宋体" w:cs="宋体"/>
          <w:b/>
          <w:color w:val="auto"/>
          <w:sz w:val="24"/>
          <w:szCs w:val="20"/>
        </w:rPr>
      </w:pPr>
    </w:p>
    <w:p w14:paraId="46E6C622">
      <w:pPr>
        <w:ind w:firstLine="1687" w:firstLineChars="700"/>
        <w:rPr>
          <w:rFonts w:ascii="宋体" w:hAnsi="宋体" w:cs="宋体"/>
          <w:b/>
          <w:color w:val="auto"/>
          <w:sz w:val="24"/>
          <w:szCs w:val="20"/>
        </w:rPr>
      </w:pPr>
    </w:p>
    <w:p w14:paraId="293F47D4">
      <w:pPr>
        <w:rPr>
          <w:color w:val="auto"/>
        </w:rPr>
      </w:pPr>
    </w:p>
    <w:p w14:paraId="2C6CA2CA">
      <w:pPr>
        <w:spacing w:line="360" w:lineRule="auto"/>
        <w:ind w:firstLine="3373" w:firstLineChars="1200"/>
        <w:outlineLvl w:val="1"/>
        <w:rPr>
          <w:b/>
          <w:bCs/>
          <w:color w:val="auto"/>
          <w:sz w:val="28"/>
          <w:szCs w:val="28"/>
        </w:rPr>
      </w:pPr>
      <w:bookmarkStart w:id="255" w:name="_Toc16498"/>
      <w:bookmarkStart w:id="256" w:name="_Toc19685"/>
      <w:r>
        <w:rPr>
          <w:rFonts w:hint="eastAsia"/>
          <w:b/>
          <w:bCs/>
          <w:color w:val="auto"/>
          <w:sz w:val="28"/>
          <w:szCs w:val="28"/>
        </w:rPr>
        <w:t>（二）</w:t>
      </w:r>
      <w:r>
        <w:rPr>
          <w:rFonts w:hint="eastAsia"/>
          <w:b/>
          <w:bCs/>
          <w:iCs/>
          <w:color w:val="auto"/>
          <w:sz w:val="28"/>
          <w:szCs w:val="28"/>
        </w:rPr>
        <w:t>主要咨询人员表</w:t>
      </w:r>
      <w:bookmarkEnd w:id="255"/>
      <w:bookmarkEnd w:id="256"/>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14:paraId="0AD1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center"/>
          </w:tcPr>
          <w:p w14:paraId="1807D16F">
            <w:pPr>
              <w:spacing w:line="360" w:lineRule="auto"/>
              <w:jc w:val="center"/>
              <w:rPr>
                <w:color w:val="auto"/>
                <w:sz w:val="24"/>
              </w:rPr>
            </w:pPr>
            <w:r>
              <w:rPr>
                <w:rFonts w:hint="eastAsia"/>
                <w:color w:val="auto"/>
                <w:sz w:val="24"/>
              </w:rPr>
              <w:t>姓 名</w:t>
            </w:r>
          </w:p>
        </w:tc>
        <w:tc>
          <w:tcPr>
            <w:tcW w:w="1217" w:type="dxa"/>
            <w:noWrap w:val="0"/>
            <w:vAlign w:val="center"/>
          </w:tcPr>
          <w:p w14:paraId="318F396E">
            <w:pPr>
              <w:spacing w:line="360" w:lineRule="auto"/>
              <w:jc w:val="center"/>
              <w:rPr>
                <w:color w:val="auto"/>
                <w:sz w:val="24"/>
              </w:rPr>
            </w:pPr>
            <w:r>
              <w:rPr>
                <w:rFonts w:hint="eastAsia"/>
                <w:color w:val="auto"/>
                <w:sz w:val="24"/>
              </w:rPr>
              <w:t>学 历</w:t>
            </w:r>
          </w:p>
        </w:tc>
        <w:tc>
          <w:tcPr>
            <w:tcW w:w="1217" w:type="dxa"/>
            <w:noWrap w:val="0"/>
            <w:vAlign w:val="center"/>
          </w:tcPr>
          <w:p w14:paraId="0688BFBE">
            <w:pPr>
              <w:spacing w:line="360" w:lineRule="auto"/>
              <w:jc w:val="center"/>
              <w:rPr>
                <w:color w:val="auto"/>
                <w:sz w:val="24"/>
              </w:rPr>
            </w:pPr>
            <w:r>
              <w:rPr>
                <w:rFonts w:hint="eastAsia"/>
                <w:color w:val="auto"/>
                <w:sz w:val="24"/>
              </w:rPr>
              <w:t>专 业</w:t>
            </w:r>
          </w:p>
        </w:tc>
        <w:tc>
          <w:tcPr>
            <w:tcW w:w="1217" w:type="dxa"/>
            <w:noWrap w:val="0"/>
            <w:vAlign w:val="center"/>
          </w:tcPr>
          <w:p w14:paraId="5B331BA1">
            <w:pPr>
              <w:spacing w:line="360" w:lineRule="auto"/>
              <w:jc w:val="center"/>
              <w:rPr>
                <w:color w:val="auto"/>
                <w:sz w:val="24"/>
              </w:rPr>
            </w:pPr>
            <w:r>
              <w:rPr>
                <w:rFonts w:hint="eastAsia"/>
                <w:color w:val="auto"/>
                <w:sz w:val="24"/>
              </w:rPr>
              <w:t>年 龄</w:t>
            </w:r>
          </w:p>
        </w:tc>
        <w:tc>
          <w:tcPr>
            <w:tcW w:w="1218" w:type="dxa"/>
            <w:noWrap w:val="0"/>
            <w:vAlign w:val="center"/>
          </w:tcPr>
          <w:p w14:paraId="7FF27FD3">
            <w:pPr>
              <w:spacing w:line="360" w:lineRule="auto"/>
              <w:jc w:val="center"/>
              <w:rPr>
                <w:color w:val="auto"/>
                <w:sz w:val="24"/>
              </w:rPr>
            </w:pPr>
            <w:r>
              <w:rPr>
                <w:rFonts w:hint="eastAsia"/>
                <w:color w:val="auto"/>
                <w:sz w:val="24"/>
              </w:rPr>
              <w:t>职称</w:t>
            </w:r>
          </w:p>
        </w:tc>
        <w:tc>
          <w:tcPr>
            <w:tcW w:w="1218" w:type="dxa"/>
            <w:noWrap w:val="0"/>
            <w:vAlign w:val="center"/>
          </w:tcPr>
          <w:p w14:paraId="3FE41CAD">
            <w:pPr>
              <w:spacing w:line="360" w:lineRule="auto"/>
              <w:jc w:val="center"/>
              <w:rPr>
                <w:color w:val="auto"/>
                <w:sz w:val="24"/>
              </w:rPr>
            </w:pPr>
            <w:r>
              <w:rPr>
                <w:rFonts w:hint="eastAsia"/>
                <w:color w:val="auto"/>
                <w:sz w:val="24"/>
              </w:rPr>
              <w:t>注册证书</w:t>
            </w:r>
          </w:p>
        </w:tc>
        <w:tc>
          <w:tcPr>
            <w:tcW w:w="1218" w:type="dxa"/>
            <w:noWrap w:val="0"/>
            <w:vAlign w:val="center"/>
          </w:tcPr>
          <w:p w14:paraId="251F94CA">
            <w:pPr>
              <w:spacing w:line="360" w:lineRule="auto"/>
              <w:jc w:val="center"/>
              <w:rPr>
                <w:color w:val="auto"/>
                <w:sz w:val="24"/>
              </w:rPr>
            </w:pPr>
            <w:r>
              <w:rPr>
                <w:rFonts w:hint="eastAsia"/>
                <w:color w:val="auto"/>
                <w:sz w:val="24"/>
              </w:rPr>
              <w:t>拟在本项目任职</w:t>
            </w:r>
          </w:p>
        </w:tc>
      </w:tr>
      <w:tr w14:paraId="504C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5A3CCB28">
            <w:pPr>
              <w:spacing w:line="360" w:lineRule="auto"/>
              <w:ind w:firstLine="410" w:firstLineChars="171"/>
              <w:rPr>
                <w:color w:val="auto"/>
                <w:sz w:val="24"/>
              </w:rPr>
            </w:pPr>
          </w:p>
        </w:tc>
        <w:tc>
          <w:tcPr>
            <w:tcW w:w="1217" w:type="dxa"/>
            <w:noWrap w:val="0"/>
            <w:vAlign w:val="top"/>
          </w:tcPr>
          <w:p w14:paraId="088B09E0">
            <w:pPr>
              <w:spacing w:line="360" w:lineRule="auto"/>
              <w:ind w:firstLine="410" w:firstLineChars="171"/>
              <w:rPr>
                <w:color w:val="auto"/>
                <w:sz w:val="24"/>
              </w:rPr>
            </w:pPr>
          </w:p>
        </w:tc>
        <w:tc>
          <w:tcPr>
            <w:tcW w:w="1217" w:type="dxa"/>
            <w:noWrap w:val="0"/>
            <w:vAlign w:val="top"/>
          </w:tcPr>
          <w:p w14:paraId="63EB545B">
            <w:pPr>
              <w:spacing w:line="360" w:lineRule="auto"/>
              <w:ind w:firstLine="410" w:firstLineChars="171"/>
              <w:rPr>
                <w:color w:val="auto"/>
                <w:sz w:val="24"/>
              </w:rPr>
            </w:pPr>
          </w:p>
        </w:tc>
        <w:tc>
          <w:tcPr>
            <w:tcW w:w="1217" w:type="dxa"/>
            <w:noWrap w:val="0"/>
            <w:vAlign w:val="top"/>
          </w:tcPr>
          <w:p w14:paraId="1F8844A9">
            <w:pPr>
              <w:spacing w:line="360" w:lineRule="auto"/>
              <w:ind w:firstLine="410" w:firstLineChars="171"/>
              <w:rPr>
                <w:color w:val="auto"/>
                <w:sz w:val="24"/>
              </w:rPr>
            </w:pPr>
          </w:p>
        </w:tc>
        <w:tc>
          <w:tcPr>
            <w:tcW w:w="1218" w:type="dxa"/>
            <w:noWrap w:val="0"/>
            <w:vAlign w:val="top"/>
          </w:tcPr>
          <w:p w14:paraId="780112A1">
            <w:pPr>
              <w:spacing w:line="360" w:lineRule="auto"/>
              <w:ind w:firstLine="410" w:firstLineChars="171"/>
              <w:rPr>
                <w:color w:val="auto"/>
                <w:sz w:val="24"/>
              </w:rPr>
            </w:pPr>
          </w:p>
        </w:tc>
        <w:tc>
          <w:tcPr>
            <w:tcW w:w="1218" w:type="dxa"/>
            <w:noWrap w:val="0"/>
            <w:vAlign w:val="top"/>
          </w:tcPr>
          <w:p w14:paraId="4BB1B06E">
            <w:pPr>
              <w:spacing w:line="360" w:lineRule="auto"/>
              <w:ind w:firstLine="410" w:firstLineChars="171"/>
              <w:rPr>
                <w:color w:val="auto"/>
                <w:sz w:val="24"/>
              </w:rPr>
            </w:pPr>
          </w:p>
        </w:tc>
        <w:tc>
          <w:tcPr>
            <w:tcW w:w="1218" w:type="dxa"/>
            <w:noWrap w:val="0"/>
            <w:vAlign w:val="top"/>
          </w:tcPr>
          <w:p w14:paraId="45FA6C42">
            <w:pPr>
              <w:spacing w:line="360" w:lineRule="auto"/>
              <w:ind w:firstLine="410" w:firstLineChars="171"/>
              <w:rPr>
                <w:color w:val="auto"/>
                <w:sz w:val="24"/>
              </w:rPr>
            </w:pPr>
          </w:p>
        </w:tc>
      </w:tr>
      <w:tr w14:paraId="7A9D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398AD667">
            <w:pPr>
              <w:spacing w:line="360" w:lineRule="auto"/>
              <w:ind w:firstLine="410" w:firstLineChars="171"/>
              <w:rPr>
                <w:color w:val="auto"/>
                <w:sz w:val="24"/>
              </w:rPr>
            </w:pPr>
          </w:p>
        </w:tc>
        <w:tc>
          <w:tcPr>
            <w:tcW w:w="1217" w:type="dxa"/>
            <w:noWrap w:val="0"/>
            <w:vAlign w:val="top"/>
          </w:tcPr>
          <w:p w14:paraId="1191F8B9">
            <w:pPr>
              <w:spacing w:line="360" w:lineRule="auto"/>
              <w:ind w:firstLine="410" w:firstLineChars="171"/>
              <w:rPr>
                <w:color w:val="auto"/>
                <w:sz w:val="24"/>
              </w:rPr>
            </w:pPr>
          </w:p>
        </w:tc>
        <w:tc>
          <w:tcPr>
            <w:tcW w:w="1217" w:type="dxa"/>
            <w:noWrap w:val="0"/>
            <w:vAlign w:val="top"/>
          </w:tcPr>
          <w:p w14:paraId="3721BAF3">
            <w:pPr>
              <w:spacing w:line="360" w:lineRule="auto"/>
              <w:ind w:firstLine="410" w:firstLineChars="171"/>
              <w:rPr>
                <w:color w:val="auto"/>
                <w:sz w:val="24"/>
              </w:rPr>
            </w:pPr>
          </w:p>
        </w:tc>
        <w:tc>
          <w:tcPr>
            <w:tcW w:w="1217" w:type="dxa"/>
            <w:noWrap w:val="0"/>
            <w:vAlign w:val="top"/>
          </w:tcPr>
          <w:p w14:paraId="6502EFBD">
            <w:pPr>
              <w:spacing w:line="360" w:lineRule="auto"/>
              <w:ind w:firstLine="410" w:firstLineChars="171"/>
              <w:rPr>
                <w:color w:val="auto"/>
                <w:sz w:val="24"/>
              </w:rPr>
            </w:pPr>
          </w:p>
        </w:tc>
        <w:tc>
          <w:tcPr>
            <w:tcW w:w="1218" w:type="dxa"/>
            <w:noWrap w:val="0"/>
            <w:vAlign w:val="top"/>
          </w:tcPr>
          <w:p w14:paraId="157CB309">
            <w:pPr>
              <w:spacing w:line="360" w:lineRule="auto"/>
              <w:ind w:firstLine="410" w:firstLineChars="171"/>
              <w:rPr>
                <w:color w:val="auto"/>
                <w:sz w:val="24"/>
              </w:rPr>
            </w:pPr>
          </w:p>
        </w:tc>
        <w:tc>
          <w:tcPr>
            <w:tcW w:w="1218" w:type="dxa"/>
            <w:noWrap w:val="0"/>
            <w:vAlign w:val="top"/>
          </w:tcPr>
          <w:p w14:paraId="1AC8B974">
            <w:pPr>
              <w:spacing w:line="360" w:lineRule="auto"/>
              <w:ind w:firstLine="410" w:firstLineChars="171"/>
              <w:rPr>
                <w:color w:val="auto"/>
                <w:sz w:val="24"/>
              </w:rPr>
            </w:pPr>
          </w:p>
        </w:tc>
        <w:tc>
          <w:tcPr>
            <w:tcW w:w="1218" w:type="dxa"/>
            <w:noWrap w:val="0"/>
            <w:vAlign w:val="top"/>
          </w:tcPr>
          <w:p w14:paraId="0B391032">
            <w:pPr>
              <w:spacing w:line="360" w:lineRule="auto"/>
              <w:ind w:firstLine="410" w:firstLineChars="171"/>
              <w:rPr>
                <w:color w:val="auto"/>
                <w:sz w:val="24"/>
              </w:rPr>
            </w:pPr>
          </w:p>
        </w:tc>
      </w:tr>
      <w:tr w14:paraId="38A0E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3165191D">
            <w:pPr>
              <w:spacing w:line="360" w:lineRule="auto"/>
              <w:ind w:firstLine="410" w:firstLineChars="171"/>
              <w:rPr>
                <w:color w:val="auto"/>
                <w:sz w:val="24"/>
              </w:rPr>
            </w:pPr>
          </w:p>
        </w:tc>
        <w:tc>
          <w:tcPr>
            <w:tcW w:w="1217" w:type="dxa"/>
            <w:noWrap w:val="0"/>
            <w:vAlign w:val="top"/>
          </w:tcPr>
          <w:p w14:paraId="18E33025">
            <w:pPr>
              <w:spacing w:line="360" w:lineRule="auto"/>
              <w:ind w:firstLine="410" w:firstLineChars="171"/>
              <w:rPr>
                <w:color w:val="auto"/>
                <w:sz w:val="24"/>
              </w:rPr>
            </w:pPr>
          </w:p>
        </w:tc>
        <w:tc>
          <w:tcPr>
            <w:tcW w:w="1217" w:type="dxa"/>
            <w:noWrap w:val="0"/>
            <w:vAlign w:val="top"/>
          </w:tcPr>
          <w:p w14:paraId="5DFAD697">
            <w:pPr>
              <w:spacing w:line="360" w:lineRule="auto"/>
              <w:ind w:firstLine="410" w:firstLineChars="171"/>
              <w:rPr>
                <w:color w:val="auto"/>
                <w:sz w:val="24"/>
              </w:rPr>
            </w:pPr>
          </w:p>
        </w:tc>
        <w:tc>
          <w:tcPr>
            <w:tcW w:w="1217" w:type="dxa"/>
            <w:noWrap w:val="0"/>
            <w:vAlign w:val="top"/>
          </w:tcPr>
          <w:p w14:paraId="6BAF2767">
            <w:pPr>
              <w:spacing w:line="360" w:lineRule="auto"/>
              <w:ind w:firstLine="410" w:firstLineChars="171"/>
              <w:rPr>
                <w:color w:val="auto"/>
                <w:sz w:val="24"/>
              </w:rPr>
            </w:pPr>
          </w:p>
        </w:tc>
        <w:tc>
          <w:tcPr>
            <w:tcW w:w="1218" w:type="dxa"/>
            <w:noWrap w:val="0"/>
            <w:vAlign w:val="top"/>
          </w:tcPr>
          <w:p w14:paraId="747BAC27">
            <w:pPr>
              <w:spacing w:line="360" w:lineRule="auto"/>
              <w:ind w:firstLine="410" w:firstLineChars="171"/>
              <w:rPr>
                <w:color w:val="auto"/>
                <w:sz w:val="24"/>
              </w:rPr>
            </w:pPr>
          </w:p>
        </w:tc>
        <w:tc>
          <w:tcPr>
            <w:tcW w:w="1218" w:type="dxa"/>
            <w:noWrap w:val="0"/>
            <w:vAlign w:val="top"/>
          </w:tcPr>
          <w:p w14:paraId="11F81FEE">
            <w:pPr>
              <w:spacing w:line="360" w:lineRule="auto"/>
              <w:ind w:firstLine="410" w:firstLineChars="171"/>
              <w:rPr>
                <w:color w:val="auto"/>
                <w:sz w:val="24"/>
              </w:rPr>
            </w:pPr>
          </w:p>
        </w:tc>
        <w:tc>
          <w:tcPr>
            <w:tcW w:w="1218" w:type="dxa"/>
            <w:noWrap w:val="0"/>
            <w:vAlign w:val="top"/>
          </w:tcPr>
          <w:p w14:paraId="047B3894">
            <w:pPr>
              <w:spacing w:line="360" w:lineRule="auto"/>
              <w:ind w:firstLine="410" w:firstLineChars="171"/>
              <w:rPr>
                <w:color w:val="auto"/>
                <w:sz w:val="24"/>
              </w:rPr>
            </w:pPr>
          </w:p>
        </w:tc>
      </w:tr>
      <w:tr w14:paraId="01D8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64BED9DA">
            <w:pPr>
              <w:spacing w:line="360" w:lineRule="auto"/>
              <w:ind w:firstLine="410" w:firstLineChars="171"/>
              <w:rPr>
                <w:color w:val="auto"/>
                <w:sz w:val="24"/>
              </w:rPr>
            </w:pPr>
          </w:p>
        </w:tc>
        <w:tc>
          <w:tcPr>
            <w:tcW w:w="1217" w:type="dxa"/>
            <w:noWrap w:val="0"/>
            <w:vAlign w:val="top"/>
          </w:tcPr>
          <w:p w14:paraId="7964B79C">
            <w:pPr>
              <w:spacing w:line="360" w:lineRule="auto"/>
              <w:ind w:firstLine="410" w:firstLineChars="171"/>
              <w:rPr>
                <w:color w:val="auto"/>
                <w:sz w:val="24"/>
              </w:rPr>
            </w:pPr>
          </w:p>
        </w:tc>
        <w:tc>
          <w:tcPr>
            <w:tcW w:w="1217" w:type="dxa"/>
            <w:noWrap w:val="0"/>
            <w:vAlign w:val="top"/>
          </w:tcPr>
          <w:p w14:paraId="03C9E01D">
            <w:pPr>
              <w:spacing w:line="360" w:lineRule="auto"/>
              <w:ind w:firstLine="410" w:firstLineChars="171"/>
              <w:rPr>
                <w:color w:val="auto"/>
                <w:sz w:val="24"/>
              </w:rPr>
            </w:pPr>
          </w:p>
        </w:tc>
        <w:tc>
          <w:tcPr>
            <w:tcW w:w="1217" w:type="dxa"/>
            <w:noWrap w:val="0"/>
            <w:vAlign w:val="top"/>
          </w:tcPr>
          <w:p w14:paraId="4376E332">
            <w:pPr>
              <w:spacing w:line="360" w:lineRule="auto"/>
              <w:ind w:firstLine="410" w:firstLineChars="171"/>
              <w:rPr>
                <w:color w:val="auto"/>
                <w:sz w:val="24"/>
              </w:rPr>
            </w:pPr>
          </w:p>
        </w:tc>
        <w:tc>
          <w:tcPr>
            <w:tcW w:w="1218" w:type="dxa"/>
            <w:noWrap w:val="0"/>
            <w:vAlign w:val="top"/>
          </w:tcPr>
          <w:p w14:paraId="35C83C78">
            <w:pPr>
              <w:spacing w:line="360" w:lineRule="auto"/>
              <w:ind w:firstLine="410" w:firstLineChars="171"/>
              <w:rPr>
                <w:color w:val="auto"/>
                <w:sz w:val="24"/>
              </w:rPr>
            </w:pPr>
          </w:p>
        </w:tc>
        <w:tc>
          <w:tcPr>
            <w:tcW w:w="1218" w:type="dxa"/>
            <w:noWrap w:val="0"/>
            <w:vAlign w:val="top"/>
          </w:tcPr>
          <w:p w14:paraId="0F7C37E9">
            <w:pPr>
              <w:spacing w:line="360" w:lineRule="auto"/>
              <w:ind w:firstLine="410" w:firstLineChars="171"/>
              <w:rPr>
                <w:color w:val="auto"/>
                <w:sz w:val="24"/>
              </w:rPr>
            </w:pPr>
          </w:p>
        </w:tc>
        <w:tc>
          <w:tcPr>
            <w:tcW w:w="1218" w:type="dxa"/>
            <w:noWrap w:val="0"/>
            <w:vAlign w:val="top"/>
          </w:tcPr>
          <w:p w14:paraId="2C71F626">
            <w:pPr>
              <w:spacing w:line="360" w:lineRule="auto"/>
              <w:ind w:firstLine="410" w:firstLineChars="171"/>
              <w:rPr>
                <w:color w:val="auto"/>
                <w:sz w:val="24"/>
              </w:rPr>
            </w:pPr>
          </w:p>
        </w:tc>
      </w:tr>
      <w:tr w14:paraId="5655B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24B6075B">
            <w:pPr>
              <w:spacing w:line="360" w:lineRule="auto"/>
              <w:ind w:firstLine="410" w:firstLineChars="171"/>
              <w:rPr>
                <w:color w:val="auto"/>
                <w:sz w:val="24"/>
              </w:rPr>
            </w:pPr>
          </w:p>
        </w:tc>
        <w:tc>
          <w:tcPr>
            <w:tcW w:w="1217" w:type="dxa"/>
            <w:noWrap w:val="0"/>
            <w:vAlign w:val="top"/>
          </w:tcPr>
          <w:p w14:paraId="041B796C">
            <w:pPr>
              <w:spacing w:line="360" w:lineRule="auto"/>
              <w:ind w:firstLine="410" w:firstLineChars="171"/>
              <w:rPr>
                <w:color w:val="auto"/>
                <w:sz w:val="24"/>
              </w:rPr>
            </w:pPr>
          </w:p>
        </w:tc>
        <w:tc>
          <w:tcPr>
            <w:tcW w:w="1217" w:type="dxa"/>
            <w:noWrap w:val="0"/>
            <w:vAlign w:val="top"/>
          </w:tcPr>
          <w:p w14:paraId="46EE52D9">
            <w:pPr>
              <w:spacing w:line="360" w:lineRule="auto"/>
              <w:ind w:firstLine="410" w:firstLineChars="171"/>
              <w:rPr>
                <w:color w:val="auto"/>
                <w:sz w:val="24"/>
              </w:rPr>
            </w:pPr>
          </w:p>
        </w:tc>
        <w:tc>
          <w:tcPr>
            <w:tcW w:w="1217" w:type="dxa"/>
            <w:noWrap w:val="0"/>
            <w:vAlign w:val="top"/>
          </w:tcPr>
          <w:p w14:paraId="59AF2E89">
            <w:pPr>
              <w:spacing w:line="360" w:lineRule="auto"/>
              <w:ind w:firstLine="410" w:firstLineChars="171"/>
              <w:rPr>
                <w:color w:val="auto"/>
                <w:sz w:val="24"/>
              </w:rPr>
            </w:pPr>
          </w:p>
        </w:tc>
        <w:tc>
          <w:tcPr>
            <w:tcW w:w="1218" w:type="dxa"/>
            <w:noWrap w:val="0"/>
            <w:vAlign w:val="top"/>
          </w:tcPr>
          <w:p w14:paraId="0D8C597C">
            <w:pPr>
              <w:spacing w:line="360" w:lineRule="auto"/>
              <w:ind w:firstLine="410" w:firstLineChars="171"/>
              <w:rPr>
                <w:color w:val="auto"/>
                <w:sz w:val="24"/>
              </w:rPr>
            </w:pPr>
          </w:p>
        </w:tc>
        <w:tc>
          <w:tcPr>
            <w:tcW w:w="1218" w:type="dxa"/>
            <w:noWrap w:val="0"/>
            <w:vAlign w:val="top"/>
          </w:tcPr>
          <w:p w14:paraId="1D9CA107">
            <w:pPr>
              <w:spacing w:line="360" w:lineRule="auto"/>
              <w:ind w:firstLine="410" w:firstLineChars="171"/>
              <w:rPr>
                <w:color w:val="auto"/>
                <w:sz w:val="24"/>
              </w:rPr>
            </w:pPr>
          </w:p>
        </w:tc>
        <w:tc>
          <w:tcPr>
            <w:tcW w:w="1218" w:type="dxa"/>
            <w:noWrap w:val="0"/>
            <w:vAlign w:val="top"/>
          </w:tcPr>
          <w:p w14:paraId="37E9160F">
            <w:pPr>
              <w:spacing w:line="360" w:lineRule="auto"/>
              <w:ind w:firstLine="410" w:firstLineChars="171"/>
              <w:rPr>
                <w:color w:val="auto"/>
                <w:sz w:val="24"/>
              </w:rPr>
            </w:pPr>
          </w:p>
        </w:tc>
      </w:tr>
      <w:tr w14:paraId="37081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2EDB1CA2">
            <w:pPr>
              <w:spacing w:line="360" w:lineRule="auto"/>
              <w:ind w:firstLine="410" w:firstLineChars="171"/>
              <w:rPr>
                <w:color w:val="auto"/>
                <w:sz w:val="24"/>
              </w:rPr>
            </w:pPr>
          </w:p>
        </w:tc>
        <w:tc>
          <w:tcPr>
            <w:tcW w:w="1217" w:type="dxa"/>
            <w:noWrap w:val="0"/>
            <w:vAlign w:val="top"/>
          </w:tcPr>
          <w:p w14:paraId="489ACC37">
            <w:pPr>
              <w:spacing w:line="360" w:lineRule="auto"/>
              <w:ind w:firstLine="410" w:firstLineChars="171"/>
              <w:rPr>
                <w:color w:val="auto"/>
                <w:sz w:val="24"/>
              </w:rPr>
            </w:pPr>
          </w:p>
        </w:tc>
        <w:tc>
          <w:tcPr>
            <w:tcW w:w="1217" w:type="dxa"/>
            <w:noWrap w:val="0"/>
            <w:vAlign w:val="top"/>
          </w:tcPr>
          <w:p w14:paraId="15243C4D">
            <w:pPr>
              <w:spacing w:line="360" w:lineRule="auto"/>
              <w:ind w:firstLine="410" w:firstLineChars="171"/>
              <w:rPr>
                <w:color w:val="auto"/>
                <w:sz w:val="24"/>
              </w:rPr>
            </w:pPr>
          </w:p>
        </w:tc>
        <w:tc>
          <w:tcPr>
            <w:tcW w:w="1217" w:type="dxa"/>
            <w:noWrap w:val="0"/>
            <w:vAlign w:val="top"/>
          </w:tcPr>
          <w:p w14:paraId="45DF2A61">
            <w:pPr>
              <w:spacing w:line="360" w:lineRule="auto"/>
              <w:ind w:firstLine="410" w:firstLineChars="171"/>
              <w:rPr>
                <w:color w:val="auto"/>
                <w:sz w:val="24"/>
              </w:rPr>
            </w:pPr>
          </w:p>
        </w:tc>
        <w:tc>
          <w:tcPr>
            <w:tcW w:w="1218" w:type="dxa"/>
            <w:noWrap w:val="0"/>
            <w:vAlign w:val="top"/>
          </w:tcPr>
          <w:p w14:paraId="1BF7F17C">
            <w:pPr>
              <w:spacing w:line="360" w:lineRule="auto"/>
              <w:ind w:firstLine="410" w:firstLineChars="171"/>
              <w:rPr>
                <w:color w:val="auto"/>
                <w:sz w:val="24"/>
              </w:rPr>
            </w:pPr>
          </w:p>
        </w:tc>
        <w:tc>
          <w:tcPr>
            <w:tcW w:w="1218" w:type="dxa"/>
            <w:noWrap w:val="0"/>
            <w:vAlign w:val="top"/>
          </w:tcPr>
          <w:p w14:paraId="3D72FED3">
            <w:pPr>
              <w:spacing w:line="360" w:lineRule="auto"/>
              <w:ind w:firstLine="410" w:firstLineChars="171"/>
              <w:rPr>
                <w:color w:val="auto"/>
                <w:sz w:val="24"/>
              </w:rPr>
            </w:pPr>
          </w:p>
        </w:tc>
        <w:tc>
          <w:tcPr>
            <w:tcW w:w="1218" w:type="dxa"/>
            <w:noWrap w:val="0"/>
            <w:vAlign w:val="top"/>
          </w:tcPr>
          <w:p w14:paraId="2C068873">
            <w:pPr>
              <w:spacing w:line="360" w:lineRule="auto"/>
              <w:ind w:firstLine="410" w:firstLineChars="171"/>
              <w:rPr>
                <w:color w:val="auto"/>
                <w:sz w:val="24"/>
              </w:rPr>
            </w:pPr>
          </w:p>
        </w:tc>
      </w:tr>
      <w:tr w14:paraId="4F56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7C557BB2">
            <w:pPr>
              <w:spacing w:line="360" w:lineRule="auto"/>
              <w:ind w:firstLine="410" w:firstLineChars="171"/>
              <w:rPr>
                <w:color w:val="auto"/>
                <w:sz w:val="24"/>
              </w:rPr>
            </w:pPr>
          </w:p>
        </w:tc>
        <w:tc>
          <w:tcPr>
            <w:tcW w:w="1217" w:type="dxa"/>
            <w:noWrap w:val="0"/>
            <w:vAlign w:val="top"/>
          </w:tcPr>
          <w:p w14:paraId="02D8564B">
            <w:pPr>
              <w:spacing w:line="360" w:lineRule="auto"/>
              <w:ind w:firstLine="410" w:firstLineChars="171"/>
              <w:rPr>
                <w:color w:val="auto"/>
                <w:sz w:val="24"/>
              </w:rPr>
            </w:pPr>
          </w:p>
        </w:tc>
        <w:tc>
          <w:tcPr>
            <w:tcW w:w="1217" w:type="dxa"/>
            <w:noWrap w:val="0"/>
            <w:vAlign w:val="top"/>
          </w:tcPr>
          <w:p w14:paraId="77B8465A">
            <w:pPr>
              <w:spacing w:line="360" w:lineRule="auto"/>
              <w:ind w:firstLine="410" w:firstLineChars="171"/>
              <w:rPr>
                <w:color w:val="auto"/>
                <w:sz w:val="24"/>
              </w:rPr>
            </w:pPr>
          </w:p>
        </w:tc>
        <w:tc>
          <w:tcPr>
            <w:tcW w:w="1217" w:type="dxa"/>
            <w:noWrap w:val="0"/>
            <w:vAlign w:val="top"/>
          </w:tcPr>
          <w:p w14:paraId="567A683C">
            <w:pPr>
              <w:spacing w:line="360" w:lineRule="auto"/>
              <w:ind w:firstLine="410" w:firstLineChars="171"/>
              <w:rPr>
                <w:color w:val="auto"/>
                <w:sz w:val="24"/>
              </w:rPr>
            </w:pPr>
          </w:p>
        </w:tc>
        <w:tc>
          <w:tcPr>
            <w:tcW w:w="1218" w:type="dxa"/>
            <w:noWrap w:val="0"/>
            <w:vAlign w:val="top"/>
          </w:tcPr>
          <w:p w14:paraId="2CAD06F3">
            <w:pPr>
              <w:spacing w:line="360" w:lineRule="auto"/>
              <w:ind w:firstLine="410" w:firstLineChars="171"/>
              <w:rPr>
                <w:color w:val="auto"/>
                <w:sz w:val="24"/>
              </w:rPr>
            </w:pPr>
          </w:p>
        </w:tc>
        <w:tc>
          <w:tcPr>
            <w:tcW w:w="1218" w:type="dxa"/>
            <w:noWrap w:val="0"/>
            <w:vAlign w:val="top"/>
          </w:tcPr>
          <w:p w14:paraId="7D3EB340">
            <w:pPr>
              <w:spacing w:line="360" w:lineRule="auto"/>
              <w:ind w:firstLine="410" w:firstLineChars="171"/>
              <w:rPr>
                <w:color w:val="auto"/>
                <w:sz w:val="24"/>
              </w:rPr>
            </w:pPr>
          </w:p>
        </w:tc>
        <w:tc>
          <w:tcPr>
            <w:tcW w:w="1218" w:type="dxa"/>
            <w:noWrap w:val="0"/>
            <w:vAlign w:val="top"/>
          </w:tcPr>
          <w:p w14:paraId="44CE90A7">
            <w:pPr>
              <w:spacing w:line="360" w:lineRule="auto"/>
              <w:ind w:firstLine="410" w:firstLineChars="171"/>
              <w:rPr>
                <w:color w:val="auto"/>
                <w:sz w:val="24"/>
              </w:rPr>
            </w:pPr>
          </w:p>
        </w:tc>
      </w:tr>
      <w:tr w14:paraId="695A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147FAC03">
            <w:pPr>
              <w:spacing w:line="360" w:lineRule="auto"/>
              <w:ind w:firstLine="410" w:firstLineChars="171"/>
              <w:rPr>
                <w:color w:val="auto"/>
                <w:sz w:val="24"/>
              </w:rPr>
            </w:pPr>
          </w:p>
        </w:tc>
        <w:tc>
          <w:tcPr>
            <w:tcW w:w="1217" w:type="dxa"/>
            <w:noWrap w:val="0"/>
            <w:vAlign w:val="top"/>
          </w:tcPr>
          <w:p w14:paraId="2069563E">
            <w:pPr>
              <w:spacing w:line="360" w:lineRule="auto"/>
              <w:ind w:firstLine="410" w:firstLineChars="171"/>
              <w:rPr>
                <w:color w:val="auto"/>
                <w:sz w:val="24"/>
              </w:rPr>
            </w:pPr>
          </w:p>
        </w:tc>
        <w:tc>
          <w:tcPr>
            <w:tcW w:w="1217" w:type="dxa"/>
            <w:noWrap w:val="0"/>
            <w:vAlign w:val="top"/>
          </w:tcPr>
          <w:p w14:paraId="191E4D03">
            <w:pPr>
              <w:spacing w:line="360" w:lineRule="auto"/>
              <w:ind w:firstLine="410" w:firstLineChars="171"/>
              <w:rPr>
                <w:color w:val="auto"/>
                <w:sz w:val="24"/>
              </w:rPr>
            </w:pPr>
          </w:p>
        </w:tc>
        <w:tc>
          <w:tcPr>
            <w:tcW w:w="1217" w:type="dxa"/>
            <w:noWrap w:val="0"/>
            <w:vAlign w:val="top"/>
          </w:tcPr>
          <w:p w14:paraId="6379F2F6">
            <w:pPr>
              <w:spacing w:line="360" w:lineRule="auto"/>
              <w:ind w:firstLine="410" w:firstLineChars="171"/>
              <w:rPr>
                <w:color w:val="auto"/>
                <w:sz w:val="24"/>
              </w:rPr>
            </w:pPr>
          </w:p>
        </w:tc>
        <w:tc>
          <w:tcPr>
            <w:tcW w:w="1218" w:type="dxa"/>
            <w:noWrap w:val="0"/>
            <w:vAlign w:val="top"/>
          </w:tcPr>
          <w:p w14:paraId="095C121C">
            <w:pPr>
              <w:spacing w:line="360" w:lineRule="auto"/>
              <w:ind w:firstLine="410" w:firstLineChars="171"/>
              <w:rPr>
                <w:color w:val="auto"/>
                <w:sz w:val="24"/>
              </w:rPr>
            </w:pPr>
          </w:p>
        </w:tc>
        <w:tc>
          <w:tcPr>
            <w:tcW w:w="1218" w:type="dxa"/>
            <w:noWrap w:val="0"/>
            <w:vAlign w:val="top"/>
          </w:tcPr>
          <w:p w14:paraId="09B3FE00">
            <w:pPr>
              <w:spacing w:line="360" w:lineRule="auto"/>
              <w:ind w:firstLine="410" w:firstLineChars="171"/>
              <w:rPr>
                <w:color w:val="auto"/>
                <w:sz w:val="24"/>
              </w:rPr>
            </w:pPr>
          </w:p>
        </w:tc>
        <w:tc>
          <w:tcPr>
            <w:tcW w:w="1218" w:type="dxa"/>
            <w:noWrap w:val="0"/>
            <w:vAlign w:val="top"/>
          </w:tcPr>
          <w:p w14:paraId="0C9E03FC">
            <w:pPr>
              <w:spacing w:line="360" w:lineRule="auto"/>
              <w:ind w:firstLine="410" w:firstLineChars="171"/>
              <w:rPr>
                <w:color w:val="auto"/>
                <w:sz w:val="24"/>
              </w:rPr>
            </w:pPr>
          </w:p>
        </w:tc>
      </w:tr>
      <w:tr w14:paraId="1F65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1A44C511">
            <w:pPr>
              <w:spacing w:line="360" w:lineRule="auto"/>
              <w:ind w:firstLine="410" w:firstLineChars="171"/>
              <w:rPr>
                <w:color w:val="auto"/>
                <w:sz w:val="24"/>
              </w:rPr>
            </w:pPr>
          </w:p>
        </w:tc>
        <w:tc>
          <w:tcPr>
            <w:tcW w:w="1217" w:type="dxa"/>
            <w:noWrap w:val="0"/>
            <w:vAlign w:val="top"/>
          </w:tcPr>
          <w:p w14:paraId="6C797BA5">
            <w:pPr>
              <w:spacing w:line="360" w:lineRule="auto"/>
              <w:ind w:firstLine="410" w:firstLineChars="171"/>
              <w:rPr>
                <w:color w:val="auto"/>
                <w:sz w:val="24"/>
              </w:rPr>
            </w:pPr>
          </w:p>
        </w:tc>
        <w:tc>
          <w:tcPr>
            <w:tcW w:w="1217" w:type="dxa"/>
            <w:noWrap w:val="0"/>
            <w:vAlign w:val="top"/>
          </w:tcPr>
          <w:p w14:paraId="7DB80160">
            <w:pPr>
              <w:spacing w:line="360" w:lineRule="auto"/>
              <w:ind w:firstLine="410" w:firstLineChars="171"/>
              <w:rPr>
                <w:color w:val="auto"/>
                <w:sz w:val="24"/>
              </w:rPr>
            </w:pPr>
          </w:p>
        </w:tc>
        <w:tc>
          <w:tcPr>
            <w:tcW w:w="1217" w:type="dxa"/>
            <w:noWrap w:val="0"/>
            <w:vAlign w:val="top"/>
          </w:tcPr>
          <w:p w14:paraId="44E29DEE">
            <w:pPr>
              <w:spacing w:line="360" w:lineRule="auto"/>
              <w:ind w:firstLine="410" w:firstLineChars="171"/>
              <w:rPr>
                <w:color w:val="auto"/>
                <w:sz w:val="24"/>
              </w:rPr>
            </w:pPr>
          </w:p>
        </w:tc>
        <w:tc>
          <w:tcPr>
            <w:tcW w:w="1218" w:type="dxa"/>
            <w:noWrap w:val="0"/>
            <w:vAlign w:val="top"/>
          </w:tcPr>
          <w:p w14:paraId="61FB4039">
            <w:pPr>
              <w:spacing w:line="360" w:lineRule="auto"/>
              <w:ind w:firstLine="410" w:firstLineChars="171"/>
              <w:rPr>
                <w:color w:val="auto"/>
                <w:sz w:val="24"/>
              </w:rPr>
            </w:pPr>
          </w:p>
        </w:tc>
        <w:tc>
          <w:tcPr>
            <w:tcW w:w="1218" w:type="dxa"/>
            <w:noWrap w:val="0"/>
            <w:vAlign w:val="top"/>
          </w:tcPr>
          <w:p w14:paraId="0BC2A36E">
            <w:pPr>
              <w:spacing w:line="360" w:lineRule="auto"/>
              <w:ind w:firstLine="410" w:firstLineChars="171"/>
              <w:rPr>
                <w:color w:val="auto"/>
                <w:sz w:val="24"/>
              </w:rPr>
            </w:pPr>
          </w:p>
        </w:tc>
        <w:tc>
          <w:tcPr>
            <w:tcW w:w="1218" w:type="dxa"/>
            <w:noWrap w:val="0"/>
            <w:vAlign w:val="top"/>
          </w:tcPr>
          <w:p w14:paraId="03C9B0BB">
            <w:pPr>
              <w:spacing w:line="360" w:lineRule="auto"/>
              <w:ind w:firstLine="410" w:firstLineChars="171"/>
              <w:rPr>
                <w:color w:val="auto"/>
                <w:sz w:val="24"/>
              </w:rPr>
            </w:pPr>
          </w:p>
        </w:tc>
      </w:tr>
      <w:tr w14:paraId="28A0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566CB107">
            <w:pPr>
              <w:spacing w:line="360" w:lineRule="auto"/>
              <w:ind w:firstLine="410" w:firstLineChars="171"/>
              <w:rPr>
                <w:color w:val="auto"/>
                <w:sz w:val="24"/>
              </w:rPr>
            </w:pPr>
          </w:p>
        </w:tc>
        <w:tc>
          <w:tcPr>
            <w:tcW w:w="1217" w:type="dxa"/>
            <w:noWrap w:val="0"/>
            <w:vAlign w:val="top"/>
          </w:tcPr>
          <w:p w14:paraId="0D5202FE">
            <w:pPr>
              <w:spacing w:line="360" w:lineRule="auto"/>
              <w:ind w:firstLine="410" w:firstLineChars="171"/>
              <w:rPr>
                <w:color w:val="auto"/>
                <w:sz w:val="24"/>
              </w:rPr>
            </w:pPr>
          </w:p>
        </w:tc>
        <w:tc>
          <w:tcPr>
            <w:tcW w:w="1217" w:type="dxa"/>
            <w:noWrap w:val="0"/>
            <w:vAlign w:val="top"/>
          </w:tcPr>
          <w:p w14:paraId="097DEA2F">
            <w:pPr>
              <w:spacing w:line="360" w:lineRule="auto"/>
              <w:ind w:firstLine="410" w:firstLineChars="171"/>
              <w:rPr>
                <w:color w:val="auto"/>
                <w:sz w:val="24"/>
              </w:rPr>
            </w:pPr>
          </w:p>
        </w:tc>
        <w:tc>
          <w:tcPr>
            <w:tcW w:w="1217" w:type="dxa"/>
            <w:noWrap w:val="0"/>
            <w:vAlign w:val="top"/>
          </w:tcPr>
          <w:p w14:paraId="6175E7F8">
            <w:pPr>
              <w:spacing w:line="360" w:lineRule="auto"/>
              <w:ind w:firstLine="410" w:firstLineChars="171"/>
              <w:rPr>
                <w:color w:val="auto"/>
                <w:sz w:val="24"/>
              </w:rPr>
            </w:pPr>
          </w:p>
        </w:tc>
        <w:tc>
          <w:tcPr>
            <w:tcW w:w="1218" w:type="dxa"/>
            <w:noWrap w:val="0"/>
            <w:vAlign w:val="top"/>
          </w:tcPr>
          <w:p w14:paraId="13218C4A">
            <w:pPr>
              <w:spacing w:line="360" w:lineRule="auto"/>
              <w:ind w:firstLine="410" w:firstLineChars="171"/>
              <w:rPr>
                <w:color w:val="auto"/>
                <w:sz w:val="24"/>
              </w:rPr>
            </w:pPr>
          </w:p>
        </w:tc>
        <w:tc>
          <w:tcPr>
            <w:tcW w:w="1218" w:type="dxa"/>
            <w:noWrap w:val="0"/>
            <w:vAlign w:val="top"/>
          </w:tcPr>
          <w:p w14:paraId="2776699E">
            <w:pPr>
              <w:spacing w:line="360" w:lineRule="auto"/>
              <w:ind w:firstLine="410" w:firstLineChars="171"/>
              <w:rPr>
                <w:color w:val="auto"/>
                <w:sz w:val="24"/>
              </w:rPr>
            </w:pPr>
          </w:p>
        </w:tc>
        <w:tc>
          <w:tcPr>
            <w:tcW w:w="1218" w:type="dxa"/>
            <w:noWrap w:val="0"/>
            <w:vAlign w:val="top"/>
          </w:tcPr>
          <w:p w14:paraId="4007FC39">
            <w:pPr>
              <w:spacing w:line="360" w:lineRule="auto"/>
              <w:ind w:firstLine="410" w:firstLineChars="171"/>
              <w:rPr>
                <w:color w:val="auto"/>
                <w:sz w:val="24"/>
              </w:rPr>
            </w:pPr>
          </w:p>
        </w:tc>
      </w:tr>
      <w:tr w14:paraId="2984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4335FD10">
            <w:pPr>
              <w:spacing w:line="360" w:lineRule="auto"/>
              <w:ind w:firstLine="410" w:firstLineChars="171"/>
              <w:rPr>
                <w:color w:val="auto"/>
                <w:sz w:val="24"/>
              </w:rPr>
            </w:pPr>
          </w:p>
        </w:tc>
        <w:tc>
          <w:tcPr>
            <w:tcW w:w="1217" w:type="dxa"/>
            <w:noWrap w:val="0"/>
            <w:vAlign w:val="top"/>
          </w:tcPr>
          <w:p w14:paraId="4778E911">
            <w:pPr>
              <w:spacing w:line="360" w:lineRule="auto"/>
              <w:ind w:firstLine="410" w:firstLineChars="171"/>
              <w:rPr>
                <w:color w:val="auto"/>
                <w:sz w:val="24"/>
              </w:rPr>
            </w:pPr>
          </w:p>
        </w:tc>
        <w:tc>
          <w:tcPr>
            <w:tcW w:w="1217" w:type="dxa"/>
            <w:noWrap w:val="0"/>
            <w:vAlign w:val="top"/>
          </w:tcPr>
          <w:p w14:paraId="718351A2">
            <w:pPr>
              <w:spacing w:line="360" w:lineRule="auto"/>
              <w:ind w:firstLine="410" w:firstLineChars="171"/>
              <w:rPr>
                <w:color w:val="auto"/>
                <w:sz w:val="24"/>
              </w:rPr>
            </w:pPr>
          </w:p>
        </w:tc>
        <w:tc>
          <w:tcPr>
            <w:tcW w:w="1217" w:type="dxa"/>
            <w:noWrap w:val="0"/>
            <w:vAlign w:val="top"/>
          </w:tcPr>
          <w:p w14:paraId="7E589328">
            <w:pPr>
              <w:spacing w:line="360" w:lineRule="auto"/>
              <w:ind w:firstLine="410" w:firstLineChars="171"/>
              <w:rPr>
                <w:color w:val="auto"/>
                <w:sz w:val="24"/>
              </w:rPr>
            </w:pPr>
          </w:p>
        </w:tc>
        <w:tc>
          <w:tcPr>
            <w:tcW w:w="1218" w:type="dxa"/>
            <w:noWrap w:val="0"/>
            <w:vAlign w:val="top"/>
          </w:tcPr>
          <w:p w14:paraId="7C646257">
            <w:pPr>
              <w:spacing w:line="360" w:lineRule="auto"/>
              <w:ind w:firstLine="410" w:firstLineChars="171"/>
              <w:rPr>
                <w:color w:val="auto"/>
                <w:sz w:val="24"/>
              </w:rPr>
            </w:pPr>
          </w:p>
        </w:tc>
        <w:tc>
          <w:tcPr>
            <w:tcW w:w="1218" w:type="dxa"/>
            <w:noWrap w:val="0"/>
            <w:vAlign w:val="top"/>
          </w:tcPr>
          <w:p w14:paraId="04E061A2">
            <w:pPr>
              <w:spacing w:line="360" w:lineRule="auto"/>
              <w:ind w:firstLine="410" w:firstLineChars="171"/>
              <w:rPr>
                <w:color w:val="auto"/>
                <w:sz w:val="24"/>
              </w:rPr>
            </w:pPr>
          </w:p>
        </w:tc>
        <w:tc>
          <w:tcPr>
            <w:tcW w:w="1218" w:type="dxa"/>
            <w:noWrap w:val="0"/>
            <w:vAlign w:val="top"/>
          </w:tcPr>
          <w:p w14:paraId="40DB8824">
            <w:pPr>
              <w:spacing w:line="360" w:lineRule="auto"/>
              <w:ind w:firstLine="410" w:firstLineChars="171"/>
              <w:rPr>
                <w:color w:val="auto"/>
                <w:sz w:val="24"/>
              </w:rPr>
            </w:pPr>
          </w:p>
        </w:tc>
      </w:tr>
      <w:tr w14:paraId="2F2BD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378740C4">
            <w:pPr>
              <w:spacing w:line="360" w:lineRule="auto"/>
              <w:ind w:firstLine="410" w:firstLineChars="171"/>
              <w:rPr>
                <w:color w:val="auto"/>
                <w:sz w:val="24"/>
              </w:rPr>
            </w:pPr>
          </w:p>
        </w:tc>
        <w:tc>
          <w:tcPr>
            <w:tcW w:w="1217" w:type="dxa"/>
            <w:noWrap w:val="0"/>
            <w:vAlign w:val="top"/>
          </w:tcPr>
          <w:p w14:paraId="3CB67FDE">
            <w:pPr>
              <w:spacing w:line="360" w:lineRule="auto"/>
              <w:ind w:firstLine="410" w:firstLineChars="171"/>
              <w:rPr>
                <w:color w:val="auto"/>
                <w:sz w:val="24"/>
              </w:rPr>
            </w:pPr>
          </w:p>
        </w:tc>
        <w:tc>
          <w:tcPr>
            <w:tcW w:w="1217" w:type="dxa"/>
            <w:noWrap w:val="0"/>
            <w:vAlign w:val="top"/>
          </w:tcPr>
          <w:p w14:paraId="1927E564">
            <w:pPr>
              <w:spacing w:line="360" w:lineRule="auto"/>
              <w:ind w:firstLine="410" w:firstLineChars="171"/>
              <w:rPr>
                <w:color w:val="auto"/>
                <w:sz w:val="24"/>
              </w:rPr>
            </w:pPr>
          </w:p>
        </w:tc>
        <w:tc>
          <w:tcPr>
            <w:tcW w:w="1217" w:type="dxa"/>
            <w:noWrap w:val="0"/>
            <w:vAlign w:val="top"/>
          </w:tcPr>
          <w:p w14:paraId="03768834">
            <w:pPr>
              <w:spacing w:line="360" w:lineRule="auto"/>
              <w:ind w:firstLine="410" w:firstLineChars="171"/>
              <w:rPr>
                <w:color w:val="auto"/>
                <w:sz w:val="24"/>
              </w:rPr>
            </w:pPr>
          </w:p>
        </w:tc>
        <w:tc>
          <w:tcPr>
            <w:tcW w:w="1218" w:type="dxa"/>
            <w:noWrap w:val="0"/>
            <w:vAlign w:val="top"/>
          </w:tcPr>
          <w:p w14:paraId="5C56D517">
            <w:pPr>
              <w:spacing w:line="360" w:lineRule="auto"/>
              <w:ind w:firstLine="410" w:firstLineChars="171"/>
              <w:rPr>
                <w:color w:val="auto"/>
                <w:sz w:val="24"/>
              </w:rPr>
            </w:pPr>
          </w:p>
        </w:tc>
        <w:tc>
          <w:tcPr>
            <w:tcW w:w="1218" w:type="dxa"/>
            <w:noWrap w:val="0"/>
            <w:vAlign w:val="top"/>
          </w:tcPr>
          <w:p w14:paraId="564844F1">
            <w:pPr>
              <w:spacing w:line="360" w:lineRule="auto"/>
              <w:ind w:firstLine="410" w:firstLineChars="171"/>
              <w:rPr>
                <w:color w:val="auto"/>
                <w:sz w:val="24"/>
              </w:rPr>
            </w:pPr>
          </w:p>
        </w:tc>
        <w:tc>
          <w:tcPr>
            <w:tcW w:w="1218" w:type="dxa"/>
            <w:noWrap w:val="0"/>
            <w:vAlign w:val="top"/>
          </w:tcPr>
          <w:p w14:paraId="6AA46773">
            <w:pPr>
              <w:spacing w:line="360" w:lineRule="auto"/>
              <w:ind w:firstLine="410" w:firstLineChars="171"/>
              <w:rPr>
                <w:color w:val="auto"/>
                <w:sz w:val="24"/>
              </w:rPr>
            </w:pPr>
          </w:p>
        </w:tc>
      </w:tr>
    </w:tbl>
    <w:p w14:paraId="4080D1D0">
      <w:pPr>
        <w:pStyle w:val="34"/>
        <w:ind w:firstLine="240"/>
        <w:rPr>
          <w:color w:val="auto"/>
          <w:szCs w:val="21"/>
        </w:rPr>
      </w:pPr>
    </w:p>
    <w:p w14:paraId="4517FD9A">
      <w:pPr>
        <w:pStyle w:val="34"/>
        <w:ind w:firstLine="240"/>
        <w:rPr>
          <w:color w:val="auto"/>
          <w:szCs w:val="21"/>
        </w:rPr>
      </w:pPr>
    </w:p>
    <w:p w14:paraId="17188A56">
      <w:pPr>
        <w:pStyle w:val="34"/>
        <w:ind w:firstLine="240"/>
        <w:rPr>
          <w:color w:val="auto"/>
          <w:szCs w:val="21"/>
        </w:rPr>
      </w:pPr>
    </w:p>
    <w:p w14:paraId="1AE14C29">
      <w:pPr>
        <w:pStyle w:val="34"/>
        <w:ind w:firstLine="240"/>
        <w:rPr>
          <w:color w:val="auto"/>
          <w:szCs w:val="21"/>
        </w:rPr>
      </w:pPr>
    </w:p>
    <w:p w14:paraId="4505DC55">
      <w:pPr>
        <w:pStyle w:val="34"/>
        <w:ind w:firstLine="240"/>
        <w:rPr>
          <w:color w:val="auto"/>
          <w:szCs w:val="21"/>
        </w:rPr>
      </w:pPr>
    </w:p>
    <w:p w14:paraId="544DEE7E">
      <w:pPr>
        <w:pStyle w:val="34"/>
        <w:ind w:firstLine="240"/>
        <w:rPr>
          <w:color w:val="auto"/>
          <w:szCs w:val="21"/>
        </w:rPr>
      </w:pPr>
    </w:p>
    <w:p w14:paraId="14DEF9C3">
      <w:pPr>
        <w:pStyle w:val="34"/>
        <w:ind w:firstLine="240"/>
        <w:rPr>
          <w:color w:val="auto"/>
          <w:szCs w:val="21"/>
        </w:rPr>
      </w:pPr>
    </w:p>
    <w:p w14:paraId="551FAB0D">
      <w:pPr>
        <w:pStyle w:val="34"/>
        <w:ind w:firstLine="240"/>
        <w:rPr>
          <w:color w:val="auto"/>
          <w:szCs w:val="21"/>
        </w:rPr>
      </w:pPr>
    </w:p>
    <w:p w14:paraId="756CE89E">
      <w:pPr>
        <w:pStyle w:val="34"/>
        <w:ind w:firstLine="240"/>
        <w:rPr>
          <w:color w:val="auto"/>
          <w:szCs w:val="21"/>
        </w:rPr>
      </w:pPr>
    </w:p>
    <w:p w14:paraId="3135A347">
      <w:pPr>
        <w:ind w:firstLine="1470" w:firstLineChars="700"/>
        <w:rPr>
          <w:rFonts w:ascii="宋体" w:hAnsi="宋体" w:cs="宋体"/>
          <w:b/>
          <w:color w:val="auto"/>
          <w:sz w:val="24"/>
          <w:szCs w:val="20"/>
        </w:rPr>
      </w:pPr>
      <w:r>
        <w:rPr>
          <w:color w:val="auto"/>
          <w:szCs w:val="21"/>
        </w:rPr>
        <w:br w:type="page"/>
      </w:r>
    </w:p>
    <w:p w14:paraId="618D520E">
      <w:pPr>
        <w:ind w:firstLine="1687" w:firstLineChars="700"/>
        <w:rPr>
          <w:rFonts w:ascii="宋体" w:hAnsi="宋体" w:cs="宋体"/>
          <w:b/>
          <w:color w:val="auto"/>
          <w:sz w:val="24"/>
          <w:szCs w:val="20"/>
        </w:rPr>
      </w:pPr>
    </w:p>
    <w:p w14:paraId="715712DC">
      <w:pPr>
        <w:spacing w:line="360" w:lineRule="auto"/>
        <w:jc w:val="center"/>
        <w:outlineLvl w:val="1"/>
        <w:rPr>
          <w:b/>
          <w:bCs/>
          <w:iCs/>
          <w:color w:val="auto"/>
          <w:sz w:val="28"/>
          <w:szCs w:val="28"/>
        </w:rPr>
      </w:pPr>
      <w:bookmarkStart w:id="257" w:name="_Toc6679"/>
      <w:bookmarkStart w:id="258" w:name="_Toc5826"/>
      <w:r>
        <w:rPr>
          <w:rFonts w:hint="eastAsia"/>
          <w:b/>
          <w:bCs/>
          <w:iCs/>
          <w:color w:val="auto"/>
          <w:sz w:val="28"/>
          <w:szCs w:val="28"/>
        </w:rPr>
        <w:t>（三）</w:t>
      </w:r>
      <w:r>
        <w:rPr>
          <w:rFonts w:hint="eastAsia"/>
          <w:b/>
          <w:bCs/>
          <w:color w:val="auto"/>
          <w:sz w:val="28"/>
          <w:szCs w:val="28"/>
        </w:rPr>
        <w:t>项目负责人及主要咨询人员简历表</w:t>
      </w:r>
      <w:bookmarkEnd w:id="257"/>
      <w:bookmarkEnd w:id="258"/>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359"/>
        <w:gridCol w:w="720"/>
        <w:gridCol w:w="927"/>
        <w:gridCol w:w="1065"/>
        <w:gridCol w:w="708"/>
        <w:gridCol w:w="1261"/>
        <w:gridCol w:w="161"/>
        <w:gridCol w:w="2415"/>
      </w:tblGrid>
      <w:tr w14:paraId="4298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1" w:type="dxa"/>
            <w:noWrap w:val="0"/>
            <w:vAlign w:val="center"/>
          </w:tcPr>
          <w:p w14:paraId="12C18230">
            <w:pPr>
              <w:spacing w:line="360" w:lineRule="auto"/>
              <w:jc w:val="center"/>
              <w:rPr>
                <w:color w:val="auto"/>
                <w:sz w:val="24"/>
              </w:rPr>
            </w:pPr>
            <w:bookmarkStart w:id="259" w:name="OLE_LINK9"/>
            <w:r>
              <w:rPr>
                <w:rFonts w:hint="eastAsia"/>
                <w:color w:val="auto"/>
                <w:sz w:val="24"/>
              </w:rPr>
              <w:t>姓  名</w:t>
            </w:r>
          </w:p>
        </w:tc>
        <w:tc>
          <w:tcPr>
            <w:tcW w:w="1079" w:type="dxa"/>
            <w:gridSpan w:val="2"/>
            <w:noWrap w:val="0"/>
            <w:vAlign w:val="center"/>
          </w:tcPr>
          <w:p w14:paraId="7561B4F8">
            <w:pPr>
              <w:spacing w:line="360" w:lineRule="auto"/>
              <w:jc w:val="center"/>
              <w:rPr>
                <w:color w:val="auto"/>
                <w:sz w:val="24"/>
              </w:rPr>
            </w:pPr>
          </w:p>
        </w:tc>
        <w:tc>
          <w:tcPr>
            <w:tcW w:w="927" w:type="dxa"/>
            <w:noWrap w:val="0"/>
            <w:vAlign w:val="center"/>
          </w:tcPr>
          <w:p w14:paraId="2694AC16">
            <w:pPr>
              <w:spacing w:line="360" w:lineRule="auto"/>
              <w:jc w:val="center"/>
              <w:rPr>
                <w:color w:val="auto"/>
                <w:sz w:val="24"/>
              </w:rPr>
            </w:pPr>
            <w:r>
              <w:rPr>
                <w:rFonts w:hint="eastAsia"/>
                <w:color w:val="auto"/>
                <w:sz w:val="24"/>
              </w:rPr>
              <w:t>年 龄</w:t>
            </w:r>
          </w:p>
        </w:tc>
        <w:tc>
          <w:tcPr>
            <w:tcW w:w="1065" w:type="dxa"/>
            <w:noWrap w:val="0"/>
            <w:vAlign w:val="center"/>
          </w:tcPr>
          <w:p w14:paraId="02387E2E">
            <w:pPr>
              <w:spacing w:line="360" w:lineRule="auto"/>
              <w:jc w:val="center"/>
              <w:rPr>
                <w:color w:val="auto"/>
                <w:sz w:val="24"/>
              </w:rPr>
            </w:pPr>
          </w:p>
        </w:tc>
        <w:tc>
          <w:tcPr>
            <w:tcW w:w="2130" w:type="dxa"/>
            <w:gridSpan w:val="3"/>
            <w:noWrap w:val="0"/>
            <w:vAlign w:val="center"/>
          </w:tcPr>
          <w:p w14:paraId="421F41D1">
            <w:pPr>
              <w:spacing w:line="360" w:lineRule="auto"/>
              <w:jc w:val="center"/>
              <w:rPr>
                <w:color w:val="auto"/>
                <w:sz w:val="24"/>
              </w:rPr>
            </w:pPr>
            <w:r>
              <w:rPr>
                <w:rFonts w:hint="eastAsia"/>
                <w:color w:val="auto"/>
                <w:sz w:val="24"/>
              </w:rPr>
              <w:t>学历</w:t>
            </w:r>
          </w:p>
        </w:tc>
        <w:tc>
          <w:tcPr>
            <w:tcW w:w="2415" w:type="dxa"/>
            <w:noWrap w:val="0"/>
            <w:vAlign w:val="center"/>
          </w:tcPr>
          <w:p w14:paraId="74429D75">
            <w:pPr>
              <w:spacing w:line="360" w:lineRule="auto"/>
              <w:jc w:val="center"/>
              <w:rPr>
                <w:color w:val="auto"/>
                <w:sz w:val="24"/>
              </w:rPr>
            </w:pPr>
          </w:p>
        </w:tc>
      </w:tr>
      <w:tr w14:paraId="7CD0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1" w:type="dxa"/>
            <w:noWrap w:val="0"/>
            <w:vAlign w:val="center"/>
          </w:tcPr>
          <w:p w14:paraId="33FD730E">
            <w:pPr>
              <w:spacing w:line="360" w:lineRule="auto"/>
              <w:jc w:val="center"/>
              <w:rPr>
                <w:color w:val="auto"/>
                <w:sz w:val="24"/>
              </w:rPr>
            </w:pPr>
            <w:r>
              <w:rPr>
                <w:rFonts w:hint="eastAsia"/>
                <w:color w:val="auto"/>
                <w:sz w:val="24"/>
              </w:rPr>
              <w:t>职  称</w:t>
            </w:r>
          </w:p>
        </w:tc>
        <w:tc>
          <w:tcPr>
            <w:tcW w:w="1079" w:type="dxa"/>
            <w:gridSpan w:val="2"/>
            <w:noWrap w:val="0"/>
            <w:vAlign w:val="center"/>
          </w:tcPr>
          <w:p w14:paraId="1CE77548">
            <w:pPr>
              <w:spacing w:line="360" w:lineRule="auto"/>
              <w:jc w:val="center"/>
              <w:rPr>
                <w:color w:val="auto"/>
                <w:sz w:val="24"/>
              </w:rPr>
            </w:pPr>
          </w:p>
        </w:tc>
        <w:tc>
          <w:tcPr>
            <w:tcW w:w="927" w:type="dxa"/>
            <w:noWrap w:val="0"/>
            <w:vAlign w:val="center"/>
          </w:tcPr>
          <w:p w14:paraId="4CE581CB">
            <w:pPr>
              <w:spacing w:line="360" w:lineRule="auto"/>
              <w:jc w:val="center"/>
              <w:rPr>
                <w:color w:val="auto"/>
                <w:sz w:val="24"/>
              </w:rPr>
            </w:pPr>
            <w:r>
              <w:rPr>
                <w:rFonts w:hint="eastAsia"/>
                <w:color w:val="auto"/>
                <w:sz w:val="24"/>
              </w:rPr>
              <w:t>职 务</w:t>
            </w:r>
          </w:p>
        </w:tc>
        <w:tc>
          <w:tcPr>
            <w:tcW w:w="1065" w:type="dxa"/>
            <w:noWrap w:val="0"/>
            <w:vAlign w:val="center"/>
          </w:tcPr>
          <w:p w14:paraId="6DF89592">
            <w:pPr>
              <w:spacing w:line="360" w:lineRule="auto"/>
              <w:jc w:val="center"/>
              <w:rPr>
                <w:color w:val="auto"/>
                <w:sz w:val="24"/>
              </w:rPr>
            </w:pPr>
          </w:p>
        </w:tc>
        <w:tc>
          <w:tcPr>
            <w:tcW w:w="2130" w:type="dxa"/>
            <w:gridSpan w:val="3"/>
            <w:noWrap w:val="0"/>
            <w:vAlign w:val="center"/>
          </w:tcPr>
          <w:p w14:paraId="7970EE31">
            <w:pPr>
              <w:spacing w:line="360" w:lineRule="auto"/>
              <w:jc w:val="center"/>
              <w:rPr>
                <w:color w:val="auto"/>
                <w:sz w:val="24"/>
              </w:rPr>
            </w:pPr>
            <w:r>
              <w:rPr>
                <w:rFonts w:hint="eastAsia"/>
                <w:color w:val="auto"/>
                <w:sz w:val="24"/>
              </w:rPr>
              <w:t>学历</w:t>
            </w:r>
          </w:p>
        </w:tc>
        <w:tc>
          <w:tcPr>
            <w:tcW w:w="2415" w:type="dxa"/>
            <w:noWrap w:val="0"/>
            <w:vAlign w:val="center"/>
          </w:tcPr>
          <w:p w14:paraId="707FE1AC">
            <w:pPr>
              <w:spacing w:line="360" w:lineRule="auto"/>
              <w:jc w:val="center"/>
              <w:rPr>
                <w:color w:val="auto"/>
                <w:sz w:val="24"/>
              </w:rPr>
            </w:pPr>
          </w:p>
        </w:tc>
      </w:tr>
      <w:tr w14:paraId="4569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1" w:type="dxa"/>
            <w:noWrap w:val="0"/>
            <w:vAlign w:val="center"/>
          </w:tcPr>
          <w:p w14:paraId="327A11CC">
            <w:pPr>
              <w:spacing w:line="360" w:lineRule="auto"/>
              <w:jc w:val="center"/>
              <w:rPr>
                <w:color w:val="auto"/>
                <w:sz w:val="24"/>
              </w:rPr>
            </w:pPr>
            <w:r>
              <w:rPr>
                <w:rFonts w:hint="eastAsia"/>
                <w:color w:val="auto"/>
                <w:sz w:val="24"/>
              </w:rPr>
              <w:t>专业</w:t>
            </w:r>
          </w:p>
        </w:tc>
        <w:tc>
          <w:tcPr>
            <w:tcW w:w="2006" w:type="dxa"/>
            <w:gridSpan w:val="3"/>
            <w:noWrap w:val="0"/>
            <w:vAlign w:val="center"/>
          </w:tcPr>
          <w:p w14:paraId="07426A1A">
            <w:pPr>
              <w:spacing w:line="360" w:lineRule="auto"/>
              <w:jc w:val="center"/>
              <w:rPr>
                <w:color w:val="auto"/>
                <w:sz w:val="24"/>
              </w:rPr>
            </w:pPr>
          </w:p>
        </w:tc>
        <w:tc>
          <w:tcPr>
            <w:tcW w:w="3195" w:type="dxa"/>
            <w:gridSpan w:val="4"/>
            <w:noWrap w:val="0"/>
            <w:vAlign w:val="center"/>
          </w:tcPr>
          <w:p w14:paraId="57A527FF">
            <w:pPr>
              <w:spacing w:line="360" w:lineRule="auto"/>
              <w:jc w:val="center"/>
              <w:rPr>
                <w:color w:val="auto"/>
                <w:sz w:val="24"/>
              </w:rPr>
            </w:pPr>
            <w:r>
              <w:rPr>
                <w:rFonts w:hint="eastAsia"/>
                <w:color w:val="auto"/>
                <w:sz w:val="24"/>
              </w:rPr>
              <w:t>从事项目年限</w:t>
            </w:r>
          </w:p>
        </w:tc>
        <w:tc>
          <w:tcPr>
            <w:tcW w:w="2415" w:type="dxa"/>
            <w:noWrap w:val="0"/>
            <w:vAlign w:val="center"/>
          </w:tcPr>
          <w:p w14:paraId="439DF8BC">
            <w:pPr>
              <w:spacing w:line="360" w:lineRule="auto"/>
              <w:jc w:val="center"/>
              <w:rPr>
                <w:color w:val="auto"/>
                <w:sz w:val="24"/>
              </w:rPr>
            </w:pPr>
          </w:p>
        </w:tc>
      </w:tr>
      <w:tr w14:paraId="1B4C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1" w:type="dxa"/>
            <w:noWrap w:val="0"/>
            <w:vAlign w:val="center"/>
          </w:tcPr>
          <w:p w14:paraId="11D2AF4C">
            <w:pPr>
              <w:spacing w:line="360" w:lineRule="auto"/>
              <w:jc w:val="center"/>
              <w:rPr>
                <w:rFonts w:hint="eastAsia"/>
                <w:color w:val="auto"/>
                <w:sz w:val="24"/>
              </w:rPr>
            </w:pPr>
            <w:r>
              <w:rPr>
                <w:rFonts w:hint="eastAsia"/>
                <w:color w:val="auto"/>
                <w:sz w:val="24"/>
              </w:rPr>
              <w:t>参加工作</w:t>
            </w:r>
          </w:p>
          <w:p w14:paraId="476BC205">
            <w:pPr>
              <w:spacing w:line="360" w:lineRule="auto"/>
              <w:jc w:val="center"/>
              <w:rPr>
                <w:color w:val="auto"/>
                <w:sz w:val="24"/>
              </w:rPr>
            </w:pPr>
            <w:r>
              <w:rPr>
                <w:rFonts w:hint="eastAsia"/>
                <w:color w:val="auto"/>
                <w:sz w:val="24"/>
              </w:rPr>
              <w:t>时间</w:t>
            </w:r>
          </w:p>
        </w:tc>
        <w:tc>
          <w:tcPr>
            <w:tcW w:w="1079" w:type="dxa"/>
            <w:gridSpan w:val="2"/>
            <w:noWrap w:val="0"/>
            <w:vAlign w:val="center"/>
          </w:tcPr>
          <w:p w14:paraId="6373DE50">
            <w:pPr>
              <w:spacing w:line="360" w:lineRule="auto"/>
              <w:jc w:val="center"/>
              <w:rPr>
                <w:color w:val="auto"/>
                <w:sz w:val="24"/>
              </w:rPr>
            </w:pPr>
          </w:p>
        </w:tc>
        <w:tc>
          <w:tcPr>
            <w:tcW w:w="927" w:type="dxa"/>
            <w:noWrap w:val="0"/>
            <w:vAlign w:val="center"/>
          </w:tcPr>
          <w:p w14:paraId="7CA69750">
            <w:pPr>
              <w:spacing w:line="360" w:lineRule="auto"/>
              <w:jc w:val="center"/>
              <w:rPr>
                <w:color w:val="auto"/>
                <w:sz w:val="24"/>
              </w:rPr>
            </w:pPr>
            <w:r>
              <w:rPr>
                <w:rFonts w:hint="eastAsia"/>
                <w:color w:val="auto"/>
                <w:sz w:val="24"/>
              </w:rPr>
              <w:t>注册证号</w:t>
            </w:r>
          </w:p>
        </w:tc>
        <w:tc>
          <w:tcPr>
            <w:tcW w:w="1065" w:type="dxa"/>
            <w:noWrap w:val="0"/>
            <w:vAlign w:val="center"/>
          </w:tcPr>
          <w:p w14:paraId="29D7CB4A">
            <w:pPr>
              <w:spacing w:line="360" w:lineRule="auto"/>
              <w:jc w:val="center"/>
              <w:rPr>
                <w:color w:val="auto"/>
                <w:sz w:val="24"/>
              </w:rPr>
            </w:pPr>
          </w:p>
        </w:tc>
        <w:tc>
          <w:tcPr>
            <w:tcW w:w="2130" w:type="dxa"/>
            <w:gridSpan w:val="3"/>
            <w:noWrap w:val="0"/>
            <w:vAlign w:val="center"/>
          </w:tcPr>
          <w:p w14:paraId="69F1BEEF">
            <w:pPr>
              <w:spacing w:line="360" w:lineRule="auto"/>
              <w:jc w:val="center"/>
              <w:rPr>
                <w:color w:val="auto"/>
                <w:sz w:val="24"/>
              </w:rPr>
            </w:pPr>
            <w:r>
              <w:rPr>
                <w:rFonts w:hint="eastAsia"/>
                <w:color w:val="auto"/>
                <w:sz w:val="24"/>
              </w:rPr>
              <w:t>注册时间</w:t>
            </w:r>
          </w:p>
        </w:tc>
        <w:tc>
          <w:tcPr>
            <w:tcW w:w="2415" w:type="dxa"/>
            <w:noWrap w:val="0"/>
            <w:vAlign w:val="center"/>
          </w:tcPr>
          <w:p w14:paraId="0F87244E">
            <w:pPr>
              <w:spacing w:line="360" w:lineRule="auto"/>
              <w:jc w:val="center"/>
              <w:rPr>
                <w:color w:val="auto"/>
                <w:sz w:val="24"/>
              </w:rPr>
            </w:pPr>
          </w:p>
        </w:tc>
      </w:tr>
      <w:tr w14:paraId="50325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9"/>
            <w:noWrap w:val="0"/>
            <w:vAlign w:val="bottom"/>
          </w:tcPr>
          <w:p w14:paraId="57C410D1">
            <w:pPr>
              <w:spacing w:line="360" w:lineRule="auto"/>
              <w:jc w:val="center"/>
              <w:rPr>
                <w:color w:val="auto"/>
                <w:sz w:val="24"/>
              </w:rPr>
            </w:pPr>
            <w:r>
              <w:rPr>
                <w:rFonts w:hint="eastAsia" w:ascii="宋体" w:hAnsi="宋体" w:cs="宋体"/>
                <w:color w:val="auto"/>
                <w:sz w:val="24"/>
              </w:rPr>
              <w:t>近三年已完</w:t>
            </w:r>
            <w:r>
              <w:rPr>
                <w:rFonts w:hint="eastAsia" w:ascii="宋体" w:hAnsi="宋体" w:cs="宋体"/>
                <w:color w:val="auto"/>
                <w:sz w:val="24"/>
                <w:lang w:eastAsia="zh-CN"/>
              </w:rPr>
              <w:t>成</w:t>
            </w:r>
            <w:r>
              <w:rPr>
                <w:rFonts w:hint="eastAsia" w:ascii="宋体" w:hAnsi="宋体" w:cs="宋体"/>
                <w:color w:val="auto"/>
                <w:sz w:val="24"/>
              </w:rPr>
              <w:t>同类项目情况</w:t>
            </w:r>
          </w:p>
        </w:tc>
      </w:tr>
      <w:tr w14:paraId="04C2C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20" w:type="dxa"/>
            <w:gridSpan w:val="2"/>
            <w:noWrap w:val="0"/>
            <w:vAlign w:val="center"/>
          </w:tcPr>
          <w:p w14:paraId="059EBF24">
            <w:pPr>
              <w:spacing w:line="360" w:lineRule="auto"/>
              <w:jc w:val="center"/>
              <w:rPr>
                <w:color w:val="auto"/>
                <w:sz w:val="24"/>
              </w:rPr>
            </w:pPr>
            <w:r>
              <w:rPr>
                <w:rFonts w:hint="eastAsia" w:ascii="宋体" w:hAnsi="宋体" w:cs="宋体"/>
                <w:color w:val="auto"/>
                <w:sz w:val="24"/>
              </w:rPr>
              <w:t>项目名称</w:t>
            </w:r>
          </w:p>
        </w:tc>
        <w:tc>
          <w:tcPr>
            <w:tcW w:w="3420" w:type="dxa"/>
            <w:gridSpan w:val="4"/>
            <w:noWrap w:val="0"/>
            <w:vAlign w:val="center"/>
          </w:tcPr>
          <w:p w14:paraId="001F74BB">
            <w:pPr>
              <w:spacing w:line="360" w:lineRule="auto"/>
              <w:jc w:val="center"/>
              <w:rPr>
                <w:color w:val="auto"/>
                <w:sz w:val="24"/>
              </w:rPr>
            </w:pPr>
            <w:r>
              <w:rPr>
                <w:rFonts w:hint="eastAsia" w:ascii="宋体" w:hAnsi="宋体" w:cs="宋体"/>
                <w:color w:val="auto"/>
                <w:sz w:val="24"/>
              </w:rPr>
              <w:t>项目内容</w:t>
            </w:r>
          </w:p>
        </w:tc>
        <w:tc>
          <w:tcPr>
            <w:tcW w:w="1261" w:type="dxa"/>
            <w:noWrap w:val="0"/>
            <w:vAlign w:val="center"/>
          </w:tcPr>
          <w:p w14:paraId="0AE926F4">
            <w:pPr>
              <w:spacing w:line="360" w:lineRule="auto"/>
              <w:jc w:val="center"/>
              <w:rPr>
                <w:color w:val="auto"/>
                <w:sz w:val="24"/>
              </w:rPr>
            </w:pPr>
            <w:r>
              <w:rPr>
                <w:rFonts w:hint="eastAsia" w:ascii="宋体" w:hAnsi="宋体" w:cs="宋体"/>
                <w:color w:val="auto"/>
                <w:sz w:val="24"/>
              </w:rPr>
              <w:t>完成时间</w:t>
            </w:r>
          </w:p>
        </w:tc>
        <w:tc>
          <w:tcPr>
            <w:tcW w:w="2576" w:type="dxa"/>
            <w:gridSpan w:val="2"/>
            <w:noWrap w:val="0"/>
            <w:vAlign w:val="center"/>
          </w:tcPr>
          <w:p w14:paraId="04AD0D2B">
            <w:pPr>
              <w:spacing w:line="360" w:lineRule="auto"/>
              <w:jc w:val="center"/>
              <w:rPr>
                <w:color w:val="auto"/>
                <w:sz w:val="24"/>
              </w:rPr>
            </w:pPr>
            <w:r>
              <w:rPr>
                <w:rFonts w:hint="eastAsia"/>
                <w:color w:val="auto"/>
                <w:sz w:val="24"/>
              </w:rPr>
              <w:t>发包人及联系电话</w:t>
            </w:r>
          </w:p>
        </w:tc>
      </w:tr>
      <w:tr w14:paraId="307A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820" w:type="dxa"/>
            <w:gridSpan w:val="2"/>
            <w:noWrap w:val="0"/>
            <w:vAlign w:val="top"/>
          </w:tcPr>
          <w:p w14:paraId="177DF76C">
            <w:pPr>
              <w:spacing w:line="360" w:lineRule="auto"/>
              <w:rPr>
                <w:color w:val="auto"/>
                <w:sz w:val="24"/>
              </w:rPr>
            </w:pPr>
          </w:p>
        </w:tc>
        <w:tc>
          <w:tcPr>
            <w:tcW w:w="3420" w:type="dxa"/>
            <w:gridSpan w:val="4"/>
            <w:noWrap w:val="0"/>
            <w:vAlign w:val="top"/>
          </w:tcPr>
          <w:p w14:paraId="5DD3F021">
            <w:pPr>
              <w:spacing w:line="360" w:lineRule="auto"/>
              <w:rPr>
                <w:color w:val="auto"/>
                <w:sz w:val="24"/>
              </w:rPr>
            </w:pPr>
          </w:p>
        </w:tc>
        <w:tc>
          <w:tcPr>
            <w:tcW w:w="1261" w:type="dxa"/>
            <w:noWrap w:val="0"/>
            <w:vAlign w:val="top"/>
          </w:tcPr>
          <w:p w14:paraId="5CBD9652">
            <w:pPr>
              <w:spacing w:line="360" w:lineRule="auto"/>
              <w:rPr>
                <w:color w:val="auto"/>
                <w:sz w:val="24"/>
              </w:rPr>
            </w:pPr>
          </w:p>
        </w:tc>
        <w:tc>
          <w:tcPr>
            <w:tcW w:w="2576" w:type="dxa"/>
            <w:gridSpan w:val="2"/>
            <w:noWrap w:val="0"/>
            <w:vAlign w:val="top"/>
          </w:tcPr>
          <w:p w14:paraId="456FFBDA">
            <w:pPr>
              <w:spacing w:line="360" w:lineRule="auto"/>
              <w:rPr>
                <w:color w:val="auto"/>
                <w:sz w:val="24"/>
              </w:rPr>
            </w:pPr>
          </w:p>
        </w:tc>
      </w:tr>
      <w:tr w14:paraId="4DE63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70C52643">
            <w:pPr>
              <w:spacing w:line="440" w:lineRule="exact"/>
              <w:rPr>
                <w:rFonts w:ascii="宋体" w:hAnsi="宋体" w:cs="宋体"/>
                <w:color w:val="auto"/>
                <w:szCs w:val="21"/>
              </w:rPr>
            </w:pPr>
          </w:p>
        </w:tc>
        <w:tc>
          <w:tcPr>
            <w:tcW w:w="3420" w:type="dxa"/>
            <w:gridSpan w:val="4"/>
            <w:noWrap w:val="0"/>
            <w:vAlign w:val="top"/>
          </w:tcPr>
          <w:p w14:paraId="2849484B">
            <w:pPr>
              <w:spacing w:line="440" w:lineRule="exact"/>
              <w:rPr>
                <w:rFonts w:ascii="宋体" w:hAnsi="宋体" w:cs="宋体"/>
                <w:color w:val="auto"/>
                <w:szCs w:val="21"/>
              </w:rPr>
            </w:pPr>
          </w:p>
        </w:tc>
        <w:tc>
          <w:tcPr>
            <w:tcW w:w="1261" w:type="dxa"/>
            <w:noWrap w:val="0"/>
            <w:vAlign w:val="top"/>
          </w:tcPr>
          <w:p w14:paraId="507AAC2B">
            <w:pPr>
              <w:spacing w:line="440" w:lineRule="exact"/>
              <w:rPr>
                <w:rFonts w:ascii="宋体" w:hAnsi="宋体" w:cs="宋体"/>
                <w:color w:val="auto"/>
                <w:szCs w:val="21"/>
              </w:rPr>
            </w:pPr>
          </w:p>
        </w:tc>
        <w:tc>
          <w:tcPr>
            <w:tcW w:w="2576" w:type="dxa"/>
            <w:gridSpan w:val="2"/>
            <w:noWrap w:val="0"/>
            <w:vAlign w:val="top"/>
          </w:tcPr>
          <w:p w14:paraId="45736F8A">
            <w:pPr>
              <w:spacing w:line="440" w:lineRule="exact"/>
              <w:rPr>
                <w:rFonts w:ascii="宋体" w:hAnsi="宋体" w:cs="宋体"/>
                <w:color w:val="auto"/>
                <w:szCs w:val="21"/>
              </w:rPr>
            </w:pPr>
          </w:p>
        </w:tc>
      </w:tr>
      <w:tr w14:paraId="16AAA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7D738B7F">
            <w:pPr>
              <w:spacing w:line="440" w:lineRule="exact"/>
              <w:rPr>
                <w:rFonts w:ascii="宋体" w:hAnsi="宋体" w:cs="宋体"/>
                <w:color w:val="auto"/>
                <w:szCs w:val="21"/>
              </w:rPr>
            </w:pPr>
          </w:p>
          <w:p w14:paraId="111A637B">
            <w:pPr>
              <w:spacing w:line="440" w:lineRule="exact"/>
              <w:rPr>
                <w:rFonts w:ascii="宋体" w:hAnsi="宋体" w:cs="宋体"/>
                <w:color w:val="auto"/>
                <w:szCs w:val="21"/>
              </w:rPr>
            </w:pPr>
          </w:p>
        </w:tc>
        <w:tc>
          <w:tcPr>
            <w:tcW w:w="3420" w:type="dxa"/>
            <w:gridSpan w:val="4"/>
            <w:noWrap w:val="0"/>
            <w:vAlign w:val="top"/>
          </w:tcPr>
          <w:p w14:paraId="5B138CB3">
            <w:pPr>
              <w:spacing w:line="440" w:lineRule="exact"/>
              <w:rPr>
                <w:rFonts w:ascii="宋体" w:hAnsi="宋体" w:cs="宋体"/>
                <w:color w:val="auto"/>
                <w:szCs w:val="21"/>
              </w:rPr>
            </w:pPr>
          </w:p>
        </w:tc>
        <w:tc>
          <w:tcPr>
            <w:tcW w:w="1261" w:type="dxa"/>
            <w:noWrap w:val="0"/>
            <w:vAlign w:val="top"/>
          </w:tcPr>
          <w:p w14:paraId="62ECC7E7">
            <w:pPr>
              <w:spacing w:line="440" w:lineRule="exact"/>
              <w:rPr>
                <w:rFonts w:ascii="宋体" w:hAnsi="宋体" w:cs="宋体"/>
                <w:color w:val="auto"/>
                <w:szCs w:val="21"/>
              </w:rPr>
            </w:pPr>
          </w:p>
        </w:tc>
        <w:tc>
          <w:tcPr>
            <w:tcW w:w="2576" w:type="dxa"/>
            <w:gridSpan w:val="2"/>
            <w:noWrap w:val="0"/>
            <w:vAlign w:val="top"/>
          </w:tcPr>
          <w:p w14:paraId="531A7018">
            <w:pPr>
              <w:spacing w:line="440" w:lineRule="exact"/>
              <w:rPr>
                <w:rFonts w:ascii="宋体" w:hAnsi="宋体" w:cs="宋体"/>
                <w:color w:val="auto"/>
                <w:szCs w:val="21"/>
              </w:rPr>
            </w:pPr>
          </w:p>
        </w:tc>
      </w:tr>
      <w:tr w14:paraId="7859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252A7954">
            <w:pPr>
              <w:spacing w:line="440" w:lineRule="exact"/>
              <w:rPr>
                <w:rFonts w:ascii="宋体" w:hAnsi="宋体" w:cs="宋体"/>
                <w:color w:val="auto"/>
                <w:szCs w:val="21"/>
              </w:rPr>
            </w:pPr>
          </w:p>
        </w:tc>
        <w:tc>
          <w:tcPr>
            <w:tcW w:w="3420" w:type="dxa"/>
            <w:gridSpan w:val="4"/>
            <w:noWrap w:val="0"/>
            <w:vAlign w:val="top"/>
          </w:tcPr>
          <w:p w14:paraId="2F0D19EA">
            <w:pPr>
              <w:spacing w:line="440" w:lineRule="exact"/>
              <w:rPr>
                <w:rFonts w:ascii="宋体" w:hAnsi="宋体" w:cs="宋体"/>
                <w:color w:val="auto"/>
                <w:szCs w:val="21"/>
              </w:rPr>
            </w:pPr>
          </w:p>
        </w:tc>
        <w:tc>
          <w:tcPr>
            <w:tcW w:w="1261" w:type="dxa"/>
            <w:noWrap w:val="0"/>
            <w:vAlign w:val="top"/>
          </w:tcPr>
          <w:p w14:paraId="68808319">
            <w:pPr>
              <w:spacing w:line="440" w:lineRule="exact"/>
              <w:rPr>
                <w:rFonts w:ascii="宋体" w:hAnsi="宋体" w:cs="宋体"/>
                <w:color w:val="auto"/>
                <w:szCs w:val="21"/>
              </w:rPr>
            </w:pPr>
          </w:p>
        </w:tc>
        <w:tc>
          <w:tcPr>
            <w:tcW w:w="2576" w:type="dxa"/>
            <w:gridSpan w:val="2"/>
            <w:noWrap w:val="0"/>
            <w:vAlign w:val="top"/>
          </w:tcPr>
          <w:p w14:paraId="19779AE1">
            <w:pPr>
              <w:spacing w:line="440" w:lineRule="exact"/>
              <w:rPr>
                <w:rFonts w:ascii="宋体" w:hAnsi="宋体" w:cs="宋体"/>
                <w:color w:val="auto"/>
                <w:szCs w:val="21"/>
              </w:rPr>
            </w:pPr>
          </w:p>
        </w:tc>
      </w:tr>
      <w:tr w14:paraId="52F95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557664B4">
            <w:pPr>
              <w:spacing w:line="440" w:lineRule="exact"/>
              <w:rPr>
                <w:rFonts w:ascii="宋体" w:hAnsi="宋体" w:cs="宋体"/>
                <w:color w:val="auto"/>
                <w:szCs w:val="21"/>
              </w:rPr>
            </w:pPr>
          </w:p>
        </w:tc>
        <w:tc>
          <w:tcPr>
            <w:tcW w:w="3420" w:type="dxa"/>
            <w:gridSpan w:val="4"/>
            <w:noWrap w:val="0"/>
            <w:vAlign w:val="top"/>
          </w:tcPr>
          <w:p w14:paraId="0319B38D">
            <w:pPr>
              <w:spacing w:line="440" w:lineRule="exact"/>
              <w:rPr>
                <w:rFonts w:ascii="宋体" w:hAnsi="宋体" w:cs="宋体"/>
                <w:color w:val="auto"/>
                <w:szCs w:val="21"/>
              </w:rPr>
            </w:pPr>
          </w:p>
        </w:tc>
        <w:tc>
          <w:tcPr>
            <w:tcW w:w="1261" w:type="dxa"/>
            <w:noWrap w:val="0"/>
            <w:vAlign w:val="top"/>
          </w:tcPr>
          <w:p w14:paraId="394AA6BE">
            <w:pPr>
              <w:spacing w:line="440" w:lineRule="exact"/>
              <w:rPr>
                <w:rFonts w:ascii="宋体" w:hAnsi="宋体" w:cs="宋体"/>
                <w:color w:val="auto"/>
                <w:szCs w:val="21"/>
              </w:rPr>
            </w:pPr>
          </w:p>
        </w:tc>
        <w:tc>
          <w:tcPr>
            <w:tcW w:w="2576" w:type="dxa"/>
            <w:gridSpan w:val="2"/>
            <w:noWrap w:val="0"/>
            <w:vAlign w:val="top"/>
          </w:tcPr>
          <w:p w14:paraId="246AD042">
            <w:pPr>
              <w:spacing w:line="440" w:lineRule="exact"/>
              <w:rPr>
                <w:rFonts w:ascii="宋体" w:hAnsi="宋体" w:cs="宋体"/>
                <w:color w:val="auto"/>
                <w:szCs w:val="21"/>
              </w:rPr>
            </w:pPr>
          </w:p>
        </w:tc>
      </w:tr>
      <w:tr w14:paraId="710C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1259F56F">
            <w:pPr>
              <w:spacing w:line="440" w:lineRule="exact"/>
              <w:rPr>
                <w:rFonts w:ascii="宋体" w:hAnsi="宋体" w:cs="宋体"/>
                <w:color w:val="auto"/>
                <w:szCs w:val="21"/>
              </w:rPr>
            </w:pPr>
          </w:p>
        </w:tc>
        <w:tc>
          <w:tcPr>
            <w:tcW w:w="3420" w:type="dxa"/>
            <w:gridSpan w:val="4"/>
            <w:noWrap w:val="0"/>
            <w:vAlign w:val="top"/>
          </w:tcPr>
          <w:p w14:paraId="0B113AFD">
            <w:pPr>
              <w:spacing w:line="440" w:lineRule="exact"/>
              <w:rPr>
                <w:rFonts w:ascii="宋体" w:hAnsi="宋体" w:cs="宋体"/>
                <w:color w:val="auto"/>
                <w:szCs w:val="21"/>
              </w:rPr>
            </w:pPr>
          </w:p>
        </w:tc>
        <w:tc>
          <w:tcPr>
            <w:tcW w:w="1261" w:type="dxa"/>
            <w:noWrap w:val="0"/>
            <w:vAlign w:val="top"/>
          </w:tcPr>
          <w:p w14:paraId="7344879E">
            <w:pPr>
              <w:spacing w:line="440" w:lineRule="exact"/>
              <w:rPr>
                <w:rFonts w:ascii="宋体" w:hAnsi="宋体" w:cs="宋体"/>
                <w:color w:val="auto"/>
                <w:szCs w:val="21"/>
              </w:rPr>
            </w:pPr>
          </w:p>
        </w:tc>
        <w:tc>
          <w:tcPr>
            <w:tcW w:w="2576" w:type="dxa"/>
            <w:gridSpan w:val="2"/>
            <w:noWrap w:val="0"/>
            <w:vAlign w:val="top"/>
          </w:tcPr>
          <w:p w14:paraId="35D1F5B7">
            <w:pPr>
              <w:spacing w:line="440" w:lineRule="exact"/>
              <w:rPr>
                <w:rFonts w:ascii="宋体" w:hAnsi="宋体" w:cs="宋体"/>
                <w:color w:val="auto"/>
                <w:szCs w:val="21"/>
              </w:rPr>
            </w:pPr>
          </w:p>
        </w:tc>
      </w:tr>
      <w:tr w14:paraId="0C24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6257EC4F">
            <w:pPr>
              <w:spacing w:line="440" w:lineRule="exact"/>
              <w:rPr>
                <w:rFonts w:ascii="宋体" w:hAnsi="宋体" w:cs="宋体"/>
                <w:color w:val="auto"/>
                <w:szCs w:val="21"/>
              </w:rPr>
            </w:pPr>
          </w:p>
        </w:tc>
        <w:tc>
          <w:tcPr>
            <w:tcW w:w="3420" w:type="dxa"/>
            <w:gridSpan w:val="4"/>
            <w:noWrap w:val="0"/>
            <w:vAlign w:val="top"/>
          </w:tcPr>
          <w:p w14:paraId="0B0C4E60">
            <w:pPr>
              <w:spacing w:line="440" w:lineRule="exact"/>
              <w:rPr>
                <w:rFonts w:ascii="宋体" w:hAnsi="宋体" w:cs="宋体"/>
                <w:color w:val="auto"/>
                <w:szCs w:val="21"/>
              </w:rPr>
            </w:pPr>
          </w:p>
        </w:tc>
        <w:tc>
          <w:tcPr>
            <w:tcW w:w="1261" w:type="dxa"/>
            <w:noWrap w:val="0"/>
            <w:vAlign w:val="top"/>
          </w:tcPr>
          <w:p w14:paraId="3A94FF8F">
            <w:pPr>
              <w:spacing w:line="440" w:lineRule="exact"/>
              <w:rPr>
                <w:rFonts w:ascii="宋体" w:hAnsi="宋体" w:cs="宋体"/>
                <w:color w:val="auto"/>
                <w:szCs w:val="21"/>
              </w:rPr>
            </w:pPr>
          </w:p>
        </w:tc>
        <w:tc>
          <w:tcPr>
            <w:tcW w:w="2576" w:type="dxa"/>
            <w:gridSpan w:val="2"/>
            <w:noWrap w:val="0"/>
            <w:vAlign w:val="top"/>
          </w:tcPr>
          <w:p w14:paraId="4A9092C2">
            <w:pPr>
              <w:spacing w:line="440" w:lineRule="exact"/>
              <w:rPr>
                <w:rFonts w:ascii="宋体" w:hAnsi="宋体" w:cs="宋体"/>
                <w:color w:val="auto"/>
                <w:szCs w:val="21"/>
              </w:rPr>
            </w:pPr>
          </w:p>
        </w:tc>
      </w:tr>
      <w:tr w14:paraId="7E60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1E0BBD8E">
            <w:pPr>
              <w:spacing w:line="440" w:lineRule="exact"/>
              <w:rPr>
                <w:rFonts w:ascii="宋体" w:hAnsi="宋体" w:cs="宋体"/>
                <w:color w:val="auto"/>
                <w:szCs w:val="21"/>
              </w:rPr>
            </w:pPr>
          </w:p>
        </w:tc>
        <w:tc>
          <w:tcPr>
            <w:tcW w:w="3420" w:type="dxa"/>
            <w:gridSpan w:val="4"/>
            <w:noWrap w:val="0"/>
            <w:vAlign w:val="top"/>
          </w:tcPr>
          <w:p w14:paraId="44555293">
            <w:pPr>
              <w:spacing w:line="440" w:lineRule="exact"/>
              <w:rPr>
                <w:rFonts w:ascii="宋体" w:hAnsi="宋体" w:cs="宋体"/>
                <w:color w:val="auto"/>
                <w:szCs w:val="21"/>
              </w:rPr>
            </w:pPr>
          </w:p>
        </w:tc>
        <w:tc>
          <w:tcPr>
            <w:tcW w:w="1261" w:type="dxa"/>
            <w:noWrap w:val="0"/>
            <w:vAlign w:val="top"/>
          </w:tcPr>
          <w:p w14:paraId="6C9734BB">
            <w:pPr>
              <w:spacing w:line="440" w:lineRule="exact"/>
              <w:rPr>
                <w:rFonts w:ascii="宋体" w:hAnsi="宋体" w:cs="宋体"/>
                <w:color w:val="auto"/>
                <w:szCs w:val="21"/>
              </w:rPr>
            </w:pPr>
          </w:p>
        </w:tc>
        <w:tc>
          <w:tcPr>
            <w:tcW w:w="2576" w:type="dxa"/>
            <w:gridSpan w:val="2"/>
            <w:noWrap w:val="0"/>
            <w:vAlign w:val="top"/>
          </w:tcPr>
          <w:p w14:paraId="7D0C1B47">
            <w:pPr>
              <w:spacing w:line="440" w:lineRule="exact"/>
              <w:rPr>
                <w:rFonts w:ascii="宋体" w:hAnsi="宋体" w:cs="宋体"/>
                <w:color w:val="auto"/>
                <w:szCs w:val="21"/>
              </w:rPr>
            </w:pPr>
          </w:p>
        </w:tc>
      </w:tr>
      <w:tr w14:paraId="7435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7C820717">
            <w:pPr>
              <w:spacing w:line="440" w:lineRule="exact"/>
              <w:rPr>
                <w:rFonts w:ascii="宋体" w:hAnsi="宋体" w:cs="宋体"/>
                <w:color w:val="auto"/>
                <w:szCs w:val="21"/>
              </w:rPr>
            </w:pPr>
          </w:p>
        </w:tc>
        <w:tc>
          <w:tcPr>
            <w:tcW w:w="3420" w:type="dxa"/>
            <w:gridSpan w:val="4"/>
            <w:noWrap w:val="0"/>
            <w:vAlign w:val="top"/>
          </w:tcPr>
          <w:p w14:paraId="4F79F1A9">
            <w:pPr>
              <w:spacing w:line="440" w:lineRule="exact"/>
              <w:rPr>
                <w:rFonts w:ascii="宋体" w:hAnsi="宋体" w:cs="宋体"/>
                <w:color w:val="auto"/>
                <w:szCs w:val="21"/>
              </w:rPr>
            </w:pPr>
          </w:p>
        </w:tc>
        <w:tc>
          <w:tcPr>
            <w:tcW w:w="1261" w:type="dxa"/>
            <w:noWrap w:val="0"/>
            <w:vAlign w:val="top"/>
          </w:tcPr>
          <w:p w14:paraId="62103495">
            <w:pPr>
              <w:spacing w:line="440" w:lineRule="exact"/>
              <w:rPr>
                <w:rFonts w:ascii="宋体" w:hAnsi="宋体" w:cs="宋体"/>
                <w:color w:val="auto"/>
                <w:szCs w:val="21"/>
              </w:rPr>
            </w:pPr>
          </w:p>
        </w:tc>
        <w:tc>
          <w:tcPr>
            <w:tcW w:w="2576" w:type="dxa"/>
            <w:gridSpan w:val="2"/>
            <w:noWrap w:val="0"/>
            <w:vAlign w:val="top"/>
          </w:tcPr>
          <w:p w14:paraId="70C1AED0">
            <w:pPr>
              <w:spacing w:line="440" w:lineRule="exact"/>
              <w:rPr>
                <w:rFonts w:ascii="宋体" w:hAnsi="宋体" w:cs="宋体"/>
                <w:color w:val="auto"/>
                <w:szCs w:val="21"/>
              </w:rPr>
            </w:pPr>
          </w:p>
        </w:tc>
      </w:tr>
      <w:tr w14:paraId="567DE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509AEBCF">
            <w:pPr>
              <w:spacing w:line="440" w:lineRule="exact"/>
              <w:rPr>
                <w:rFonts w:ascii="宋体" w:hAnsi="宋体" w:cs="宋体"/>
                <w:color w:val="auto"/>
                <w:szCs w:val="21"/>
              </w:rPr>
            </w:pPr>
          </w:p>
        </w:tc>
        <w:tc>
          <w:tcPr>
            <w:tcW w:w="3420" w:type="dxa"/>
            <w:gridSpan w:val="4"/>
            <w:noWrap w:val="0"/>
            <w:vAlign w:val="top"/>
          </w:tcPr>
          <w:p w14:paraId="6B8639ED">
            <w:pPr>
              <w:spacing w:line="440" w:lineRule="exact"/>
              <w:rPr>
                <w:rFonts w:ascii="宋体" w:hAnsi="宋体" w:cs="宋体"/>
                <w:color w:val="auto"/>
                <w:szCs w:val="21"/>
              </w:rPr>
            </w:pPr>
          </w:p>
        </w:tc>
        <w:tc>
          <w:tcPr>
            <w:tcW w:w="1261" w:type="dxa"/>
            <w:noWrap w:val="0"/>
            <w:vAlign w:val="top"/>
          </w:tcPr>
          <w:p w14:paraId="1C56DA8E">
            <w:pPr>
              <w:spacing w:line="440" w:lineRule="exact"/>
              <w:rPr>
                <w:rFonts w:ascii="宋体" w:hAnsi="宋体" w:cs="宋体"/>
                <w:color w:val="auto"/>
                <w:szCs w:val="21"/>
              </w:rPr>
            </w:pPr>
          </w:p>
        </w:tc>
        <w:tc>
          <w:tcPr>
            <w:tcW w:w="2576" w:type="dxa"/>
            <w:gridSpan w:val="2"/>
            <w:noWrap w:val="0"/>
            <w:vAlign w:val="top"/>
          </w:tcPr>
          <w:p w14:paraId="67F1B033">
            <w:pPr>
              <w:spacing w:line="440" w:lineRule="exact"/>
              <w:rPr>
                <w:rFonts w:ascii="宋体" w:hAnsi="宋体" w:cs="宋体"/>
                <w:color w:val="auto"/>
                <w:szCs w:val="21"/>
              </w:rPr>
            </w:pPr>
          </w:p>
        </w:tc>
      </w:tr>
      <w:tr w14:paraId="60BAF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0" w:type="dxa"/>
            <w:gridSpan w:val="2"/>
            <w:noWrap w:val="0"/>
            <w:vAlign w:val="top"/>
          </w:tcPr>
          <w:p w14:paraId="667D409C">
            <w:pPr>
              <w:spacing w:line="440" w:lineRule="exact"/>
              <w:rPr>
                <w:rFonts w:ascii="宋体" w:hAnsi="宋体" w:cs="宋体"/>
                <w:color w:val="auto"/>
                <w:szCs w:val="21"/>
                <w:highlight w:val="none"/>
              </w:rPr>
            </w:pPr>
          </w:p>
        </w:tc>
        <w:tc>
          <w:tcPr>
            <w:tcW w:w="3420" w:type="dxa"/>
            <w:gridSpan w:val="4"/>
            <w:noWrap w:val="0"/>
            <w:vAlign w:val="top"/>
          </w:tcPr>
          <w:p w14:paraId="6B1EBFDB">
            <w:pPr>
              <w:spacing w:line="440" w:lineRule="exact"/>
              <w:rPr>
                <w:rFonts w:ascii="宋体" w:hAnsi="宋体" w:cs="宋体"/>
                <w:color w:val="auto"/>
                <w:szCs w:val="21"/>
                <w:highlight w:val="none"/>
              </w:rPr>
            </w:pPr>
          </w:p>
        </w:tc>
        <w:tc>
          <w:tcPr>
            <w:tcW w:w="1261" w:type="dxa"/>
            <w:noWrap w:val="0"/>
            <w:vAlign w:val="top"/>
          </w:tcPr>
          <w:p w14:paraId="3E8A4E3F">
            <w:pPr>
              <w:spacing w:line="440" w:lineRule="exact"/>
              <w:rPr>
                <w:rFonts w:ascii="宋体" w:hAnsi="宋体" w:cs="宋体"/>
                <w:color w:val="auto"/>
                <w:szCs w:val="21"/>
                <w:highlight w:val="none"/>
              </w:rPr>
            </w:pPr>
          </w:p>
        </w:tc>
        <w:tc>
          <w:tcPr>
            <w:tcW w:w="2576" w:type="dxa"/>
            <w:gridSpan w:val="2"/>
            <w:noWrap w:val="0"/>
            <w:vAlign w:val="top"/>
          </w:tcPr>
          <w:p w14:paraId="297CB939">
            <w:pPr>
              <w:spacing w:line="440" w:lineRule="exact"/>
              <w:rPr>
                <w:rFonts w:ascii="宋体" w:hAnsi="宋体" w:cs="宋体"/>
                <w:color w:val="auto"/>
                <w:szCs w:val="21"/>
                <w:highlight w:val="none"/>
              </w:rPr>
            </w:pPr>
          </w:p>
        </w:tc>
      </w:tr>
      <w:bookmarkEnd w:id="259"/>
    </w:tbl>
    <w:p w14:paraId="18E9EC6E">
      <w:pPr>
        <w:pStyle w:val="34"/>
        <w:ind w:firstLine="240"/>
        <w:rPr>
          <w:rFonts w:ascii="宋体" w:hAnsi="宋体"/>
          <w:color w:val="auto"/>
          <w:szCs w:val="21"/>
          <w:highlight w:val="none"/>
        </w:rPr>
      </w:pPr>
      <w:r>
        <w:rPr>
          <w:rFonts w:ascii="宋体" w:hAnsi="宋体"/>
          <w:color w:val="auto"/>
          <w:szCs w:val="21"/>
          <w:highlight w:val="none"/>
        </w:rPr>
        <w:t>注：</w:t>
      </w:r>
      <w:r>
        <w:rPr>
          <w:rFonts w:hint="eastAsia" w:ascii="宋体" w:hAnsi="宋体"/>
          <w:color w:val="auto"/>
          <w:szCs w:val="21"/>
          <w:highlight w:val="none"/>
        </w:rPr>
        <w:t>1、</w:t>
      </w:r>
      <w:r>
        <w:rPr>
          <w:rFonts w:hint="eastAsia" w:ascii="宋体" w:hAnsi="宋体"/>
          <w:color w:val="auto"/>
          <w:szCs w:val="21"/>
          <w:highlight w:val="none"/>
          <w:lang w:eastAsia="zh-CN"/>
        </w:rPr>
        <w:t>业绩合同原件</w:t>
      </w:r>
      <w:r>
        <w:rPr>
          <w:rFonts w:hint="eastAsia" w:ascii="宋体" w:hAnsi="宋体"/>
          <w:color w:val="auto"/>
          <w:szCs w:val="21"/>
          <w:highlight w:val="none"/>
          <w:lang w:val="en-US" w:eastAsia="zh-CN"/>
        </w:rPr>
        <w:t>扫描件</w:t>
      </w:r>
      <w:r>
        <w:rPr>
          <w:rFonts w:hint="eastAsia" w:ascii="宋体" w:hAnsi="宋体"/>
          <w:color w:val="auto"/>
          <w:szCs w:val="21"/>
          <w:highlight w:val="none"/>
        </w:rPr>
        <w:t>。</w:t>
      </w:r>
    </w:p>
    <w:p w14:paraId="2A7614B7">
      <w:pPr>
        <w:pStyle w:val="34"/>
        <w:ind w:firstLine="240"/>
        <w:rPr>
          <w:rFonts w:ascii="宋体" w:hAnsi="宋体"/>
          <w:color w:val="auto"/>
          <w:szCs w:val="21"/>
          <w:highlight w:val="none"/>
        </w:rPr>
      </w:pPr>
      <w:r>
        <w:rPr>
          <w:rFonts w:hint="eastAsia" w:ascii="宋体" w:hAnsi="宋体"/>
          <w:color w:val="auto"/>
          <w:szCs w:val="21"/>
          <w:highlight w:val="none"/>
        </w:rPr>
        <w:t>2、注册证根据实际情况填写，如无此项，则填写“无”。</w:t>
      </w:r>
    </w:p>
    <w:p w14:paraId="7DBE3883">
      <w:pPr>
        <w:pStyle w:val="34"/>
        <w:ind w:firstLine="240"/>
        <w:rPr>
          <w:color w:val="auto"/>
          <w:szCs w:val="21"/>
        </w:rPr>
      </w:pPr>
    </w:p>
    <w:p w14:paraId="6151BA48">
      <w:pPr>
        <w:ind w:firstLine="1687" w:firstLineChars="700"/>
        <w:rPr>
          <w:rFonts w:ascii="宋体" w:hAnsi="宋体" w:cs="宋体"/>
          <w:b/>
          <w:color w:val="auto"/>
          <w:sz w:val="24"/>
          <w:szCs w:val="20"/>
        </w:rPr>
      </w:pPr>
    </w:p>
    <w:p w14:paraId="6126532D">
      <w:pPr>
        <w:ind w:firstLine="1687" w:firstLineChars="700"/>
        <w:rPr>
          <w:rFonts w:ascii="宋体" w:hAnsi="宋体" w:cs="宋体"/>
          <w:b/>
          <w:color w:val="auto"/>
          <w:sz w:val="24"/>
          <w:szCs w:val="20"/>
        </w:rPr>
      </w:pPr>
    </w:p>
    <w:p w14:paraId="4B417759">
      <w:pPr>
        <w:ind w:firstLine="1687" w:firstLineChars="700"/>
        <w:rPr>
          <w:rFonts w:ascii="宋体" w:hAnsi="宋体" w:cs="宋体"/>
          <w:b/>
          <w:color w:val="auto"/>
          <w:sz w:val="24"/>
          <w:szCs w:val="20"/>
        </w:rPr>
      </w:pPr>
    </w:p>
    <w:p w14:paraId="5FC25907">
      <w:pPr>
        <w:spacing w:line="360" w:lineRule="auto"/>
        <w:jc w:val="center"/>
        <w:outlineLvl w:val="9"/>
        <w:rPr>
          <w:b/>
          <w:bCs/>
          <w:iCs/>
          <w:color w:val="auto"/>
          <w:sz w:val="28"/>
          <w:szCs w:val="28"/>
        </w:rPr>
      </w:pPr>
    </w:p>
    <w:p w14:paraId="59F507C7">
      <w:pPr>
        <w:spacing w:line="360" w:lineRule="auto"/>
        <w:jc w:val="center"/>
        <w:outlineLvl w:val="1"/>
        <w:rPr>
          <w:b/>
          <w:bCs/>
          <w:iCs/>
          <w:color w:val="auto"/>
          <w:sz w:val="28"/>
          <w:szCs w:val="28"/>
        </w:rPr>
      </w:pPr>
      <w:bookmarkStart w:id="260" w:name="_Toc31547"/>
      <w:bookmarkStart w:id="261" w:name="_Toc16068"/>
      <w:r>
        <w:rPr>
          <w:rFonts w:hint="eastAsia"/>
          <w:b/>
          <w:bCs/>
          <w:iCs/>
          <w:color w:val="auto"/>
          <w:sz w:val="28"/>
          <w:szCs w:val="28"/>
        </w:rPr>
        <w:t>（</w:t>
      </w:r>
      <w:r>
        <w:rPr>
          <w:rFonts w:hint="eastAsia"/>
          <w:b/>
          <w:bCs/>
          <w:iCs/>
          <w:color w:val="auto"/>
          <w:sz w:val="28"/>
          <w:szCs w:val="28"/>
          <w:lang w:val="en-US" w:eastAsia="zh-CN"/>
        </w:rPr>
        <w:t>四</w:t>
      </w:r>
      <w:r>
        <w:rPr>
          <w:rFonts w:hint="eastAsia"/>
          <w:b/>
          <w:bCs/>
          <w:iCs/>
          <w:color w:val="auto"/>
          <w:sz w:val="28"/>
          <w:szCs w:val="28"/>
        </w:rPr>
        <w:t>）近年完成的类似项目汇总表</w:t>
      </w:r>
      <w:bookmarkEnd w:id="260"/>
      <w:bookmarkEnd w:id="261"/>
    </w:p>
    <w:tbl>
      <w:tblPr>
        <w:tblStyle w:val="37"/>
        <w:tblW w:w="9782"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127"/>
        <w:gridCol w:w="1417"/>
        <w:gridCol w:w="1276"/>
        <w:gridCol w:w="1417"/>
        <w:gridCol w:w="1560"/>
        <w:gridCol w:w="992"/>
      </w:tblGrid>
      <w:tr w14:paraId="00ECF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exact"/>
        </w:trPr>
        <w:tc>
          <w:tcPr>
            <w:tcW w:w="993" w:type="dxa"/>
            <w:noWrap w:val="0"/>
            <w:vAlign w:val="center"/>
          </w:tcPr>
          <w:p w14:paraId="315580E9">
            <w:pPr>
              <w:jc w:val="center"/>
              <w:rPr>
                <w:color w:val="auto"/>
                <w:sz w:val="24"/>
              </w:rPr>
            </w:pPr>
            <w:r>
              <w:rPr>
                <w:rFonts w:hint="eastAsia"/>
                <w:color w:val="auto"/>
                <w:sz w:val="24"/>
              </w:rPr>
              <w:t>序号</w:t>
            </w:r>
          </w:p>
        </w:tc>
        <w:tc>
          <w:tcPr>
            <w:tcW w:w="2127" w:type="dxa"/>
            <w:noWrap w:val="0"/>
            <w:vAlign w:val="center"/>
          </w:tcPr>
          <w:p w14:paraId="7E9337C1">
            <w:pPr>
              <w:jc w:val="center"/>
              <w:rPr>
                <w:color w:val="auto"/>
                <w:sz w:val="24"/>
              </w:rPr>
            </w:pPr>
            <w:r>
              <w:rPr>
                <w:rFonts w:hint="eastAsia"/>
                <w:color w:val="auto"/>
                <w:sz w:val="24"/>
              </w:rPr>
              <w:t>项目</w:t>
            </w:r>
            <w:r>
              <w:rPr>
                <w:color w:val="auto"/>
                <w:sz w:val="24"/>
              </w:rPr>
              <w:t>名称</w:t>
            </w:r>
          </w:p>
        </w:tc>
        <w:tc>
          <w:tcPr>
            <w:tcW w:w="1417" w:type="dxa"/>
            <w:noWrap w:val="0"/>
            <w:vAlign w:val="center"/>
          </w:tcPr>
          <w:p w14:paraId="258ECEEB">
            <w:pPr>
              <w:jc w:val="center"/>
              <w:rPr>
                <w:color w:val="auto"/>
                <w:sz w:val="24"/>
              </w:rPr>
            </w:pPr>
            <w:r>
              <w:rPr>
                <w:rFonts w:hint="eastAsia"/>
                <w:color w:val="auto"/>
                <w:sz w:val="24"/>
              </w:rPr>
              <w:t>项目内容</w:t>
            </w:r>
          </w:p>
        </w:tc>
        <w:tc>
          <w:tcPr>
            <w:tcW w:w="1276" w:type="dxa"/>
            <w:noWrap w:val="0"/>
            <w:vAlign w:val="center"/>
          </w:tcPr>
          <w:p w14:paraId="3ED249CF">
            <w:pPr>
              <w:jc w:val="center"/>
              <w:rPr>
                <w:color w:val="auto"/>
                <w:sz w:val="24"/>
              </w:rPr>
            </w:pPr>
            <w:r>
              <w:rPr>
                <w:rFonts w:hint="eastAsia"/>
                <w:color w:val="auto"/>
                <w:sz w:val="24"/>
              </w:rPr>
              <w:t>委托人</w:t>
            </w:r>
          </w:p>
          <w:p w14:paraId="5371F532">
            <w:pPr>
              <w:jc w:val="center"/>
              <w:rPr>
                <w:color w:val="auto"/>
                <w:sz w:val="24"/>
              </w:rPr>
            </w:pPr>
            <w:r>
              <w:rPr>
                <w:color w:val="auto"/>
                <w:sz w:val="24"/>
              </w:rPr>
              <w:t>名称</w:t>
            </w:r>
          </w:p>
        </w:tc>
        <w:tc>
          <w:tcPr>
            <w:tcW w:w="1417" w:type="dxa"/>
            <w:noWrap w:val="0"/>
            <w:vAlign w:val="center"/>
          </w:tcPr>
          <w:p w14:paraId="784C633C">
            <w:pPr>
              <w:jc w:val="center"/>
              <w:rPr>
                <w:color w:val="auto"/>
                <w:sz w:val="24"/>
              </w:rPr>
            </w:pPr>
            <w:r>
              <w:rPr>
                <w:rFonts w:hint="eastAsia"/>
                <w:color w:val="auto"/>
                <w:sz w:val="24"/>
              </w:rPr>
              <w:t>完成时间</w:t>
            </w:r>
          </w:p>
        </w:tc>
        <w:tc>
          <w:tcPr>
            <w:tcW w:w="1560" w:type="dxa"/>
            <w:noWrap w:val="0"/>
            <w:vAlign w:val="center"/>
          </w:tcPr>
          <w:p w14:paraId="7FD311BA">
            <w:pPr>
              <w:jc w:val="center"/>
              <w:rPr>
                <w:color w:val="auto"/>
                <w:sz w:val="24"/>
              </w:rPr>
            </w:pPr>
            <w:r>
              <w:rPr>
                <w:rFonts w:hint="eastAsia"/>
                <w:color w:val="auto"/>
                <w:sz w:val="24"/>
              </w:rPr>
              <w:t>项目</w:t>
            </w:r>
          </w:p>
          <w:p w14:paraId="36D39B03">
            <w:pPr>
              <w:jc w:val="center"/>
              <w:rPr>
                <w:color w:val="auto"/>
                <w:sz w:val="24"/>
              </w:rPr>
            </w:pPr>
            <w:r>
              <w:rPr>
                <w:rFonts w:hint="eastAsia"/>
                <w:color w:val="auto"/>
                <w:sz w:val="24"/>
              </w:rPr>
              <w:t>总投资额</w:t>
            </w:r>
          </w:p>
        </w:tc>
        <w:tc>
          <w:tcPr>
            <w:tcW w:w="992" w:type="dxa"/>
            <w:noWrap w:val="0"/>
            <w:vAlign w:val="center"/>
          </w:tcPr>
          <w:p w14:paraId="7EBF1C70">
            <w:pPr>
              <w:jc w:val="center"/>
              <w:rPr>
                <w:color w:val="auto"/>
                <w:sz w:val="24"/>
              </w:rPr>
            </w:pPr>
            <w:r>
              <w:rPr>
                <w:color w:val="auto"/>
                <w:sz w:val="24"/>
              </w:rPr>
              <w:t>备注</w:t>
            </w:r>
          </w:p>
        </w:tc>
      </w:tr>
      <w:tr w14:paraId="514D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2C2165AE">
            <w:pPr>
              <w:rPr>
                <w:rFonts w:ascii="宋体" w:hAnsi="宋体" w:cs="宋体"/>
                <w:b/>
                <w:color w:val="auto"/>
                <w:sz w:val="24"/>
                <w:szCs w:val="20"/>
              </w:rPr>
            </w:pPr>
          </w:p>
        </w:tc>
        <w:tc>
          <w:tcPr>
            <w:tcW w:w="2127" w:type="dxa"/>
            <w:noWrap w:val="0"/>
            <w:vAlign w:val="top"/>
          </w:tcPr>
          <w:p w14:paraId="56BE22FA">
            <w:pPr>
              <w:rPr>
                <w:rFonts w:ascii="宋体" w:hAnsi="宋体" w:cs="宋体"/>
                <w:b/>
                <w:color w:val="auto"/>
                <w:sz w:val="24"/>
                <w:szCs w:val="20"/>
              </w:rPr>
            </w:pPr>
          </w:p>
        </w:tc>
        <w:tc>
          <w:tcPr>
            <w:tcW w:w="1417" w:type="dxa"/>
            <w:noWrap w:val="0"/>
            <w:vAlign w:val="top"/>
          </w:tcPr>
          <w:p w14:paraId="43BBE762">
            <w:pPr>
              <w:rPr>
                <w:rFonts w:ascii="宋体" w:hAnsi="宋体" w:cs="宋体"/>
                <w:b/>
                <w:color w:val="auto"/>
                <w:sz w:val="24"/>
                <w:szCs w:val="20"/>
              </w:rPr>
            </w:pPr>
          </w:p>
        </w:tc>
        <w:tc>
          <w:tcPr>
            <w:tcW w:w="1276" w:type="dxa"/>
            <w:noWrap w:val="0"/>
            <w:vAlign w:val="top"/>
          </w:tcPr>
          <w:p w14:paraId="1811AE74">
            <w:pPr>
              <w:rPr>
                <w:rFonts w:ascii="宋体" w:hAnsi="宋体" w:cs="宋体"/>
                <w:b/>
                <w:color w:val="auto"/>
                <w:sz w:val="24"/>
                <w:szCs w:val="20"/>
              </w:rPr>
            </w:pPr>
          </w:p>
        </w:tc>
        <w:tc>
          <w:tcPr>
            <w:tcW w:w="1417" w:type="dxa"/>
            <w:noWrap w:val="0"/>
            <w:vAlign w:val="top"/>
          </w:tcPr>
          <w:p w14:paraId="49ACD206">
            <w:pPr>
              <w:rPr>
                <w:rFonts w:ascii="宋体" w:hAnsi="宋体" w:cs="宋体"/>
                <w:b/>
                <w:color w:val="auto"/>
                <w:sz w:val="24"/>
                <w:szCs w:val="20"/>
              </w:rPr>
            </w:pPr>
          </w:p>
        </w:tc>
        <w:tc>
          <w:tcPr>
            <w:tcW w:w="1560" w:type="dxa"/>
            <w:noWrap w:val="0"/>
            <w:vAlign w:val="top"/>
          </w:tcPr>
          <w:p w14:paraId="31785046">
            <w:pPr>
              <w:rPr>
                <w:rFonts w:ascii="宋体" w:hAnsi="宋体" w:cs="宋体"/>
                <w:b/>
                <w:color w:val="auto"/>
                <w:sz w:val="24"/>
                <w:szCs w:val="20"/>
              </w:rPr>
            </w:pPr>
          </w:p>
        </w:tc>
        <w:tc>
          <w:tcPr>
            <w:tcW w:w="992" w:type="dxa"/>
            <w:noWrap w:val="0"/>
            <w:vAlign w:val="top"/>
          </w:tcPr>
          <w:p w14:paraId="386BA485">
            <w:pPr>
              <w:rPr>
                <w:rFonts w:ascii="宋体" w:hAnsi="宋体" w:cs="宋体"/>
                <w:b/>
                <w:color w:val="auto"/>
                <w:sz w:val="24"/>
                <w:szCs w:val="20"/>
              </w:rPr>
            </w:pPr>
          </w:p>
        </w:tc>
      </w:tr>
      <w:tr w14:paraId="1545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6EB71BD1">
            <w:pPr>
              <w:rPr>
                <w:rFonts w:ascii="宋体" w:hAnsi="宋体" w:cs="宋体"/>
                <w:b/>
                <w:color w:val="auto"/>
                <w:sz w:val="24"/>
                <w:szCs w:val="20"/>
              </w:rPr>
            </w:pPr>
          </w:p>
        </w:tc>
        <w:tc>
          <w:tcPr>
            <w:tcW w:w="2127" w:type="dxa"/>
            <w:noWrap w:val="0"/>
            <w:vAlign w:val="top"/>
          </w:tcPr>
          <w:p w14:paraId="4D7DB7CB">
            <w:pPr>
              <w:rPr>
                <w:rFonts w:ascii="宋体" w:hAnsi="宋体" w:cs="宋体"/>
                <w:b/>
                <w:color w:val="auto"/>
                <w:sz w:val="24"/>
                <w:szCs w:val="20"/>
              </w:rPr>
            </w:pPr>
          </w:p>
        </w:tc>
        <w:tc>
          <w:tcPr>
            <w:tcW w:w="1417" w:type="dxa"/>
            <w:noWrap w:val="0"/>
            <w:vAlign w:val="top"/>
          </w:tcPr>
          <w:p w14:paraId="0B8AE10F">
            <w:pPr>
              <w:rPr>
                <w:rFonts w:ascii="宋体" w:hAnsi="宋体" w:cs="宋体"/>
                <w:b/>
                <w:color w:val="auto"/>
                <w:sz w:val="24"/>
                <w:szCs w:val="20"/>
              </w:rPr>
            </w:pPr>
          </w:p>
        </w:tc>
        <w:tc>
          <w:tcPr>
            <w:tcW w:w="1276" w:type="dxa"/>
            <w:noWrap w:val="0"/>
            <w:vAlign w:val="top"/>
          </w:tcPr>
          <w:p w14:paraId="712A953E">
            <w:pPr>
              <w:rPr>
                <w:rFonts w:ascii="宋体" w:hAnsi="宋体" w:cs="宋体"/>
                <w:b/>
                <w:color w:val="auto"/>
                <w:sz w:val="24"/>
                <w:szCs w:val="20"/>
              </w:rPr>
            </w:pPr>
          </w:p>
        </w:tc>
        <w:tc>
          <w:tcPr>
            <w:tcW w:w="1417" w:type="dxa"/>
            <w:noWrap w:val="0"/>
            <w:vAlign w:val="top"/>
          </w:tcPr>
          <w:p w14:paraId="7A2A0C93">
            <w:pPr>
              <w:rPr>
                <w:rFonts w:ascii="宋体" w:hAnsi="宋体" w:cs="宋体"/>
                <w:b/>
                <w:color w:val="auto"/>
                <w:sz w:val="24"/>
                <w:szCs w:val="20"/>
              </w:rPr>
            </w:pPr>
          </w:p>
        </w:tc>
        <w:tc>
          <w:tcPr>
            <w:tcW w:w="1560" w:type="dxa"/>
            <w:noWrap w:val="0"/>
            <w:vAlign w:val="top"/>
          </w:tcPr>
          <w:p w14:paraId="14FF9C0E">
            <w:pPr>
              <w:rPr>
                <w:rFonts w:ascii="宋体" w:hAnsi="宋体" w:cs="宋体"/>
                <w:b/>
                <w:color w:val="auto"/>
                <w:sz w:val="24"/>
                <w:szCs w:val="20"/>
              </w:rPr>
            </w:pPr>
          </w:p>
        </w:tc>
        <w:tc>
          <w:tcPr>
            <w:tcW w:w="992" w:type="dxa"/>
            <w:noWrap w:val="0"/>
            <w:vAlign w:val="top"/>
          </w:tcPr>
          <w:p w14:paraId="59DEDB88">
            <w:pPr>
              <w:rPr>
                <w:rFonts w:ascii="宋体" w:hAnsi="宋体" w:cs="宋体"/>
                <w:b/>
                <w:color w:val="auto"/>
                <w:sz w:val="24"/>
                <w:szCs w:val="20"/>
              </w:rPr>
            </w:pPr>
          </w:p>
        </w:tc>
      </w:tr>
      <w:tr w14:paraId="661C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110AAE5D">
            <w:pPr>
              <w:rPr>
                <w:rFonts w:ascii="宋体" w:hAnsi="宋体" w:cs="宋体"/>
                <w:b/>
                <w:color w:val="auto"/>
                <w:sz w:val="24"/>
                <w:szCs w:val="20"/>
              </w:rPr>
            </w:pPr>
          </w:p>
        </w:tc>
        <w:tc>
          <w:tcPr>
            <w:tcW w:w="2127" w:type="dxa"/>
            <w:noWrap w:val="0"/>
            <w:vAlign w:val="top"/>
          </w:tcPr>
          <w:p w14:paraId="13914034">
            <w:pPr>
              <w:rPr>
                <w:rFonts w:ascii="宋体" w:hAnsi="宋体" w:cs="宋体"/>
                <w:b/>
                <w:color w:val="auto"/>
                <w:sz w:val="24"/>
                <w:szCs w:val="20"/>
              </w:rPr>
            </w:pPr>
          </w:p>
        </w:tc>
        <w:tc>
          <w:tcPr>
            <w:tcW w:w="1417" w:type="dxa"/>
            <w:noWrap w:val="0"/>
            <w:vAlign w:val="top"/>
          </w:tcPr>
          <w:p w14:paraId="1A6DCB62">
            <w:pPr>
              <w:rPr>
                <w:rFonts w:ascii="宋体" w:hAnsi="宋体" w:cs="宋体"/>
                <w:b/>
                <w:color w:val="auto"/>
                <w:sz w:val="24"/>
                <w:szCs w:val="20"/>
              </w:rPr>
            </w:pPr>
          </w:p>
        </w:tc>
        <w:tc>
          <w:tcPr>
            <w:tcW w:w="1276" w:type="dxa"/>
            <w:noWrap w:val="0"/>
            <w:vAlign w:val="top"/>
          </w:tcPr>
          <w:p w14:paraId="4ACA97C6">
            <w:pPr>
              <w:rPr>
                <w:rFonts w:ascii="宋体" w:hAnsi="宋体" w:cs="宋体"/>
                <w:b/>
                <w:color w:val="auto"/>
                <w:sz w:val="24"/>
                <w:szCs w:val="20"/>
              </w:rPr>
            </w:pPr>
          </w:p>
        </w:tc>
        <w:tc>
          <w:tcPr>
            <w:tcW w:w="1417" w:type="dxa"/>
            <w:noWrap w:val="0"/>
            <w:vAlign w:val="top"/>
          </w:tcPr>
          <w:p w14:paraId="0D77FC7B">
            <w:pPr>
              <w:rPr>
                <w:rFonts w:ascii="宋体" w:hAnsi="宋体" w:cs="宋体"/>
                <w:b/>
                <w:color w:val="auto"/>
                <w:sz w:val="24"/>
                <w:szCs w:val="20"/>
              </w:rPr>
            </w:pPr>
          </w:p>
        </w:tc>
        <w:tc>
          <w:tcPr>
            <w:tcW w:w="1560" w:type="dxa"/>
            <w:noWrap w:val="0"/>
            <w:vAlign w:val="top"/>
          </w:tcPr>
          <w:p w14:paraId="51EDE9D3">
            <w:pPr>
              <w:rPr>
                <w:rFonts w:ascii="宋体" w:hAnsi="宋体" w:cs="宋体"/>
                <w:b/>
                <w:color w:val="auto"/>
                <w:sz w:val="24"/>
                <w:szCs w:val="20"/>
              </w:rPr>
            </w:pPr>
          </w:p>
        </w:tc>
        <w:tc>
          <w:tcPr>
            <w:tcW w:w="992" w:type="dxa"/>
            <w:noWrap w:val="0"/>
            <w:vAlign w:val="top"/>
          </w:tcPr>
          <w:p w14:paraId="089E0610">
            <w:pPr>
              <w:rPr>
                <w:rFonts w:ascii="宋体" w:hAnsi="宋体" w:cs="宋体"/>
                <w:b/>
                <w:color w:val="auto"/>
                <w:sz w:val="24"/>
                <w:szCs w:val="20"/>
              </w:rPr>
            </w:pPr>
          </w:p>
        </w:tc>
      </w:tr>
      <w:tr w14:paraId="2166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65820939">
            <w:pPr>
              <w:rPr>
                <w:rFonts w:ascii="宋体" w:hAnsi="宋体" w:cs="宋体"/>
                <w:b/>
                <w:color w:val="auto"/>
                <w:sz w:val="24"/>
                <w:szCs w:val="20"/>
              </w:rPr>
            </w:pPr>
          </w:p>
        </w:tc>
        <w:tc>
          <w:tcPr>
            <w:tcW w:w="2127" w:type="dxa"/>
            <w:noWrap w:val="0"/>
            <w:vAlign w:val="top"/>
          </w:tcPr>
          <w:p w14:paraId="13BF462B">
            <w:pPr>
              <w:rPr>
                <w:rFonts w:ascii="宋体" w:hAnsi="宋体" w:cs="宋体"/>
                <w:b/>
                <w:color w:val="auto"/>
                <w:sz w:val="24"/>
                <w:szCs w:val="20"/>
              </w:rPr>
            </w:pPr>
          </w:p>
        </w:tc>
        <w:tc>
          <w:tcPr>
            <w:tcW w:w="1417" w:type="dxa"/>
            <w:noWrap w:val="0"/>
            <w:vAlign w:val="top"/>
          </w:tcPr>
          <w:p w14:paraId="2B9EBF92">
            <w:pPr>
              <w:rPr>
                <w:rFonts w:ascii="宋体" w:hAnsi="宋体" w:cs="宋体"/>
                <w:b/>
                <w:color w:val="auto"/>
                <w:sz w:val="24"/>
                <w:szCs w:val="20"/>
              </w:rPr>
            </w:pPr>
          </w:p>
        </w:tc>
        <w:tc>
          <w:tcPr>
            <w:tcW w:w="1276" w:type="dxa"/>
            <w:noWrap w:val="0"/>
            <w:vAlign w:val="top"/>
          </w:tcPr>
          <w:p w14:paraId="56A49351">
            <w:pPr>
              <w:rPr>
                <w:rFonts w:ascii="宋体" w:hAnsi="宋体" w:cs="宋体"/>
                <w:b/>
                <w:color w:val="auto"/>
                <w:sz w:val="24"/>
                <w:szCs w:val="20"/>
              </w:rPr>
            </w:pPr>
          </w:p>
        </w:tc>
        <w:tc>
          <w:tcPr>
            <w:tcW w:w="1417" w:type="dxa"/>
            <w:noWrap w:val="0"/>
            <w:vAlign w:val="top"/>
          </w:tcPr>
          <w:p w14:paraId="7F2888D2">
            <w:pPr>
              <w:rPr>
                <w:rFonts w:ascii="宋体" w:hAnsi="宋体" w:cs="宋体"/>
                <w:b/>
                <w:color w:val="auto"/>
                <w:sz w:val="24"/>
                <w:szCs w:val="20"/>
              </w:rPr>
            </w:pPr>
          </w:p>
        </w:tc>
        <w:tc>
          <w:tcPr>
            <w:tcW w:w="1560" w:type="dxa"/>
            <w:noWrap w:val="0"/>
            <w:vAlign w:val="top"/>
          </w:tcPr>
          <w:p w14:paraId="00A54CBD">
            <w:pPr>
              <w:rPr>
                <w:rFonts w:ascii="宋体" w:hAnsi="宋体" w:cs="宋体"/>
                <w:b/>
                <w:color w:val="auto"/>
                <w:sz w:val="24"/>
                <w:szCs w:val="20"/>
              </w:rPr>
            </w:pPr>
          </w:p>
        </w:tc>
        <w:tc>
          <w:tcPr>
            <w:tcW w:w="992" w:type="dxa"/>
            <w:noWrap w:val="0"/>
            <w:vAlign w:val="top"/>
          </w:tcPr>
          <w:p w14:paraId="3EAB2FA5">
            <w:pPr>
              <w:rPr>
                <w:rFonts w:ascii="宋体" w:hAnsi="宋体" w:cs="宋体"/>
                <w:b/>
                <w:color w:val="auto"/>
                <w:sz w:val="24"/>
                <w:szCs w:val="20"/>
              </w:rPr>
            </w:pPr>
          </w:p>
        </w:tc>
      </w:tr>
      <w:tr w14:paraId="42C27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6768822C">
            <w:pPr>
              <w:rPr>
                <w:rFonts w:ascii="宋体" w:hAnsi="宋体" w:cs="宋体"/>
                <w:b/>
                <w:color w:val="auto"/>
                <w:sz w:val="24"/>
                <w:szCs w:val="20"/>
              </w:rPr>
            </w:pPr>
          </w:p>
        </w:tc>
        <w:tc>
          <w:tcPr>
            <w:tcW w:w="2127" w:type="dxa"/>
            <w:noWrap w:val="0"/>
            <w:vAlign w:val="top"/>
          </w:tcPr>
          <w:p w14:paraId="6ECA2228">
            <w:pPr>
              <w:rPr>
                <w:rFonts w:ascii="宋体" w:hAnsi="宋体" w:cs="宋体"/>
                <w:b/>
                <w:color w:val="auto"/>
                <w:sz w:val="24"/>
                <w:szCs w:val="20"/>
              </w:rPr>
            </w:pPr>
          </w:p>
        </w:tc>
        <w:tc>
          <w:tcPr>
            <w:tcW w:w="1417" w:type="dxa"/>
            <w:noWrap w:val="0"/>
            <w:vAlign w:val="top"/>
          </w:tcPr>
          <w:p w14:paraId="4B5AF498">
            <w:pPr>
              <w:rPr>
                <w:rFonts w:ascii="宋体" w:hAnsi="宋体" w:cs="宋体"/>
                <w:b/>
                <w:color w:val="auto"/>
                <w:sz w:val="24"/>
                <w:szCs w:val="20"/>
              </w:rPr>
            </w:pPr>
          </w:p>
        </w:tc>
        <w:tc>
          <w:tcPr>
            <w:tcW w:w="1276" w:type="dxa"/>
            <w:noWrap w:val="0"/>
            <w:vAlign w:val="top"/>
          </w:tcPr>
          <w:p w14:paraId="2C8950F2">
            <w:pPr>
              <w:rPr>
                <w:rFonts w:ascii="宋体" w:hAnsi="宋体" w:cs="宋体"/>
                <w:b/>
                <w:color w:val="auto"/>
                <w:sz w:val="24"/>
                <w:szCs w:val="20"/>
              </w:rPr>
            </w:pPr>
          </w:p>
        </w:tc>
        <w:tc>
          <w:tcPr>
            <w:tcW w:w="1417" w:type="dxa"/>
            <w:noWrap w:val="0"/>
            <w:vAlign w:val="top"/>
          </w:tcPr>
          <w:p w14:paraId="607B1D37">
            <w:pPr>
              <w:rPr>
                <w:rFonts w:ascii="宋体" w:hAnsi="宋体" w:cs="宋体"/>
                <w:b/>
                <w:color w:val="auto"/>
                <w:sz w:val="24"/>
                <w:szCs w:val="20"/>
              </w:rPr>
            </w:pPr>
          </w:p>
        </w:tc>
        <w:tc>
          <w:tcPr>
            <w:tcW w:w="1560" w:type="dxa"/>
            <w:noWrap w:val="0"/>
            <w:vAlign w:val="top"/>
          </w:tcPr>
          <w:p w14:paraId="06D77248">
            <w:pPr>
              <w:rPr>
                <w:rFonts w:ascii="宋体" w:hAnsi="宋体" w:cs="宋体"/>
                <w:b/>
                <w:color w:val="auto"/>
                <w:sz w:val="24"/>
                <w:szCs w:val="20"/>
              </w:rPr>
            </w:pPr>
          </w:p>
        </w:tc>
        <w:tc>
          <w:tcPr>
            <w:tcW w:w="992" w:type="dxa"/>
            <w:noWrap w:val="0"/>
            <w:vAlign w:val="top"/>
          </w:tcPr>
          <w:p w14:paraId="448B522A">
            <w:pPr>
              <w:rPr>
                <w:rFonts w:ascii="宋体" w:hAnsi="宋体" w:cs="宋体"/>
                <w:b/>
                <w:color w:val="auto"/>
                <w:sz w:val="24"/>
                <w:szCs w:val="20"/>
              </w:rPr>
            </w:pPr>
          </w:p>
        </w:tc>
      </w:tr>
      <w:tr w14:paraId="0AC0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698EE0B2">
            <w:pPr>
              <w:rPr>
                <w:rFonts w:ascii="宋体" w:hAnsi="宋体" w:cs="宋体"/>
                <w:b/>
                <w:color w:val="auto"/>
                <w:sz w:val="24"/>
                <w:szCs w:val="20"/>
              </w:rPr>
            </w:pPr>
          </w:p>
        </w:tc>
        <w:tc>
          <w:tcPr>
            <w:tcW w:w="2127" w:type="dxa"/>
            <w:noWrap w:val="0"/>
            <w:vAlign w:val="top"/>
          </w:tcPr>
          <w:p w14:paraId="76A1EDEE">
            <w:pPr>
              <w:rPr>
                <w:rFonts w:ascii="宋体" w:hAnsi="宋体" w:cs="宋体"/>
                <w:b/>
                <w:color w:val="auto"/>
                <w:sz w:val="24"/>
                <w:szCs w:val="20"/>
              </w:rPr>
            </w:pPr>
          </w:p>
        </w:tc>
        <w:tc>
          <w:tcPr>
            <w:tcW w:w="1417" w:type="dxa"/>
            <w:noWrap w:val="0"/>
            <w:vAlign w:val="top"/>
          </w:tcPr>
          <w:p w14:paraId="174C8631">
            <w:pPr>
              <w:rPr>
                <w:rFonts w:ascii="宋体" w:hAnsi="宋体" w:cs="宋体"/>
                <w:b/>
                <w:color w:val="auto"/>
                <w:sz w:val="24"/>
                <w:szCs w:val="20"/>
              </w:rPr>
            </w:pPr>
          </w:p>
        </w:tc>
        <w:tc>
          <w:tcPr>
            <w:tcW w:w="1276" w:type="dxa"/>
            <w:noWrap w:val="0"/>
            <w:vAlign w:val="top"/>
          </w:tcPr>
          <w:p w14:paraId="29E92480">
            <w:pPr>
              <w:rPr>
                <w:rFonts w:ascii="宋体" w:hAnsi="宋体" w:cs="宋体"/>
                <w:b/>
                <w:color w:val="auto"/>
                <w:sz w:val="24"/>
                <w:szCs w:val="20"/>
              </w:rPr>
            </w:pPr>
          </w:p>
        </w:tc>
        <w:tc>
          <w:tcPr>
            <w:tcW w:w="1417" w:type="dxa"/>
            <w:noWrap w:val="0"/>
            <w:vAlign w:val="top"/>
          </w:tcPr>
          <w:p w14:paraId="7543F149">
            <w:pPr>
              <w:rPr>
                <w:rFonts w:ascii="宋体" w:hAnsi="宋体" w:cs="宋体"/>
                <w:b/>
                <w:color w:val="auto"/>
                <w:sz w:val="24"/>
                <w:szCs w:val="20"/>
              </w:rPr>
            </w:pPr>
          </w:p>
        </w:tc>
        <w:tc>
          <w:tcPr>
            <w:tcW w:w="1560" w:type="dxa"/>
            <w:noWrap w:val="0"/>
            <w:vAlign w:val="top"/>
          </w:tcPr>
          <w:p w14:paraId="670BD60D">
            <w:pPr>
              <w:rPr>
                <w:rFonts w:ascii="宋体" w:hAnsi="宋体" w:cs="宋体"/>
                <w:b/>
                <w:color w:val="auto"/>
                <w:sz w:val="24"/>
                <w:szCs w:val="20"/>
              </w:rPr>
            </w:pPr>
          </w:p>
        </w:tc>
        <w:tc>
          <w:tcPr>
            <w:tcW w:w="992" w:type="dxa"/>
            <w:noWrap w:val="0"/>
            <w:vAlign w:val="top"/>
          </w:tcPr>
          <w:p w14:paraId="3B570EF7">
            <w:pPr>
              <w:rPr>
                <w:rFonts w:ascii="宋体" w:hAnsi="宋体" w:cs="宋体"/>
                <w:b/>
                <w:color w:val="auto"/>
                <w:sz w:val="24"/>
                <w:szCs w:val="20"/>
              </w:rPr>
            </w:pPr>
          </w:p>
        </w:tc>
      </w:tr>
      <w:tr w14:paraId="298F2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48792E6E">
            <w:pPr>
              <w:rPr>
                <w:rFonts w:ascii="宋体" w:hAnsi="宋体" w:cs="宋体"/>
                <w:b/>
                <w:color w:val="auto"/>
                <w:sz w:val="24"/>
                <w:szCs w:val="20"/>
              </w:rPr>
            </w:pPr>
          </w:p>
        </w:tc>
        <w:tc>
          <w:tcPr>
            <w:tcW w:w="2127" w:type="dxa"/>
            <w:noWrap w:val="0"/>
            <w:vAlign w:val="top"/>
          </w:tcPr>
          <w:p w14:paraId="51F05854">
            <w:pPr>
              <w:rPr>
                <w:rFonts w:ascii="宋体" w:hAnsi="宋体" w:cs="宋体"/>
                <w:b/>
                <w:color w:val="auto"/>
                <w:sz w:val="24"/>
                <w:szCs w:val="20"/>
              </w:rPr>
            </w:pPr>
          </w:p>
        </w:tc>
        <w:tc>
          <w:tcPr>
            <w:tcW w:w="1417" w:type="dxa"/>
            <w:noWrap w:val="0"/>
            <w:vAlign w:val="top"/>
          </w:tcPr>
          <w:p w14:paraId="2D6FBDE4">
            <w:pPr>
              <w:rPr>
                <w:rFonts w:ascii="宋体" w:hAnsi="宋体" w:cs="宋体"/>
                <w:b/>
                <w:color w:val="auto"/>
                <w:sz w:val="24"/>
                <w:szCs w:val="20"/>
              </w:rPr>
            </w:pPr>
          </w:p>
        </w:tc>
        <w:tc>
          <w:tcPr>
            <w:tcW w:w="1276" w:type="dxa"/>
            <w:noWrap w:val="0"/>
            <w:vAlign w:val="top"/>
          </w:tcPr>
          <w:p w14:paraId="1E20CDFC">
            <w:pPr>
              <w:rPr>
                <w:rFonts w:ascii="宋体" w:hAnsi="宋体" w:cs="宋体"/>
                <w:b/>
                <w:color w:val="auto"/>
                <w:sz w:val="24"/>
                <w:szCs w:val="20"/>
              </w:rPr>
            </w:pPr>
          </w:p>
        </w:tc>
        <w:tc>
          <w:tcPr>
            <w:tcW w:w="1417" w:type="dxa"/>
            <w:noWrap w:val="0"/>
            <w:vAlign w:val="top"/>
          </w:tcPr>
          <w:p w14:paraId="31E62D2A">
            <w:pPr>
              <w:rPr>
                <w:rFonts w:ascii="宋体" w:hAnsi="宋体" w:cs="宋体"/>
                <w:b/>
                <w:color w:val="auto"/>
                <w:sz w:val="24"/>
                <w:szCs w:val="20"/>
              </w:rPr>
            </w:pPr>
          </w:p>
        </w:tc>
        <w:tc>
          <w:tcPr>
            <w:tcW w:w="1560" w:type="dxa"/>
            <w:noWrap w:val="0"/>
            <w:vAlign w:val="top"/>
          </w:tcPr>
          <w:p w14:paraId="79F5F720">
            <w:pPr>
              <w:rPr>
                <w:rFonts w:ascii="宋体" w:hAnsi="宋体" w:cs="宋体"/>
                <w:b/>
                <w:color w:val="auto"/>
                <w:sz w:val="24"/>
                <w:szCs w:val="20"/>
              </w:rPr>
            </w:pPr>
          </w:p>
        </w:tc>
        <w:tc>
          <w:tcPr>
            <w:tcW w:w="992" w:type="dxa"/>
            <w:noWrap w:val="0"/>
            <w:vAlign w:val="top"/>
          </w:tcPr>
          <w:p w14:paraId="03C92A6E">
            <w:pPr>
              <w:rPr>
                <w:rFonts w:ascii="宋体" w:hAnsi="宋体" w:cs="宋体"/>
                <w:b/>
                <w:color w:val="auto"/>
                <w:sz w:val="24"/>
                <w:szCs w:val="20"/>
              </w:rPr>
            </w:pPr>
          </w:p>
        </w:tc>
      </w:tr>
      <w:tr w14:paraId="3695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14EE1C5D">
            <w:pPr>
              <w:rPr>
                <w:rFonts w:ascii="宋体" w:hAnsi="宋体" w:cs="宋体"/>
                <w:b/>
                <w:color w:val="auto"/>
                <w:sz w:val="24"/>
                <w:szCs w:val="20"/>
              </w:rPr>
            </w:pPr>
          </w:p>
        </w:tc>
        <w:tc>
          <w:tcPr>
            <w:tcW w:w="2127" w:type="dxa"/>
            <w:noWrap w:val="0"/>
            <w:vAlign w:val="top"/>
          </w:tcPr>
          <w:p w14:paraId="25664F09">
            <w:pPr>
              <w:rPr>
                <w:rFonts w:ascii="宋体" w:hAnsi="宋体" w:cs="宋体"/>
                <w:b/>
                <w:color w:val="auto"/>
                <w:sz w:val="24"/>
                <w:szCs w:val="20"/>
              </w:rPr>
            </w:pPr>
          </w:p>
        </w:tc>
        <w:tc>
          <w:tcPr>
            <w:tcW w:w="1417" w:type="dxa"/>
            <w:noWrap w:val="0"/>
            <w:vAlign w:val="top"/>
          </w:tcPr>
          <w:p w14:paraId="435D5B24">
            <w:pPr>
              <w:rPr>
                <w:rFonts w:ascii="宋体" w:hAnsi="宋体" w:cs="宋体"/>
                <w:b/>
                <w:color w:val="auto"/>
                <w:sz w:val="24"/>
                <w:szCs w:val="20"/>
              </w:rPr>
            </w:pPr>
          </w:p>
        </w:tc>
        <w:tc>
          <w:tcPr>
            <w:tcW w:w="1276" w:type="dxa"/>
            <w:noWrap w:val="0"/>
            <w:vAlign w:val="top"/>
          </w:tcPr>
          <w:p w14:paraId="216E222B">
            <w:pPr>
              <w:rPr>
                <w:rFonts w:ascii="宋体" w:hAnsi="宋体" w:cs="宋体"/>
                <w:b/>
                <w:color w:val="auto"/>
                <w:sz w:val="24"/>
                <w:szCs w:val="20"/>
              </w:rPr>
            </w:pPr>
          </w:p>
        </w:tc>
        <w:tc>
          <w:tcPr>
            <w:tcW w:w="1417" w:type="dxa"/>
            <w:noWrap w:val="0"/>
            <w:vAlign w:val="top"/>
          </w:tcPr>
          <w:p w14:paraId="4E468EA3">
            <w:pPr>
              <w:rPr>
                <w:rFonts w:ascii="宋体" w:hAnsi="宋体" w:cs="宋体"/>
                <w:b/>
                <w:color w:val="auto"/>
                <w:sz w:val="24"/>
                <w:szCs w:val="20"/>
              </w:rPr>
            </w:pPr>
          </w:p>
        </w:tc>
        <w:tc>
          <w:tcPr>
            <w:tcW w:w="1560" w:type="dxa"/>
            <w:noWrap w:val="0"/>
            <w:vAlign w:val="top"/>
          </w:tcPr>
          <w:p w14:paraId="2014918E">
            <w:pPr>
              <w:rPr>
                <w:rFonts w:ascii="宋体" w:hAnsi="宋体" w:cs="宋体"/>
                <w:b/>
                <w:color w:val="auto"/>
                <w:sz w:val="24"/>
                <w:szCs w:val="20"/>
              </w:rPr>
            </w:pPr>
          </w:p>
        </w:tc>
        <w:tc>
          <w:tcPr>
            <w:tcW w:w="992" w:type="dxa"/>
            <w:noWrap w:val="0"/>
            <w:vAlign w:val="top"/>
          </w:tcPr>
          <w:p w14:paraId="2D71FDBD">
            <w:pPr>
              <w:rPr>
                <w:rFonts w:ascii="宋体" w:hAnsi="宋体" w:cs="宋体"/>
                <w:b/>
                <w:color w:val="auto"/>
                <w:sz w:val="24"/>
                <w:szCs w:val="20"/>
              </w:rPr>
            </w:pPr>
          </w:p>
        </w:tc>
      </w:tr>
      <w:tr w14:paraId="664A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3" w:type="dxa"/>
            <w:noWrap w:val="0"/>
            <w:vAlign w:val="top"/>
          </w:tcPr>
          <w:p w14:paraId="5847463F">
            <w:pPr>
              <w:rPr>
                <w:rFonts w:ascii="宋体" w:hAnsi="宋体" w:cs="宋体"/>
                <w:b/>
                <w:color w:val="auto"/>
                <w:sz w:val="24"/>
                <w:szCs w:val="20"/>
              </w:rPr>
            </w:pPr>
          </w:p>
        </w:tc>
        <w:tc>
          <w:tcPr>
            <w:tcW w:w="2127" w:type="dxa"/>
            <w:noWrap w:val="0"/>
            <w:vAlign w:val="top"/>
          </w:tcPr>
          <w:p w14:paraId="7B9B3720">
            <w:pPr>
              <w:rPr>
                <w:rFonts w:ascii="宋体" w:hAnsi="宋体" w:cs="宋体"/>
                <w:b/>
                <w:color w:val="auto"/>
                <w:sz w:val="24"/>
                <w:szCs w:val="20"/>
              </w:rPr>
            </w:pPr>
          </w:p>
        </w:tc>
        <w:tc>
          <w:tcPr>
            <w:tcW w:w="1417" w:type="dxa"/>
            <w:noWrap w:val="0"/>
            <w:vAlign w:val="top"/>
          </w:tcPr>
          <w:p w14:paraId="2F1C6330">
            <w:pPr>
              <w:rPr>
                <w:rFonts w:ascii="宋体" w:hAnsi="宋体" w:cs="宋体"/>
                <w:b/>
                <w:color w:val="auto"/>
                <w:sz w:val="24"/>
                <w:szCs w:val="20"/>
              </w:rPr>
            </w:pPr>
          </w:p>
        </w:tc>
        <w:tc>
          <w:tcPr>
            <w:tcW w:w="1276" w:type="dxa"/>
            <w:noWrap w:val="0"/>
            <w:vAlign w:val="top"/>
          </w:tcPr>
          <w:p w14:paraId="1DD9ADFE">
            <w:pPr>
              <w:rPr>
                <w:rFonts w:ascii="宋体" w:hAnsi="宋体" w:cs="宋体"/>
                <w:b/>
                <w:color w:val="auto"/>
                <w:sz w:val="24"/>
                <w:szCs w:val="20"/>
              </w:rPr>
            </w:pPr>
          </w:p>
        </w:tc>
        <w:tc>
          <w:tcPr>
            <w:tcW w:w="1417" w:type="dxa"/>
            <w:noWrap w:val="0"/>
            <w:vAlign w:val="top"/>
          </w:tcPr>
          <w:p w14:paraId="5B0AC3EB">
            <w:pPr>
              <w:rPr>
                <w:rFonts w:ascii="宋体" w:hAnsi="宋体" w:cs="宋体"/>
                <w:b/>
                <w:color w:val="auto"/>
                <w:sz w:val="24"/>
                <w:szCs w:val="20"/>
              </w:rPr>
            </w:pPr>
          </w:p>
        </w:tc>
        <w:tc>
          <w:tcPr>
            <w:tcW w:w="1560" w:type="dxa"/>
            <w:noWrap w:val="0"/>
            <w:vAlign w:val="top"/>
          </w:tcPr>
          <w:p w14:paraId="67520659">
            <w:pPr>
              <w:rPr>
                <w:rFonts w:ascii="宋体" w:hAnsi="宋体" w:cs="宋体"/>
                <w:b/>
                <w:color w:val="auto"/>
                <w:sz w:val="24"/>
                <w:szCs w:val="20"/>
              </w:rPr>
            </w:pPr>
          </w:p>
        </w:tc>
        <w:tc>
          <w:tcPr>
            <w:tcW w:w="992" w:type="dxa"/>
            <w:noWrap w:val="0"/>
            <w:vAlign w:val="top"/>
          </w:tcPr>
          <w:p w14:paraId="510AA91B">
            <w:pPr>
              <w:rPr>
                <w:rFonts w:ascii="宋体" w:hAnsi="宋体" w:cs="宋体"/>
                <w:b/>
                <w:color w:val="auto"/>
                <w:sz w:val="24"/>
                <w:szCs w:val="20"/>
              </w:rPr>
            </w:pPr>
          </w:p>
        </w:tc>
      </w:tr>
    </w:tbl>
    <w:p w14:paraId="2D15408F">
      <w:pPr>
        <w:pStyle w:val="34"/>
        <w:ind w:firstLine="0" w:firstLineChars="0"/>
        <w:rPr>
          <w:b/>
          <w:bCs/>
          <w:color w:val="auto"/>
          <w:highlight w:val="none"/>
        </w:rPr>
      </w:pPr>
    </w:p>
    <w:p w14:paraId="47C9E479">
      <w:pPr>
        <w:pStyle w:val="34"/>
        <w:ind w:firstLine="0" w:firstLineChars="0"/>
        <w:rPr>
          <w:color w:val="auto"/>
          <w:szCs w:val="21"/>
          <w:highlight w:val="none"/>
        </w:rPr>
      </w:pPr>
      <w:r>
        <w:rPr>
          <w:rFonts w:hint="eastAsia"/>
          <w:b/>
          <w:bCs/>
          <w:color w:val="auto"/>
          <w:highlight w:val="none"/>
        </w:rPr>
        <w:t>注：</w:t>
      </w:r>
      <w:r>
        <w:rPr>
          <w:rFonts w:hint="eastAsia" w:ascii="宋体" w:hAnsi="宋体" w:cs="宋体"/>
          <w:b/>
          <w:bCs/>
          <w:color w:val="auto"/>
          <w:highlight w:val="none"/>
        </w:rPr>
        <w:t>表</w:t>
      </w:r>
      <w:r>
        <w:rPr>
          <w:rFonts w:hint="eastAsia" w:ascii="宋体" w:hAnsi="宋体" w:cs="宋体"/>
          <w:b/>
          <w:bCs/>
          <w:color w:val="auto"/>
          <w:highlight w:val="none"/>
          <w:lang w:eastAsia="zh-CN"/>
        </w:rPr>
        <w:t>后</w:t>
      </w:r>
      <w:r>
        <w:rPr>
          <w:rFonts w:hint="eastAsia" w:ascii="宋体" w:hAnsi="宋体" w:cs="宋体"/>
          <w:b/>
          <w:bCs/>
          <w:color w:val="auto"/>
          <w:highlight w:val="none"/>
        </w:rPr>
        <w:t>附</w:t>
      </w:r>
      <w:r>
        <w:rPr>
          <w:rFonts w:hint="eastAsia" w:ascii="宋体" w:hAnsi="宋体" w:cs="宋体"/>
          <w:b/>
          <w:bCs/>
          <w:color w:val="auto"/>
          <w:highlight w:val="none"/>
          <w:lang w:eastAsia="zh-CN"/>
        </w:rPr>
        <w:t>业绩合同原件</w:t>
      </w:r>
      <w:r>
        <w:rPr>
          <w:rFonts w:hint="eastAsia" w:ascii="宋体" w:hAnsi="宋体" w:cs="宋体"/>
          <w:b/>
          <w:bCs/>
          <w:color w:val="auto"/>
          <w:highlight w:val="none"/>
          <w:lang w:val="en-US" w:eastAsia="zh-CN"/>
        </w:rPr>
        <w:t>扫描件</w:t>
      </w:r>
      <w:r>
        <w:rPr>
          <w:rFonts w:hint="eastAsia" w:ascii="宋体" w:hAnsi="宋体" w:cs="宋体"/>
          <w:b/>
          <w:bCs/>
          <w:color w:val="auto"/>
          <w:highlight w:val="none"/>
        </w:rPr>
        <w:t>。</w:t>
      </w:r>
    </w:p>
    <w:p w14:paraId="46599369">
      <w:pPr>
        <w:ind w:firstLine="2520" w:firstLineChars="700"/>
        <w:rPr>
          <w:rFonts w:ascii="宋体" w:hAnsi="宋体" w:cs="宋体"/>
          <w:b/>
          <w:color w:val="auto"/>
          <w:sz w:val="24"/>
          <w:szCs w:val="20"/>
          <w:highlight w:val="none"/>
        </w:rPr>
      </w:pPr>
      <w:bookmarkStart w:id="262" w:name="_Toc4020"/>
      <w:bookmarkStart w:id="263" w:name="_Toc24727"/>
      <w:r>
        <w:rPr>
          <w:rFonts w:hint="eastAsia" w:ascii="宋体" w:hAnsi="宋体"/>
          <w:color w:val="auto"/>
          <w:sz w:val="36"/>
          <w:szCs w:val="36"/>
          <w:highlight w:val="none"/>
        </w:rPr>
        <w:br w:type="page"/>
      </w:r>
      <w:bookmarkEnd w:id="262"/>
      <w:bookmarkEnd w:id="263"/>
    </w:p>
    <w:p w14:paraId="250B362C">
      <w:pPr>
        <w:ind w:firstLine="1687" w:firstLineChars="700"/>
        <w:rPr>
          <w:rFonts w:ascii="宋体" w:hAnsi="宋体" w:cs="宋体"/>
          <w:b/>
          <w:color w:val="auto"/>
          <w:sz w:val="24"/>
          <w:szCs w:val="20"/>
        </w:rPr>
      </w:pPr>
    </w:p>
    <w:bookmarkEnd w:id="254"/>
    <w:p w14:paraId="00425C4D">
      <w:pPr>
        <w:tabs>
          <w:tab w:val="left" w:pos="1507"/>
        </w:tabs>
        <w:spacing w:line="360" w:lineRule="auto"/>
        <w:jc w:val="center"/>
        <w:outlineLvl w:val="0"/>
        <w:rPr>
          <w:b/>
          <w:color w:val="auto"/>
          <w:sz w:val="32"/>
          <w:szCs w:val="32"/>
        </w:rPr>
      </w:pPr>
      <w:bookmarkStart w:id="264" w:name="_Toc1220"/>
      <w:bookmarkStart w:id="265" w:name="_Toc28386"/>
      <w:bookmarkStart w:id="266" w:name="_Toc5715"/>
      <w:r>
        <w:rPr>
          <w:rFonts w:hint="eastAsia"/>
          <w:b/>
          <w:sz w:val="32"/>
          <w:szCs w:val="32"/>
          <w:lang w:val="en-US" w:eastAsia="zh-CN"/>
        </w:rPr>
        <w:t>六</w:t>
      </w:r>
      <w:r>
        <w:rPr>
          <w:rFonts w:hint="eastAsia"/>
          <w:b/>
          <w:sz w:val="28"/>
          <w:szCs w:val="28"/>
        </w:rPr>
        <w:t>、</w:t>
      </w:r>
      <w:r>
        <w:rPr>
          <w:b/>
          <w:color w:val="auto"/>
          <w:sz w:val="32"/>
          <w:szCs w:val="32"/>
        </w:rPr>
        <w:t>对招标文件的认同程度的声明</w:t>
      </w:r>
      <w:bookmarkEnd w:id="264"/>
      <w:bookmarkEnd w:id="265"/>
      <w:bookmarkEnd w:id="266"/>
    </w:p>
    <w:p w14:paraId="3C31B041">
      <w:pPr>
        <w:spacing w:line="360" w:lineRule="auto"/>
        <w:jc w:val="left"/>
        <w:outlineLvl w:val="9"/>
        <w:rPr>
          <w:color w:val="auto"/>
          <w:szCs w:val="21"/>
        </w:rPr>
      </w:pPr>
    </w:p>
    <w:p w14:paraId="79A96607">
      <w:pPr>
        <w:tabs>
          <w:tab w:val="left" w:pos="6720"/>
        </w:tabs>
        <w:spacing w:line="360" w:lineRule="auto"/>
        <w:outlineLvl w:val="9"/>
        <w:rPr>
          <w:rFonts w:eastAsia="仿宋_GB2312"/>
          <w:color w:val="auto"/>
          <w:sz w:val="24"/>
          <w:u w:val="single"/>
        </w:rPr>
      </w:pPr>
    </w:p>
    <w:p w14:paraId="16F5500F">
      <w:pPr>
        <w:tabs>
          <w:tab w:val="left" w:pos="6720"/>
        </w:tabs>
        <w:spacing w:line="580" w:lineRule="exact"/>
        <w:outlineLvl w:val="1"/>
        <w:rPr>
          <w:rFonts w:ascii="宋体" w:hAnsi="宋体"/>
          <w:color w:val="auto"/>
          <w:sz w:val="24"/>
          <w:szCs w:val="24"/>
        </w:rPr>
      </w:pPr>
      <w:r>
        <w:rPr>
          <w:rFonts w:ascii="宋体" w:hAnsi="宋体"/>
          <w:color w:val="auto"/>
          <w:sz w:val="24"/>
          <w:szCs w:val="24"/>
          <w:u w:val="single"/>
        </w:rPr>
        <w:t xml:space="preserve">    </w:t>
      </w:r>
      <w:r>
        <w:rPr>
          <w:rFonts w:hint="eastAsia" w:ascii="宋体" w:hAnsi="宋体"/>
          <w:color w:val="auto"/>
          <w:sz w:val="24"/>
          <w:szCs w:val="24"/>
          <w:u w:val="single"/>
        </w:rPr>
        <w:t xml:space="preserve">           </w:t>
      </w:r>
      <w:bookmarkStart w:id="267" w:name="_Toc31564"/>
      <w:bookmarkStart w:id="268" w:name="_Toc15293"/>
      <w:r>
        <w:rPr>
          <w:rFonts w:ascii="宋体" w:hAnsi="宋体"/>
          <w:color w:val="auto"/>
          <w:sz w:val="24"/>
          <w:szCs w:val="24"/>
          <w:u w:val="single"/>
        </w:rPr>
        <w:t>（招标人</w:t>
      </w:r>
      <w:r>
        <w:rPr>
          <w:rFonts w:hint="eastAsia" w:ascii="宋体" w:hAnsi="宋体"/>
          <w:color w:val="auto"/>
          <w:sz w:val="24"/>
          <w:szCs w:val="24"/>
          <w:u w:val="single"/>
          <w:lang w:eastAsia="zh-CN"/>
        </w:rPr>
        <w:t>）</w:t>
      </w:r>
      <w:r>
        <w:rPr>
          <w:rFonts w:ascii="宋体" w:hAnsi="宋体"/>
          <w:color w:val="auto"/>
          <w:sz w:val="24"/>
          <w:szCs w:val="24"/>
        </w:rPr>
        <w:t>：</w:t>
      </w:r>
      <w:bookmarkEnd w:id="267"/>
      <w:bookmarkEnd w:id="268"/>
    </w:p>
    <w:p w14:paraId="1D215DA4">
      <w:pPr>
        <w:spacing w:line="580" w:lineRule="exact"/>
        <w:jc w:val="left"/>
        <w:outlineLvl w:val="1"/>
        <w:rPr>
          <w:rFonts w:ascii="宋体" w:hAnsi="宋体"/>
          <w:color w:val="auto"/>
          <w:sz w:val="24"/>
          <w:szCs w:val="24"/>
        </w:rPr>
      </w:pPr>
      <w:r>
        <w:rPr>
          <w:rFonts w:ascii="宋体" w:hAnsi="宋体"/>
          <w:color w:val="auto"/>
          <w:sz w:val="24"/>
          <w:szCs w:val="24"/>
        </w:rPr>
        <w:t xml:space="preserve">    </w:t>
      </w:r>
      <w:bookmarkStart w:id="269" w:name="_Toc19653"/>
      <w:bookmarkStart w:id="270" w:name="_Toc45"/>
      <w:r>
        <w:rPr>
          <w:rFonts w:ascii="宋体" w:hAnsi="宋体"/>
          <w:color w:val="auto"/>
          <w:sz w:val="24"/>
          <w:szCs w:val="24"/>
        </w:rPr>
        <w:t>经我方对</w:t>
      </w:r>
      <w:r>
        <w:rPr>
          <w:rFonts w:hint="eastAsia" w:ascii="宋体" w:hAnsi="宋体"/>
          <w:color w:val="auto"/>
          <w:sz w:val="24"/>
          <w:szCs w:val="24"/>
          <w:lang w:eastAsia="zh-CN"/>
        </w:rPr>
        <w:t>菏泽市牡丹区乡镇水环境综合治理项目（第二批施工、监理及跟踪审计）</w:t>
      </w:r>
      <w:r>
        <w:rPr>
          <w:rFonts w:hint="eastAsia" w:ascii="宋体" w:hAnsi="宋体"/>
          <w:color w:val="auto"/>
          <w:kern w:val="0"/>
          <w:sz w:val="24"/>
          <w:szCs w:val="24"/>
          <w:u w:val="single" w:color="auto"/>
          <w:lang w:val="en-US" w:eastAsia="zh-CN"/>
        </w:rPr>
        <w:t>五标段</w:t>
      </w:r>
      <w:r>
        <w:rPr>
          <w:rFonts w:hint="eastAsia" w:ascii="宋体" w:hAnsi="宋体"/>
          <w:color w:val="auto"/>
          <w:kern w:val="0"/>
          <w:sz w:val="24"/>
          <w:szCs w:val="24"/>
          <w:u w:val="none" w:color="auto"/>
          <w:lang w:val="en-US" w:eastAsia="zh-CN"/>
        </w:rPr>
        <w:t>招标文件</w:t>
      </w:r>
      <w:r>
        <w:rPr>
          <w:rFonts w:ascii="宋体" w:hAnsi="宋体"/>
          <w:color w:val="auto"/>
          <w:sz w:val="24"/>
          <w:szCs w:val="24"/>
          <w:highlight w:val="none"/>
        </w:rPr>
        <w:t>（项目编号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r>
        <w:rPr>
          <w:rFonts w:ascii="宋体" w:hAnsi="宋体"/>
          <w:color w:val="auto"/>
          <w:sz w:val="24"/>
          <w:szCs w:val="24"/>
        </w:rPr>
        <w:t>仔细、认真的研究之后，对招标文件中所有的规定要求、条件全部确认，对招标文件的全部内容予以认同。</w:t>
      </w:r>
      <w:bookmarkEnd w:id="269"/>
      <w:bookmarkEnd w:id="270"/>
    </w:p>
    <w:p w14:paraId="2FA0A18C">
      <w:pPr>
        <w:spacing w:line="360" w:lineRule="auto"/>
        <w:ind w:firstLine="480" w:firstLineChars="200"/>
        <w:outlineLvl w:val="9"/>
        <w:rPr>
          <w:rFonts w:ascii="宋体" w:hAnsi="宋体"/>
          <w:color w:val="auto"/>
          <w:sz w:val="24"/>
          <w:szCs w:val="24"/>
        </w:rPr>
      </w:pPr>
    </w:p>
    <w:p w14:paraId="578694F2">
      <w:pPr>
        <w:spacing w:line="360" w:lineRule="auto"/>
        <w:ind w:firstLine="480" w:firstLineChars="200"/>
        <w:outlineLvl w:val="9"/>
        <w:rPr>
          <w:rFonts w:ascii="宋体" w:hAnsi="宋体"/>
          <w:color w:val="auto"/>
          <w:sz w:val="24"/>
          <w:szCs w:val="24"/>
        </w:rPr>
      </w:pPr>
    </w:p>
    <w:p w14:paraId="58FD7A07">
      <w:pPr>
        <w:spacing w:line="360" w:lineRule="auto"/>
        <w:outlineLvl w:val="1"/>
        <w:rPr>
          <w:rFonts w:ascii="宋体" w:hAnsi="宋体"/>
          <w:color w:val="auto"/>
          <w:sz w:val="24"/>
          <w:szCs w:val="24"/>
        </w:rPr>
      </w:pPr>
      <w:bookmarkStart w:id="271" w:name="_Toc9670"/>
      <w:bookmarkStart w:id="272" w:name="_Toc12762"/>
      <w:r>
        <w:rPr>
          <w:rFonts w:ascii="宋体" w:hAnsi="宋体"/>
          <w:color w:val="auto"/>
          <w:sz w:val="24"/>
          <w:szCs w:val="24"/>
        </w:rPr>
        <w:t>特此声明！</w:t>
      </w:r>
      <w:bookmarkEnd w:id="271"/>
      <w:bookmarkEnd w:id="272"/>
    </w:p>
    <w:p w14:paraId="766428FE">
      <w:pPr>
        <w:spacing w:line="360" w:lineRule="auto"/>
        <w:outlineLvl w:val="9"/>
        <w:rPr>
          <w:rFonts w:ascii="宋体" w:hAnsi="宋体"/>
          <w:color w:val="auto"/>
          <w:sz w:val="24"/>
          <w:szCs w:val="24"/>
        </w:rPr>
      </w:pPr>
    </w:p>
    <w:p w14:paraId="6B5C5E0B">
      <w:pPr>
        <w:spacing w:line="360" w:lineRule="auto"/>
        <w:outlineLvl w:val="9"/>
        <w:rPr>
          <w:rFonts w:ascii="宋体" w:hAnsi="宋体"/>
          <w:color w:val="auto"/>
          <w:sz w:val="24"/>
          <w:szCs w:val="24"/>
        </w:rPr>
      </w:pPr>
    </w:p>
    <w:p w14:paraId="1D8605A9">
      <w:pPr>
        <w:spacing w:line="360" w:lineRule="auto"/>
        <w:outlineLvl w:val="9"/>
        <w:rPr>
          <w:rFonts w:ascii="宋体" w:hAnsi="宋体"/>
          <w:color w:val="auto"/>
          <w:sz w:val="24"/>
          <w:szCs w:val="24"/>
        </w:rPr>
      </w:pPr>
    </w:p>
    <w:p w14:paraId="030FDD0F">
      <w:pPr>
        <w:spacing w:line="360" w:lineRule="auto"/>
        <w:outlineLvl w:val="9"/>
        <w:rPr>
          <w:rFonts w:ascii="宋体" w:hAnsi="宋体"/>
          <w:color w:val="auto"/>
          <w:sz w:val="24"/>
          <w:szCs w:val="24"/>
        </w:rPr>
      </w:pPr>
    </w:p>
    <w:p w14:paraId="6F62A062">
      <w:pPr>
        <w:spacing w:line="360" w:lineRule="auto"/>
        <w:outlineLvl w:val="9"/>
        <w:rPr>
          <w:rFonts w:ascii="宋体" w:hAnsi="宋体"/>
          <w:color w:val="auto"/>
          <w:sz w:val="24"/>
          <w:szCs w:val="24"/>
        </w:rPr>
      </w:pPr>
    </w:p>
    <w:p w14:paraId="393B0B26">
      <w:pPr>
        <w:widowControl/>
        <w:spacing w:line="600" w:lineRule="exact"/>
        <w:textAlignment w:val="baseline"/>
        <w:outlineLvl w:val="1"/>
        <w:rPr>
          <w:rFonts w:ascii="宋体" w:hAnsi="宋体"/>
          <w:color w:val="auto"/>
          <w:sz w:val="24"/>
          <w:szCs w:val="24"/>
        </w:rPr>
      </w:pPr>
      <w:bookmarkStart w:id="273" w:name="_Toc24530"/>
      <w:bookmarkStart w:id="274" w:name="_Toc11436"/>
      <w:r>
        <w:rPr>
          <w:rFonts w:ascii="宋体" w:hAnsi="宋体"/>
          <w:color w:val="auto"/>
          <w:sz w:val="24"/>
          <w:szCs w:val="24"/>
        </w:rPr>
        <w:t>投  标  人：</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ascii="宋体" w:hAnsi="宋体"/>
          <w:color w:val="auto"/>
          <w:sz w:val="24"/>
          <w:szCs w:val="24"/>
          <w:u w:val="single"/>
        </w:rPr>
        <w:t>（</w:t>
      </w:r>
      <w:r>
        <w:rPr>
          <w:rFonts w:hint="eastAsia" w:ascii="宋体" w:hAnsi="宋体"/>
          <w:color w:val="auto"/>
          <w:sz w:val="24"/>
          <w:szCs w:val="24"/>
          <w:u w:val="single"/>
        </w:rPr>
        <w:t>加盖单位公章</w:t>
      </w:r>
      <w:r>
        <w:rPr>
          <w:rFonts w:ascii="宋体" w:hAnsi="宋体"/>
          <w:color w:val="auto"/>
          <w:sz w:val="24"/>
          <w:szCs w:val="24"/>
          <w:u w:val="single"/>
        </w:rPr>
        <w:t>）</w:t>
      </w:r>
      <w:bookmarkEnd w:id="273"/>
      <w:bookmarkEnd w:id="274"/>
    </w:p>
    <w:p w14:paraId="08DF5364">
      <w:pPr>
        <w:widowControl/>
        <w:spacing w:line="600" w:lineRule="exact"/>
        <w:ind w:firstLine="3240" w:firstLineChars="1350"/>
        <w:textAlignment w:val="baseline"/>
        <w:outlineLvl w:val="9"/>
        <w:rPr>
          <w:rFonts w:ascii="宋体" w:hAnsi="宋体"/>
          <w:color w:val="auto"/>
          <w:sz w:val="24"/>
          <w:szCs w:val="24"/>
        </w:rPr>
      </w:pPr>
    </w:p>
    <w:p w14:paraId="1EDC4A6F">
      <w:pPr>
        <w:widowControl/>
        <w:spacing w:line="600" w:lineRule="exact"/>
        <w:textAlignment w:val="baseline"/>
        <w:outlineLvl w:val="1"/>
        <w:rPr>
          <w:rFonts w:ascii="宋体" w:hAnsi="宋体"/>
          <w:color w:val="auto"/>
          <w:sz w:val="24"/>
          <w:szCs w:val="24"/>
        </w:rPr>
      </w:pPr>
      <w:bookmarkStart w:id="275" w:name="_Toc32687"/>
      <w:bookmarkStart w:id="276" w:name="_Toc16669"/>
      <w:r>
        <w:rPr>
          <w:rFonts w:ascii="宋体" w:hAnsi="宋体"/>
          <w:color w:val="auto"/>
          <w:sz w:val="24"/>
          <w:szCs w:val="24"/>
        </w:rPr>
        <w:t>法定代表人或委托代理人：</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ascii="宋体" w:hAnsi="宋体"/>
          <w:color w:val="auto"/>
          <w:sz w:val="24"/>
          <w:szCs w:val="24"/>
          <w:u w:val="single"/>
        </w:rPr>
        <w:t>（签字</w:t>
      </w:r>
      <w:r>
        <w:rPr>
          <w:rFonts w:hint="eastAsia" w:ascii="宋体" w:hAnsi="宋体"/>
          <w:color w:val="auto"/>
          <w:sz w:val="24"/>
          <w:szCs w:val="24"/>
          <w:u w:val="single"/>
        </w:rPr>
        <w:t>或盖章</w:t>
      </w:r>
      <w:r>
        <w:rPr>
          <w:rFonts w:ascii="宋体" w:hAnsi="宋体"/>
          <w:color w:val="auto"/>
          <w:sz w:val="24"/>
          <w:szCs w:val="24"/>
          <w:u w:val="single"/>
        </w:rPr>
        <w:t>）</w:t>
      </w:r>
      <w:bookmarkEnd w:id="275"/>
      <w:bookmarkEnd w:id="276"/>
      <w:r>
        <w:rPr>
          <w:rFonts w:ascii="宋体" w:hAnsi="宋体"/>
          <w:color w:val="auto"/>
          <w:sz w:val="24"/>
          <w:szCs w:val="24"/>
          <w:u w:val="single"/>
        </w:rPr>
        <w:t xml:space="preserve"> </w:t>
      </w:r>
      <w:r>
        <w:rPr>
          <w:rFonts w:ascii="宋体" w:hAnsi="宋体"/>
          <w:color w:val="auto"/>
          <w:sz w:val="24"/>
          <w:szCs w:val="24"/>
        </w:rPr>
        <w:t xml:space="preserve"> </w:t>
      </w:r>
    </w:p>
    <w:p w14:paraId="6A6122B9">
      <w:pPr>
        <w:widowControl/>
        <w:spacing w:line="600" w:lineRule="exact"/>
        <w:textAlignment w:val="baseline"/>
        <w:outlineLvl w:val="9"/>
        <w:rPr>
          <w:rFonts w:ascii="宋体" w:hAnsi="宋体"/>
          <w:color w:val="auto"/>
          <w:sz w:val="24"/>
          <w:szCs w:val="24"/>
        </w:rPr>
      </w:pPr>
    </w:p>
    <w:p w14:paraId="15E88025">
      <w:pPr>
        <w:widowControl/>
        <w:spacing w:line="600" w:lineRule="exact"/>
        <w:textAlignment w:val="baseline"/>
        <w:outlineLvl w:val="1"/>
        <w:rPr>
          <w:rFonts w:ascii="宋体" w:hAnsi="宋体"/>
          <w:b/>
          <w:color w:val="auto"/>
          <w:sz w:val="24"/>
          <w:szCs w:val="24"/>
        </w:rPr>
      </w:pPr>
      <w:bookmarkStart w:id="277" w:name="_Toc32533"/>
      <w:bookmarkStart w:id="278" w:name="_Toc14130"/>
      <w:r>
        <w:rPr>
          <w:rFonts w:ascii="宋体" w:hAnsi="宋体"/>
          <w:color w:val="auto"/>
          <w:sz w:val="24"/>
          <w:szCs w:val="24"/>
        </w:rPr>
        <w:t>日    期：</w:t>
      </w:r>
      <w:r>
        <w:rPr>
          <w:rFonts w:ascii="宋体" w:hAnsi="宋体"/>
          <w:color w:val="auto"/>
          <w:sz w:val="24"/>
          <w:szCs w:val="24"/>
          <w:u w:val="single"/>
        </w:rPr>
        <w:t xml:space="preserve">     </w:t>
      </w:r>
      <w:r>
        <w:rPr>
          <w:rFonts w:ascii="宋体" w:hAnsi="宋体"/>
          <w:color w:val="auto"/>
          <w:sz w:val="24"/>
          <w:szCs w:val="24"/>
        </w:rPr>
        <w:t>年</w:t>
      </w:r>
      <w:r>
        <w:rPr>
          <w:rFonts w:ascii="宋体" w:hAnsi="宋体"/>
          <w:color w:val="auto"/>
          <w:sz w:val="24"/>
          <w:szCs w:val="24"/>
          <w:u w:val="single"/>
        </w:rPr>
        <w:t xml:space="preserve">      </w:t>
      </w:r>
      <w:r>
        <w:rPr>
          <w:rFonts w:ascii="宋体" w:hAnsi="宋体"/>
          <w:color w:val="auto"/>
          <w:sz w:val="24"/>
          <w:szCs w:val="24"/>
        </w:rPr>
        <w:t>月</w:t>
      </w:r>
      <w:r>
        <w:rPr>
          <w:rFonts w:ascii="宋体" w:hAnsi="宋体"/>
          <w:color w:val="auto"/>
          <w:sz w:val="24"/>
          <w:szCs w:val="24"/>
          <w:u w:val="single"/>
        </w:rPr>
        <w:t xml:space="preserve">      </w:t>
      </w:r>
      <w:r>
        <w:rPr>
          <w:rFonts w:ascii="宋体" w:hAnsi="宋体"/>
          <w:color w:val="auto"/>
          <w:sz w:val="24"/>
          <w:szCs w:val="24"/>
        </w:rPr>
        <w:t>日</w:t>
      </w:r>
      <w:bookmarkEnd w:id="277"/>
      <w:bookmarkEnd w:id="278"/>
    </w:p>
    <w:p w14:paraId="68B76F2C">
      <w:pPr>
        <w:rPr>
          <w:rFonts w:asciiTheme="majorEastAsia" w:hAnsiTheme="majorEastAsia" w:eastAsiaTheme="majorEastAsia" w:cstheme="majorEastAsia"/>
          <w:szCs w:val="28"/>
          <w:highlight w:val="none"/>
        </w:rPr>
      </w:pPr>
    </w:p>
    <w:p w14:paraId="05AF5688">
      <w:pPr>
        <w:rPr>
          <w:rFonts w:asciiTheme="majorEastAsia" w:hAnsiTheme="majorEastAsia" w:eastAsiaTheme="majorEastAsia" w:cstheme="majorEastAsia"/>
          <w:szCs w:val="28"/>
          <w:highlight w:val="none"/>
        </w:rPr>
      </w:pPr>
    </w:p>
    <w:p w14:paraId="38016CA7">
      <w:pPr>
        <w:rPr>
          <w:rFonts w:asciiTheme="majorEastAsia" w:hAnsiTheme="majorEastAsia" w:eastAsiaTheme="majorEastAsia" w:cstheme="majorEastAsia"/>
          <w:szCs w:val="28"/>
          <w:highlight w:val="none"/>
        </w:rPr>
      </w:pPr>
    </w:p>
    <w:p w14:paraId="500C6B81">
      <w:pPr>
        <w:rPr>
          <w:rFonts w:asciiTheme="majorEastAsia" w:hAnsiTheme="majorEastAsia" w:eastAsiaTheme="majorEastAsia" w:cstheme="majorEastAsia"/>
          <w:szCs w:val="28"/>
          <w:highlight w:val="none"/>
        </w:rPr>
      </w:pPr>
    </w:p>
    <w:p w14:paraId="741A0382">
      <w:pPr>
        <w:rPr>
          <w:rFonts w:asciiTheme="majorEastAsia" w:hAnsiTheme="majorEastAsia" w:eastAsiaTheme="majorEastAsia" w:cstheme="majorEastAsia"/>
          <w:szCs w:val="28"/>
          <w:highlight w:val="none"/>
        </w:rPr>
      </w:pPr>
    </w:p>
    <w:p w14:paraId="39576DB1">
      <w:pPr>
        <w:rPr>
          <w:rFonts w:asciiTheme="majorEastAsia" w:hAnsiTheme="majorEastAsia" w:eastAsiaTheme="majorEastAsia" w:cstheme="majorEastAsia"/>
          <w:szCs w:val="28"/>
          <w:highlight w:val="none"/>
        </w:rPr>
      </w:pPr>
    </w:p>
    <w:p w14:paraId="4FB5DFAF">
      <w:pPr>
        <w:rPr>
          <w:rFonts w:asciiTheme="majorEastAsia" w:hAnsiTheme="majorEastAsia" w:eastAsiaTheme="majorEastAsia" w:cstheme="majorEastAsia"/>
          <w:szCs w:val="28"/>
          <w:highlight w:val="none"/>
        </w:rPr>
      </w:pPr>
    </w:p>
    <w:p w14:paraId="375638A6">
      <w:pPr>
        <w:rPr>
          <w:rFonts w:asciiTheme="majorEastAsia" w:hAnsiTheme="majorEastAsia" w:eastAsiaTheme="majorEastAsia" w:cstheme="majorEastAsia"/>
          <w:szCs w:val="28"/>
          <w:highlight w:val="none"/>
        </w:rPr>
      </w:pPr>
    </w:p>
    <w:p w14:paraId="1FBCAB52">
      <w:pPr>
        <w:rPr>
          <w:rFonts w:asciiTheme="majorEastAsia" w:hAnsiTheme="majorEastAsia" w:eastAsiaTheme="majorEastAsia" w:cstheme="majorEastAsia"/>
          <w:szCs w:val="28"/>
          <w:highlight w:val="none"/>
        </w:rPr>
      </w:pPr>
    </w:p>
    <w:p w14:paraId="356FA7BC">
      <w:pPr>
        <w:rPr>
          <w:rFonts w:asciiTheme="majorEastAsia" w:hAnsiTheme="majorEastAsia" w:eastAsiaTheme="majorEastAsia" w:cstheme="majorEastAsia"/>
          <w:szCs w:val="28"/>
          <w:highlight w:val="none"/>
        </w:rPr>
      </w:pPr>
    </w:p>
    <w:p w14:paraId="37D5ED43">
      <w:pPr>
        <w:rPr>
          <w:rFonts w:asciiTheme="majorEastAsia" w:hAnsiTheme="majorEastAsia" w:eastAsiaTheme="majorEastAsia" w:cstheme="majorEastAsia"/>
          <w:szCs w:val="28"/>
          <w:highlight w:val="none"/>
        </w:rPr>
      </w:pPr>
    </w:p>
    <w:p w14:paraId="6AFF8EB7">
      <w:pPr>
        <w:rPr>
          <w:rFonts w:asciiTheme="majorEastAsia" w:hAnsiTheme="majorEastAsia" w:eastAsiaTheme="majorEastAsia" w:cstheme="majorEastAsia"/>
          <w:szCs w:val="28"/>
          <w:highlight w:val="none"/>
        </w:rPr>
      </w:pPr>
    </w:p>
    <w:p w14:paraId="72084747">
      <w:pPr>
        <w:rPr>
          <w:rFonts w:asciiTheme="majorEastAsia" w:hAnsiTheme="majorEastAsia" w:eastAsiaTheme="majorEastAsia" w:cstheme="majorEastAsia"/>
          <w:szCs w:val="28"/>
          <w:highlight w:val="none"/>
        </w:rPr>
      </w:pPr>
    </w:p>
    <w:p w14:paraId="6794D455">
      <w:pPr>
        <w:rPr>
          <w:rFonts w:asciiTheme="majorEastAsia" w:hAnsiTheme="majorEastAsia" w:eastAsiaTheme="majorEastAsia" w:cstheme="majorEastAsia"/>
          <w:szCs w:val="28"/>
          <w:highlight w:val="none"/>
        </w:rPr>
      </w:pPr>
    </w:p>
    <w:p w14:paraId="7FC5C0A5">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lang w:eastAsia="zh-CN"/>
        </w:rPr>
      </w:pPr>
    </w:p>
    <w:p w14:paraId="07FFF5FD">
      <w:pPr>
        <w:spacing w:before="120" w:beforeLines="50" w:after="120" w:afterLines="50"/>
        <w:jc w:val="center"/>
        <w:outlineLvl w:val="1"/>
        <w:rPr>
          <w:rStyle w:val="42"/>
          <w:rFonts w:hint="eastAsia" w:asciiTheme="majorEastAsia" w:hAnsiTheme="majorEastAsia" w:eastAsiaTheme="majorEastAsia" w:cstheme="majorEastAsia"/>
          <w:b/>
          <w:bCs/>
          <w:sz w:val="28"/>
          <w:highlight w:val="none"/>
        </w:rPr>
      </w:pPr>
      <w:bookmarkStart w:id="279" w:name="_Toc2032"/>
      <w:bookmarkStart w:id="280" w:name="_Toc30034"/>
      <w:r>
        <w:rPr>
          <w:rStyle w:val="42"/>
          <w:rFonts w:hint="eastAsia" w:asciiTheme="majorEastAsia" w:hAnsiTheme="majorEastAsia" w:eastAsiaTheme="majorEastAsia" w:cstheme="majorEastAsia"/>
          <w:b/>
          <w:bCs/>
          <w:sz w:val="28"/>
          <w:highlight w:val="none"/>
          <w:lang w:eastAsia="zh-CN"/>
        </w:rPr>
        <w:t>七、</w:t>
      </w:r>
      <w:r>
        <w:rPr>
          <w:rFonts w:hint="eastAsia"/>
          <w:b/>
          <w:sz w:val="28"/>
          <w:szCs w:val="28"/>
        </w:rPr>
        <w:t>投标人认为需要提供的其他资料</w:t>
      </w:r>
      <w:bookmarkEnd w:id="279"/>
      <w:bookmarkEnd w:id="280"/>
    </w:p>
    <w:p w14:paraId="62E6E2D4">
      <w:pPr>
        <w:bidi w:val="0"/>
        <w:rPr>
          <w:highlight w:val="none"/>
        </w:rPr>
      </w:pPr>
    </w:p>
    <w:p w14:paraId="5EB23A59">
      <w:pPr>
        <w:bidi w:val="0"/>
        <w:rPr>
          <w:highlight w:val="none"/>
        </w:rPr>
      </w:pPr>
    </w:p>
    <w:p w14:paraId="4494F227">
      <w:pPr>
        <w:bidi w:val="0"/>
        <w:rPr>
          <w:highlight w:val="none"/>
        </w:rPr>
      </w:pPr>
    </w:p>
    <w:p w14:paraId="2A2843F3">
      <w:pPr>
        <w:bidi w:val="0"/>
        <w:rPr>
          <w:highlight w:val="none"/>
        </w:rPr>
      </w:pPr>
    </w:p>
    <w:p w14:paraId="07E75480">
      <w:pPr>
        <w:bidi w:val="0"/>
        <w:rPr>
          <w:highlight w:val="none"/>
        </w:rPr>
      </w:pPr>
    </w:p>
    <w:p w14:paraId="2CE311FD">
      <w:pPr>
        <w:bidi w:val="0"/>
        <w:rPr>
          <w:highlight w:val="none"/>
        </w:rPr>
      </w:pPr>
    </w:p>
    <w:p w14:paraId="1D178E84">
      <w:pPr>
        <w:bidi w:val="0"/>
        <w:rPr>
          <w:highlight w:val="none"/>
        </w:rPr>
      </w:pPr>
    </w:p>
    <w:p w14:paraId="3979F1F0">
      <w:pPr>
        <w:bidi w:val="0"/>
        <w:rPr>
          <w:highlight w:val="none"/>
        </w:rPr>
      </w:pPr>
    </w:p>
    <w:p w14:paraId="717FB560">
      <w:pPr>
        <w:bidi w:val="0"/>
        <w:rPr>
          <w:highlight w:val="none"/>
        </w:rPr>
      </w:pPr>
    </w:p>
    <w:p w14:paraId="028380A0">
      <w:pPr>
        <w:bidi w:val="0"/>
        <w:rPr>
          <w:highlight w:val="none"/>
        </w:rPr>
      </w:pPr>
    </w:p>
    <w:p w14:paraId="10858598">
      <w:pPr>
        <w:bidi w:val="0"/>
        <w:rPr>
          <w:highlight w:val="none"/>
        </w:rPr>
      </w:pPr>
    </w:p>
    <w:p w14:paraId="73636419">
      <w:pPr>
        <w:bidi w:val="0"/>
        <w:rPr>
          <w:highlight w:val="none"/>
        </w:rPr>
      </w:pPr>
    </w:p>
    <w:p w14:paraId="3D62316C">
      <w:pPr>
        <w:bidi w:val="0"/>
        <w:rPr>
          <w:highlight w:val="none"/>
        </w:rPr>
      </w:pPr>
    </w:p>
    <w:p w14:paraId="3A63CED0">
      <w:pPr>
        <w:bidi w:val="0"/>
        <w:rPr>
          <w:highlight w:val="none"/>
        </w:rPr>
      </w:pPr>
    </w:p>
    <w:p w14:paraId="54B15050">
      <w:pPr>
        <w:bidi w:val="0"/>
        <w:rPr>
          <w:highlight w:val="none"/>
        </w:rPr>
      </w:pPr>
    </w:p>
    <w:p w14:paraId="339F6270">
      <w:pPr>
        <w:bidi w:val="0"/>
        <w:rPr>
          <w:highlight w:val="none"/>
        </w:rPr>
      </w:pPr>
    </w:p>
    <w:p w14:paraId="682F40AD">
      <w:pPr>
        <w:bidi w:val="0"/>
        <w:rPr>
          <w:highlight w:val="none"/>
        </w:rPr>
      </w:pPr>
    </w:p>
    <w:p w14:paraId="6BC4D876">
      <w:pPr>
        <w:bidi w:val="0"/>
        <w:rPr>
          <w:highlight w:val="none"/>
        </w:rPr>
      </w:pPr>
    </w:p>
    <w:p w14:paraId="4509B882">
      <w:pPr>
        <w:bidi w:val="0"/>
        <w:rPr>
          <w:highlight w:val="none"/>
        </w:rPr>
      </w:pPr>
    </w:p>
    <w:p w14:paraId="300F06DF">
      <w:pPr>
        <w:bidi w:val="0"/>
        <w:rPr>
          <w:highlight w:val="none"/>
        </w:rPr>
      </w:pPr>
    </w:p>
    <w:p w14:paraId="1C7D32C3">
      <w:pPr>
        <w:bidi w:val="0"/>
        <w:rPr>
          <w:highlight w:val="none"/>
        </w:rPr>
      </w:pPr>
    </w:p>
    <w:p w14:paraId="3E4DCFCC">
      <w:pPr>
        <w:bidi w:val="0"/>
        <w:rPr>
          <w:highlight w:val="none"/>
        </w:rPr>
      </w:pPr>
    </w:p>
    <w:p w14:paraId="5C67C0D2">
      <w:pPr>
        <w:bidi w:val="0"/>
        <w:rPr>
          <w:highlight w:val="none"/>
        </w:rPr>
      </w:pPr>
    </w:p>
    <w:p w14:paraId="3D96A311">
      <w:pPr>
        <w:bidi w:val="0"/>
        <w:rPr>
          <w:highlight w:val="none"/>
        </w:rPr>
      </w:pPr>
    </w:p>
    <w:p w14:paraId="31B46A0A">
      <w:pPr>
        <w:bidi w:val="0"/>
        <w:rPr>
          <w:highlight w:val="none"/>
        </w:rPr>
      </w:pPr>
    </w:p>
    <w:p w14:paraId="1362B991">
      <w:pPr>
        <w:bidi w:val="0"/>
        <w:rPr>
          <w:highlight w:val="none"/>
        </w:rPr>
      </w:pPr>
    </w:p>
    <w:p w14:paraId="674A10A1">
      <w:pPr>
        <w:bidi w:val="0"/>
        <w:rPr>
          <w:highlight w:val="none"/>
        </w:rPr>
      </w:pPr>
    </w:p>
    <w:p w14:paraId="7EDB6066">
      <w:pPr>
        <w:bidi w:val="0"/>
        <w:rPr>
          <w:highlight w:val="none"/>
        </w:rPr>
      </w:pPr>
    </w:p>
    <w:p w14:paraId="30185471">
      <w:pPr>
        <w:bidi w:val="0"/>
        <w:rPr>
          <w:highlight w:val="none"/>
        </w:rPr>
      </w:pPr>
    </w:p>
    <w:p w14:paraId="1C30A4CE">
      <w:pPr>
        <w:bidi w:val="0"/>
        <w:rPr>
          <w:highlight w:val="none"/>
        </w:rPr>
      </w:pPr>
    </w:p>
    <w:p w14:paraId="219EC42B">
      <w:pPr>
        <w:bidi w:val="0"/>
        <w:rPr>
          <w:highlight w:val="none"/>
        </w:rPr>
      </w:pPr>
    </w:p>
    <w:p w14:paraId="63C8419A">
      <w:pPr>
        <w:bidi w:val="0"/>
        <w:rPr>
          <w:highlight w:val="none"/>
        </w:rPr>
      </w:pPr>
    </w:p>
    <w:p w14:paraId="3CB12577">
      <w:pPr>
        <w:bidi w:val="0"/>
        <w:rPr>
          <w:highlight w:val="none"/>
        </w:rPr>
      </w:pPr>
    </w:p>
    <w:p w14:paraId="5681EBD9">
      <w:pPr>
        <w:bidi w:val="0"/>
        <w:rPr>
          <w:highlight w:val="none"/>
        </w:rPr>
      </w:pPr>
    </w:p>
    <w:p w14:paraId="2B4AEA12">
      <w:pPr>
        <w:bidi w:val="0"/>
        <w:rPr>
          <w:highlight w:val="none"/>
        </w:rPr>
      </w:pPr>
    </w:p>
    <w:p w14:paraId="05B767B0">
      <w:pPr>
        <w:bidi w:val="0"/>
        <w:rPr>
          <w:highlight w:val="none"/>
        </w:rPr>
      </w:pPr>
    </w:p>
    <w:p w14:paraId="77DCB3BA">
      <w:pPr>
        <w:bidi w:val="0"/>
        <w:rPr>
          <w:highlight w:val="none"/>
        </w:rPr>
      </w:pPr>
    </w:p>
    <w:p w14:paraId="41A24C10">
      <w:pPr>
        <w:bidi w:val="0"/>
        <w:rPr>
          <w:highlight w:val="none"/>
        </w:rPr>
      </w:pPr>
    </w:p>
    <w:p w14:paraId="15000DCE">
      <w:pPr>
        <w:bidi w:val="0"/>
        <w:rPr>
          <w:highlight w:val="none"/>
        </w:rPr>
      </w:pPr>
    </w:p>
    <w:p w14:paraId="148B0AA0">
      <w:pPr>
        <w:bidi w:val="0"/>
        <w:rPr>
          <w:highlight w:val="none"/>
        </w:rPr>
      </w:pPr>
    </w:p>
    <w:p w14:paraId="024C8C9A">
      <w:pPr>
        <w:bidi w:val="0"/>
        <w:rPr>
          <w:highlight w:val="none"/>
        </w:rPr>
      </w:pPr>
    </w:p>
    <w:p w14:paraId="4F09D187">
      <w:pPr>
        <w:bidi w:val="0"/>
        <w:jc w:val="center"/>
        <w:rPr>
          <w:highlight w:val="none"/>
        </w:rPr>
      </w:pPr>
    </w:p>
    <w:p w14:paraId="3C99B1E2">
      <w:pPr>
        <w:pStyle w:val="53"/>
        <w:rPr>
          <w:highlight w:val="none"/>
        </w:rPr>
      </w:pPr>
    </w:p>
    <w:p w14:paraId="6103BCCE">
      <w:pPr>
        <w:pStyle w:val="53"/>
        <w:rPr>
          <w:highlight w:val="none"/>
        </w:rPr>
      </w:pPr>
    </w:p>
    <w:p w14:paraId="646D081A">
      <w:pPr>
        <w:pStyle w:val="53"/>
        <w:rPr>
          <w:highlight w:val="none"/>
        </w:rPr>
      </w:pPr>
    </w:p>
    <w:p w14:paraId="0E672ADE">
      <w:pPr>
        <w:pStyle w:val="53"/>
        <w:rPr>
          <w:highlight w:val="none"/>
        </w:rPr>
      </w:pPr>
    </w:p>
    <w:p w14:paraId="512D6EC5">
      <w:pPr>
        <w:pStyle w:val="53"/>
        <w:rPr>
          <w:highlight w:val="none"/>
        </w:rPr>
      </w:pPr>
    </w:p>
    <w:p w14:paraId="083F5374">
      <w:pPr>
        <w:pStyle w:val="53"/>
        <w:rPr>
          <w:highlight w:val="none"/>
        </w:rPr>
      </w:pPr>
    </w:p>
    <w:p w14:paraId="2E2DEF0C">
      <w:pPr>
        <w:pStyle w:val="53"/>
        <w:rPr>
          <w:highlight w:val="none"/>
        </w:rPr>
      </w:pPr>
    </w:p>
    <w:p w14:paraId="7820DFEF">
      <w:pPr>
        <w:pStyle w:val="3"/>
        <w:numPr>
          <w:ilvl w:val="0"/>
          <w:numId w:val="0"/>
        </w:numPr>
        <w:spacing w:before="0" w:after="0" w:line="520" w:lineRule="exact"/>
        <w:jc w:val="both"/>
        <w:rPr>
          <w:rFonts w:hint="eastAsia" w:ascii="宋体" w:hAnsi="宋体" w:eastAsia="宋体" w:cs="宋体"/>
          <w:sz w:val="28"/>
          <w:szCs w:val="28"/>
          <w:lang w:val="en-US" w:eastAsia="zh-CN"/>
        </w:rPr>
      </w:pPr>
      <w:bookmarkStart w:id="281" w:name="_Toc21776"/>
      <w:bookmarkStart w:id="282" w:name="_Toc16674"/>
      <w:r>
        <w:rPr>
          <w:rFonts w:hint="eastAsia" w:ascii="宋体" w:hAnsi="宋体" w:eastAsia="宋体" w:cs="宋体"/>
          <w:color w:val="auto"/>
        </w:rPr>
        <w:t>附件：</w:t>
      </w:r>
      <w:r>
        <w:rPr>
          <w:rFonts w:hint="eastAsia" w:ascii="宋体" w:hAnsi="宋体" w:eastAsia="宋体" w:cs="宋体"/>
          <w:color w:val="auto"/>
          <w:lang w:val="en-US" w:eastAsia="zh-CN"/>
        </w:rPr>
        <w:t>符合政策的需提供证明材料</w:t>
      </w:r>
      <w:bookmarkEnd w:id="281"/>
      <w:bookmarkEnd w:id="282"/>
    </w:p>
    <w:p w14:paraId="0E2F42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宋体" w:cs="宋体"/>
          <w:b/>
          <w:color w:val="auto"/>
          <w:spacing w:val="2"/>
          <w:kern w:val="2"/>
          <w:sz w:val="32"/>
          <w:szCs w:val="32"/>
          <w:lang w:val="en-US" w:eastAsia="zh-CN" w:bidi="ar"/>
        </w:rPr>
      </w:pPr>
      <w:r>
        <w:rPr>
          <w:rFonts w:hint="eastAsia" w:ascii="Times New Roman" w:hAnsi="Times New Roman" w:eastAsia="宋体" w:cs="宋体"/>
          <w:b/>
          <w:color w:val="auto"/>
          <w:spacing w:val="2"/>
          <w:kern w:val="2"/>
          <w:sz w:val="32"/>
          <w:szCs w:val="32"/>
          <w:lang w:val="en-US" w:eastAsia="zh-CN" w:bidi="ar"/>
        </w:rPr>
        <w:t>（一）中小企业声明函</w:t>
      </w:r>
    </w:p>
    <w:p w14:paraId="464CEB8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招标人名称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705F36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w:t>
      </w:r>
      <w:r>
        <w:rPr>
          <w:rFonts w:hint="eastAsia" w:ascii="宋体" w:hAnsi="宋体" w:eastAsia="宋体" w:cs="宋体"/>
          <w:sz w:val="24"/>
          <w:szCs w:val="24"/>
          <w:highlight w:val="none"/>
          <w:u w:val="single"/>
          <w:lang w:val="en-US" w:eastAsia="zh-CN"/>
        </w:rPr>
        <w:t>（标的名称）</w:t>
      </w:r>
      <w:r>
        <w:rPr>
          <w:rFonts w:hint="eastAsia" w:ascii="宋体" w:hAnsi="宋体" w:eastAsia="宋体" w:cs="宋体"/>
          <w:sz w:val="24"/>
          <w:szCs w:val="24"/>
          <w:highlight w:val="none"/>
        </w:rPr>
        <w:t>，属于</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"_bookmark1"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14:paraId="3ECB248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万元，属于（中型企业、小型企业、微型企业）；</w:t>
      </w:r>
    </w:p>
    <w:p w14:paraId="3D9593A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w:t>
      </w:r>
    </w:p>
    <w:p w14:paraId="63F7226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552" w:firstLineChars="230"/>
        <w:textAlignment w:val="auto"/>
        <w:rPr>
          <w:rFonts w:hint="eastAsia" w:ascii="宋体" w:hAnsi="宋体" w:eastAsia="宋体" w:cs="宋体"/>
          <w:sz w:val="24"/>
          <w:szCs w:val="24"/>
        </w:rPr>
      </w:pPr>
      <w:r>
        <w:rPr>
          <w:rFonts w:hint="eastAsia" w:ascii="宋体" w:hAnsi="宋体" w:eastAsia="宋体" w:cs="宋体"/>
          <w:sz w:val="24"/>
          <w:szCs w:val="24"/>
        </w:rPr>
        <w:t xml:space="preserve">以上企业，不属于大企业的分支机构，不存在控股股东为大企业的情形，也不存在与大企业的负责人为同一人的情形。   </w:t>
      </w:r>
    </w:p>
    <w:p w14:paraId="5F1322D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企业</w:t>
      </w:r>
      <w:r>
        <w:rPr>
          <w:rFonts w:hint="eastAsia" w:ascii="宋体" w:hAnsi="宋体" w:eastAsia="宋体" w:cs="宋体"/>
          <w:sz w:val="24"/>
          <w:szCs w:val="24"/>
        </w:rPr>
        <w:t>对上述声明</w:t>
      </w:r>
      <w:r>
        <w:rPr>
          <w:rFonts w:hint="eastAsia" w:ascii="宋体" w:hAnsi="宋体" w:eastAsia="宋体" w:cs="宋体"/>
          <w:sz w:val="24"/>
          <w:szCs w:val="24"/>
          <w:lang w:eastAsia="zh-CN"/>
        </w:rPr>
        <w:t>内容</w:t>
      </w:r>
      <w:r>
        <w:rPr>
          <w:rFonts w:hint="eastAsia" w:ascii="宋体" w:hAnsi="宋体" w:eastAsia="宋体" w:cs="宋体"/>
          <w:sz w:val="24"/>
          <w:szCs w:val="24"/>
        </w:rPr>
        <w:t>的真实性负责。如有虚假，将依法承担相应责任。</w:t>
      </w:r>
    </w:p>
    <w:p w14:paraId="525BFDB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rPr>
      </w:pPr>
    </w:p>
    <w:p w14:paraId="1E0FB546">
      <w:pPr>
        <w:keepNext w:val="0"/>
        <w:keepLines w:val="0"/>
        <w:pageBreakBefore w:val="0"/>
        <w:widowControl w:val="0"/>
        <w:kinsoku/>
        <w:wordWrap/>
        <w:overflowPunct/>
        <w:topLinePunct w:val="0"/>
        <w:autoSpaceDE/>
        <w:autoSpaceDN/>
        <w:bidi w:val="0"/>
        <w:adjustRightInd/>
        <w:snapToGrid/>
        <w:spacing w:line="520" w:lineRule="exact"/>
        <w:ind w:firstLine="5280" w:firstLineChars="2200"/>
        <w:textAlignment w:val="auto"/>
        <w:rPr>
          <w:rFonts w:hint="eastAsia" w:ascii="宋体" w:hAnsi="宋体" w:eastAsia="宋体" w:cs="宋体"/>
          <w:sz w:val="24"/>
          <w:szCs w:val="24"/>
        </w:rPr>
      </w:pPr>
      <w:r>
        <w:rPr>
          <w:rFonts w:hint="eastAsia" w:ascii="宋体" w:hAnsi="宋体" w:eastAsia="宋体" w:cs="宋体"/>
          <w:sz w:val="24"/>
          <w:szCs w:val="24"/>
          <w:lang w:eastAsia="zh-CN"/>
        </w:rPr>
        <w:t>企业名称</w:t>
      </w:r>
      <w:r>
        <w:rPr>
          <w:rFonts w:hint="eastAsia" w:ascii="宋体" w:hAnsi="宋体" w:eastAsia="宋体" w:cs="宋体"/>
          <w:sz w:val="24"/>
          <w:szCs w:val="24"/>
        </w:rPr>
        <w:t>（盖章）：</w:t>
      </w:r>
    </w:p>
    <w:p w14:paraId="7239975B">
      <w:pPr>
        <w:keepNext w:val="0"/>
        <w:keepLines w:val="0"/>
        <w:pageBreakBefore w:val="0"/>
        <w:widowControl w:val="0"/>
        <w:tabs>
          <w:tab w:val="left" w:pos="1507"/>
        </w:tabs>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4"/>
          <w:szCs w:val="24"/>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日期：</w:t>
      </w:r>
    </w:p>
    <w:p w14:paraId="0087951C">
      <w:pPr>
        <w:tabs>
          <w:tab w:val="left" w:pos="1507"/>
        </w:tabs>
        <w:spacing w:line="500" w:lineRule="exact"/>
        <w:jc w:val="center"/>
        <w:rPr>
          <w:rFonts w:hint="eastAsia" w:ascii="宋体" w:hAnsi="宋体" w:eastAsia="宋体" w:cs="宋体"/>
          <w:b/>
          <w:sz w:val="24"/>
          <w:szCs w:val="24"/>
        </w:rPr>
      </w:pPr>
    </w:p>
    <w:p w14:paraId="0B3510E6">
      <w:pPr>
        <w:tabs>
          <w:tab w:val="left" w:pos="1507"/>
        </w:tabs>
        <w:spacing w:line="500" w:lineRule="exact"/>
        <w:jc w:val="center"/>
        <w:rPr>
          <w:rFonts w:hint="eastAsia" w:ascii="宋体" w:hAnsi="宋体" w:eastAsia="宋体" w:cs="宋体"/>
          <w:b/>
          <w:sz w:val="24"/>
          <w:szCs w:val="24"/>
        </w:rPr>
      </w:pPr>
    </w:p>
    <w:p w14:paraId="7C01CAE5">
      <w:pPr>
        <w:tabs>
          <w:tab w:val="left" w:pos="1507"/>
        </w:tabs>
        <w:spacing w:line="500" w:lineRule="exact"/>
        <w:jc w:val="center"/>
        <w:rPr>
          <w:rFonts w:hint="eastAsia" w:ascii="宋体" w:hAnsi="宋体" w:eastAsia="宋体" w:cs="宋体"/>
          <w:b/>
          <w:sz w:val="24"/>
          <w:szCs w:val="24"/>
        </w:rPr>
      </w:pPr>
    </w:p>
    <w:p w14:paraId="3ED29AC1">
      <w:pPr>
        <w:tabs>
          <w:tab w:val="left" w:pos="1507"/>
        </w:tabs>
        <w:spacing w:line="500" w:lineRule="exact"/>
        <w:jc w:val="center"/>
        <w:rPr>
          <w:rFonts w:hint="eastAsia" w:ascii="宋体" w:hAnsi="宋体" w:eastAsia="宋体" w:cs="宋体"/>
          <w:b/>
          <w:sz w:val="24"/>
          <w:szCs w:val="24"/>
        </w:rPr>
      </w:pPr>
    </w:p>
    <w:p w14:paraId="52B39992">
      <w:pPr>
        <w:pStyle w:val="17"/>
        <w:rPr>
          <w:rFonts w:hint="eastAsia" w:ascii="宋体" w:hAnsi="宋体" w:eastAsia="宋体" w:cs="宋体"/>
          <w:b/>
          <w:sz w:val="18"/>
          <w:szCs w:val="18"/>
        </w:rPr>
      </w:pPr>
    </w:p>
    <w:p w14:paraId="589A6EA5">
      <w:pPr>
        <w:pStyle w:val="53"/>
        <w:ind w:left="0" w:leftChars="0" w:firstLine="0" w:firstLineChars="0"/>
        <w:rPr>
          <w:rFonts w:hint="eastAsia" w:ascii="宋体" w:hAnsi="宋体" w:eastAsia="宋体" w:cs="宋体"/>
          <w:b/>
          <w:bCs/>
          <w:color w:val="000000"/>
          <w:sz w:val="21"/>
          <w:szCs w:val="21"/>
        </w:rPr>
      </w:pPr>
      <w:r>
        <w:rPr>
          <w:rFonts w:hint="eastAsia" w:ascii="宋体" w:hAnsi="宋体" w:eastAsia="宋体" w:cs="宋体"/>
          <w:b/>
          <w:sz w:val="21"/>
          <w:szCs w:val="21"/>
        </w:rPr>
        <w:t>注：</w:t>
      </w:r>
      <w:r>
        <w:rPr>
          <w:rFonts w:hint="eastAsia" w:ascii="宋体" w:hAnsi="宋体" w:eastAsia="宋体" w:cs="宋体"/>
          <w:b/>
          <w:bCs/>
          <w:color w:val="000000"/>
          <w:sz w:val="21"/>
          <w:szCs w:val="21"/>
        </w:rPr>
        <w:t>从业人员、营业收入、资产总额填报上一年度数据，无上一年度数据的新成立企业可不填报。</w:t>
      </w:r>
    </w:p>
    <w:p w14:paraId="54BCEE6C">
      <w:pPr>
        <w:pStyle w:val="53"/>
        <w:ind w:left="0" w:leftChars="0" w:firstLine="0" w:firstLineChars="0"/>
        <w:rPr>
          <w:rFonts w:hint="eastAsia" w:ascii="宋体" w:hAnsi="宋体" w:eastAsia="宋体" w:cs="宋体"/>
          <w:b/>
          <w:bCs/>
          <w:color w:val="000000"/>
          <w:sz w:val="21"/>
          <w:szCs w:val="21"/>
        </w:rPr>
      </w:pPr>
    </w:p>
    <w:p w14:paraId="500CCFB1">
      <w:pPr>
        <w:pStyle w:val="53"/>
        <w:ind w:left="0" w:leftChars="0" w:firstLine="0" w:firstLineChars="0"/>
        <w:rPr>
          <w:rFonts w:hint="eastAsia" w:ascii="宋体" w:hAnsi="宋体" w:eastAsia="宋体" w:cs="宋体"/>
          <w:b/>
          <w:bCs/>
          <w:color w:val="000000"/>
          <w:sz w:val="21"/>
          <w:szCs w:val="21"/>
        </w:rPr>
      </w:pPr>
    </w:p>
    <w:p w14:paraId="3A67E0D3">
      <w:pPr>
        <w:pStyle w:val="53"/>
        <w:ind w:left="0" w:leftChars="0" w:firstLine="0" w:firstLineChars="0"/>
        <w:rPr>
          <w:rFonts w:hint="eastAsia" w:ascii="宋体" w:hAnsi="宋体" w:eastAsia="宋体" w:cs="宋体"/>
          <w:b/>
          <w:bCs/>
          <w:color w:val="000000"/>
          <w:sz w:val="21"/>
          <w:szCs w:val="21"/>
        </w:rPr>
      </w:pPr>
    </w:p>
    <w:p w14:paraId="620E3420">
      <w:pPr>
        <w:pStyle w:val="14"/>
        <w:rPr>
          <w:b/>
          <w:color w:val="auto"/>
          <w:sz w:val="35"/>
        </w:rPr>
      </w:pPr>
    </w:p>
    <w:p w14:paraId="6D3CADD0">
      <w:pPr>
        <w:autoSpaceDE w:val="0"/>
        <w:autoSpaceDN w:val="0"/>
        <w:spacing w:before="120" w:after="120" w:line="300" w:lineRule="auto"/>
        <w:jc w:val="center"/>
        <w:rPr>
          <w:rFonts w:hint="eastAsia" w:ascii="宋体" w:hAnsi="宋体"/>
          <w:b/>
          <w:bCs/>
          <w:color w:val="auto"/>
          <w:sz w:val="30"/>
          <w:szCs w:val="30"/>
          <w:lang w:val="zh-CN"/>
        </w:rPr>
      </w:pPr>
      <w:r>
        <w:rPr>
          <w:rFonts w:hint="eastAsia" w:ascii="宋体" w:hAnsi="宋体"/>
          <w:b/>
          <w:bCs/>
          <w:color w:val="auto"/>
          <w:sz w:val="30"/>
          <w:szCs w:val="30"/>
          <w:lang w:val="zh-CN"/>
        </w:rPr>
        <w:t>（</w:t>
      </w:r>
      <w:r>
        <w:rPr>
          <w:rFonts w:hint="eastAsia" w:ascii="宋体" w:hAnsi="宋体"/>
          <w:b/>
          <w:bCs/>
          <w:color w:val="auto"/>
          <w:sz w:val="30"/>
          <w:szCs w:val="30"/>
          <w:lang w:val="en-US" w:eastAsia="zh-CN"/>
        </w:rPr>
        <w:t>二）</w:t>
      </w:r>
      <w:r>
        <w:rPr>
          <w:rFonts w:hint="eastAsia" w:ascii="宋体" w:hAnsi="宋体"/>
          <w:b/>
          <w:bCs/>
          <w:color w:val="auto"/>
          <w:sz w:val="30"/>
          <w:szCs w:val="30"/>
          <w:lang w:val="zh-CN"/>
        </w:rPr>
        <w:t>残疾人福利性单位声明函</w:t>
      </w:r>
    </w:p>
    <w:p w14:paraId="2DE7E3DA">
      <w:pPr>
        <w:autoSpaceDE w:val="0"/>
        <w:autoSpaceDN w:val="0"/>
        <w:spacing w:before="120" w:after="120" w:line="300" w:lineRule="auto"/>
        <w:jc w:val="center"/>
        <w:rPr>
          <w:rFonts w:ascii="宋体" w:hAnsi="宋体" w:cs="方正大标宋简体"/>
          <w:b/>
          <w:bCs/>
          <w:color w:val="auto"/>
          <w:sz w:val="24"/>
          <w:lang w:val="zh-CN"/>
        </w:rPr>
      </w:pPr>
      <w:r>
        <w:rPr>
          <w:rFonts w:hint="eastAsia" w:ascii="宋体" w:hAnsi="宋体"/>
          <w:b/>
          <w:bCs/>
          <w:color w:val="auto"/>
          <w:sz w:val="30"/>
          <w:szCs w:val="30"/>
          <w:lang w:val="zh-CN"/>
        </w:rPr>
        <w:t>（残疾人福利性单位提供）</w:t>
      </w:r>
    </w:p>
    <w:p w14:paraId="1879FF54">
      <w:pPr>
        <w:autoSpaceDE w:val="0"/>
        <w:autoSpaceDN w:val="0"/>
        <w:adjustRightInd w:val="0"/>
        <w:spacing w:line="520" w:lineRule="exact"/>
        <w:ind w:firstLine="480" w:firstLineChars="200"/>
        <w:rPr>
          <w:rFonts w:ascii="宋体" w:hAnsi="宋体" w:cs="宋体"/>
          <w:color w:val="auto"/>
          <w:sz w:val="24"/>
          <w:lang w:val="zh-CN"/>
        </w:rPr>
      </w:pPr>
      <w:r>
        <w:rPr>
          <w:rFonts w:hint="eastAsia" w:ascii="宋体" w:hAnsi="宋体" w:cs="宋体"/>
          <w:color w:val="auto"/>
          <w:sz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821FA5A">
      <w:pPr>
        <w:autoSpaceDE w:val="0"/>
        <w:autoSpaceDN w:val="0"/>
        <w:adjustRightInd w:val="0"/>
        <w:spacing w:line="520" w:lineRule="exact"/>
        <w:ind w:firstLine="480" w:firstLineChars="200"/>
        <w:rPr>
          <w:rFonts w:ascii="宋体" w:hAnsi="宋体" w:cs="宋体"/>
          <w:color w:val="auto"/>
          <w:sz w:val="24"/>
          <w:lang w:val="zh-CN"/>
        </w:rPr>
      </w:pPr>
      <w:r>
        <w:rPr>
          <w:rFonts w:hint="eastAsia" w:ascii="宋体" w:hAnsi="宋体" w:cs="宋体"/>
          <w:color w:val="auto"/>
          <w:sz w:val="24"/>
          <w:lang w:val="zh-CN"/>
        </w:rPr>
        <w:t>本单位对上述声明的真实性负责。如有虚假，将依法承担相应责任。</w:t>
      </w:r>
    </w:p>
    <w:p w14:paraId="4F93DDF4">
      <w:pPr>
        <w:autoSpaceDE w:val="0"/>
        <w:autoSpaceDN w:val="0"/>
        <w:adjustRightInd w:val="0"/>
        <w:spacing w:line="360" w:lineRule="auto"/>
        <w:ind w:firstLine="480" w:firstLineChars="200"/>
        <w:rPr>
          <w:rFonts w:ascii="宋体" w:hAnsi="宋体" w:cs="宋体"/>
          <w:color w:val="auto"/>
          <w:sz w:val="24"/>
          <w:lang w:val="zh-CN"/>
        </w:rPr>
      </w:pPr>
    </w:p>
    <w:p w14:paraId="5EF38741">
      <w:pPr>
        <w:autoSpaceDE w:val="0"/>
        <w:autoSpaceDN w:val="0"/>
        <w:adjustRightInd w:val="0"/>
        <w:spacing w:line="360" w:lineRule="auto"/>
        <w:ind w:firstLine="480" w:firstLineChars="200"/>
        <w:rPr>
          <w:rFonts w:ascii="宋体" w:hAnsi="宋体" w:cs="宋体"/>
          <w:color w:val="auto"/>
          <w:sz w:val="24"/>
          <w:lang w:val="zh-CN"/>
        </w:rPr>
      </w:pPr>
    </w:p>
    <w:p w14:paraId="23F99711">
      <w:pPr>
        <w:autoSpaceDE w:val="0"/>
        <w:autoSpaceDN w:val="0"/>
        <w:adjustRightInd w:val="0"/>
        <w:spacing w:line="360" w:lineRule="auto"/>
        <w:ind w:firstLine="480" w:firstLineChars="200"/>
        <w:rPr>
          <w:rFonts w:ascii="宋体" w:hAnsi="宋体" w:cs="宋体"/>
          <w:color w:val="auto"/>
          <w:sz w:val="24"/>
          <w:lang w:val="zh-CN"/>
        </w:rPr>
      </w:pPr>
    </w:p>
    <w:p w14:paraId="185728AB">
      <w:pPr>
        <w:tabs>
          <w:tab w:val="left" w:pos="1916"/>
        </w:tabs>
        <w:snapToGrid w:val="0"/>
        <w:spacing w:line="800" w:lineRule="exact"/>
        <w:rPr>
          <w:rFonts w:ascii="宋体"/>
          <w:color w:val="auto"/>
          <w:sz w:val="24"/>
          <w:szCs w:val="24"/>
        </w:rPr>
      </w:pPr>
      <w:r>
        <w:rPr>
          <w:rFonts w:hint="eastAsia" w:ascii="宋体" w:hAnsi="宋体"/>
          <w:sz w:val="24"/>
          <w:szCs w:val="24"/>
          <w:lang w:eastAsia="zh-CN"/>
        </w:rPr>
        <w:t>投标人</w:t>
      </w:r>
      <w:r>
        <w:rPr>
          <w:rFonts w:hint="eastAsia" w:ascii="宋体" w:hAnsi="宋体"/>
          <w:color w:val="auto"/>
          <w:sz w:val="24"/>
          <w:szCs w:val="24"/>
        </w:rPr>
        <w:t>：</w:t>
      </w:r>
      <w:r>
        <w:rPr>
          <w:rFonts w:ascii="宋体" w:hAnsi="宋体"/>
          <w:color w:val="auto"/>
          <w:sz w:val="24"/>
          <w:szCs w:val="24"/>
          <w:u w:val="single"/>
        </w:rPr>
        <w:t xml:space="preserve">                 </w:t>
      </w:r>
      <w:r>
        <w:rPr>
          <w:rFonts w:hint="eastAsia" w:ascii="宋体" w:hAnsi="宋体"/>
          <w:color w:val="auto"/>
          <w:sz w:val="24"/>
          <w:szCs w:val="24"/>
        </w:rPr>
        <w:t>（加盖单位公章）</w:t>
      </w:r>
      <w:r>
        <w:rPr>
          <w:rFonts w:ascii="宋体" w:hAnsi="宋体"/>
          <w:color w:val="auto"/>
          <w:sz w:val="24"/>
          <w:szCs w:val="24"/>
        </w:rPr>
        <w:t xml:space="preserve"> </w:t>
      </w:r>
    </w:p>
    <w:p w14:paraId="2AF70187">
      <w:pPr>
        <w:pStyle w:val="35"/>
        <w:ind w:firstLine="0" w:firstLineChars="0"/>
        <w:rPr>
          <w:rFonts w:hint="eastAsia" w:hAnsi="宋体"/>
          <w:color w:val="auto"/>
          <w:sz w:val="24"/>
        </w:rPr>
      </w:pPr>
    </w:p>
    <w:p w14:paraId="1C3BA172">
      <w:pPr>
        <w:pStyle w:val="35"/>
        <w:ind w:firstLine="0" w:firstLineChars="0"/>
        <w:rPr>
          <w:rFonts w:hint="eastAsia" w:hAnsi="宋体"/>
          <w:color w:val="auto"/>
          <w:sz w:val="24"/>
        </w:rPr>
      </w:pPr>
      <w:r>
        <w:rPr>
          <w:rFonts w:hint="eastAsia" w:hAnsi="宋体"/>
          <w:color w:val="auto"/>
          <w:sz w:val="24"/>
        </w:rPr>
        <w:t>法定代表人或委托代理人：</w:t>
      </w:r>
      <w:r>
        <w:rPr>
          <w:rFonts w:hAnsi="宋体"/>
          <w:color w:val="auto"/>
          <w:sz w:val="24"/>
          <w:u w:val="single"/>
        </w:rPr>
        <w:t xml:space="preserve">            </w:t>
      </w:r>
      <w:r>
        <w:rPr>
          <w:rFonts w:hint="eastAsia" w:hAnsi="宋体"/>
          <w:color w:val="auto"/>
          <w:sz w:val="24"/>
        </w:rPr>
        <w:t>（签字或盖章）</w:t>
      </w:r>
    </w:p>
    <w:p w14:paraId="24D7730D">
      <w:pPr>
        <w:pStyle w:val="35"/>
        <w:ind w:firstLine="0" w:firstLineChars="0"/>
        <w:rPr>
          <w:rFonts w:hint="eastAsia" w:hAnsi="宋体"/>
          <w:color w:val="auto"/>
          <w:sz w:val="24"/>
        </w:rPr>
      </w:pPr>
    </w:p>
    <w:p w14:paraId="7B9DD108">
      <w:pPr>
        <w:pStyle w:val="35"/>
        <w:ind w:firstLine="0" w:firstLineChars="0"/>
        <w:rPr>
          <w:rFonts w:hAnsi="宋体"/>
          <w:color w:val="auto"/>
          <w:sz w:val="24"/>
          <w:u w:val="single"/>
        </w:rPr>
      </w:pPr>
      <w:r>
        <w:rPr>
          <w:rFonts w:hint="eastAsia" w:hAnsi="宋体"/>
          <w:color w:val="auto"/>
          <w:sz w:val="24"/>
        </w:rPr>
        <w:t>日期：</w:t>
      </w:r>
      <w:r>
        <w:rPr>
          <w:rFonts w:hAnsi="宋体"/>
          <w:color w:val="auto"/>
          <w:sz w:val="24"/>
          <w:u w:val="single"/>
        </w:rPr>
        <w:t xml:space="preserve">     </w:t>
      </w:r>
      <w:r>
        <w:rPr>
          <w:rFonts w:hint="eastAsia" w:hAnsi="宋体"/>
          <w:color w:val="auto"/>
          <w:sz w:val="24"/>
        </w:rPr>
        <w:t>年</w:t>
      </w:r>
      <w:r>
        <w:rPr>
          <w:rFonts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p w14:paraId="4FEE4BB0">
      <w:pPr>
        <w:rPr>
          <w:rFonts w:hAnsi="宋体"/>
          <w:color w:val="auto"/>
          <w:sz w:val="24"/>
          <w:u w:val="single"/>
        </w:rPr>
      </w:pPr>
    </w:p>
    <w:p w14:paraId="6C835CBB">
      <w:pPr>
        <w:pStyle w:val="32"/>
        <w:outlineLvl w:val="9"/>
        <w:rPr>
          <w:rFonts w:hAnsi="宋体"/>
          <w:color w:val="auto"/>
          <w:sz w:val="24"/>
          <w:u w:val="single"/>
        </w:rPr>
      </w:pPr>
    </w:p>
    <w:p w14:paraId="19DFD0E2">
      <w:pPr>
        <w:pStyle w:val="17"/>
        <w:rPr>
          <w:rFonts w:hAnsi="宋体"/>
          <w:color w:val="auto"/>
          <w:sz w:val="24"/>
          <w:u w:val="single"/>
        </w:rPr>
      </w:pPr>
    </w:p>
    <w:p w14:paraId="047B748E">
      <w:pPr>
        <w:pStyle w:val="15"/>
        <w:rPr>
          <w:rFonts w:hAnsi="宋体"/>
          <w:color w:val="auto"/>
          <w:sz w:val="24"/>
          <w:u w:val="single"/>
        </w:rPr>
      </w:pPr>
    </w:p>
    <w:p w14:paraId="10B56769">
      <w:pPr>
        <w:rPr>
          <w:rFonts w:hAnsi="宋体"/>
          <w:color w:val="auto"/>
          <w:sz w:val="24"/>
          <w:u w:val="single"/>
        </w:rPr>
      </w:pPr>
    </w:p>
    <w:p w14:paraId="4F90E479">
      <w:pPr>
        <w:pStyle w:val="32"/>
        <w:outlineLvl w:val="9"/>
        <w:rPr>
          <w:rFonts w:hAnsi="宋体"/>
          <w:color w:val="auto"/>
          <w:sz w:val="24"/>
          <w:u w:val="single"/>
        </w:rPr>
      </w:pPr>
    </w:p>
    <w:p w14:paraId="0A614339">
      <w:pPr>
        <w:pStyle w:val="17"/>
        <w:rPr>
          <w:rFonts w:hAnsi="宋体"/>
          <w:color w:val="auto"/>
          <w:sz w:val="24"/>
          <w:u w:val="single"/>
        </w:rPr>
      </w:pPr>
    </w:p>
    <w:p w14:paraId="7DC13803">
      <w:pPr>
        <w:pStyle w:val="15"/>
        <w:rPr>
          <w:rFonts w:hAnsi="宋体"/>
          <w:color w:val="auto"/>
          <w:sz w:val="24"/>
          <w:u w:val="single"/>
        </w:rPr>
      </w:pPr>
    </w:p>
    <w:p w14:paraId="5C7D069A">
      <w:pPr>
        <w:rPr>
          <w:rFonts w:hAnsi="宋体"/>
          <w:color w:val="auto"/>
          <w:sz w:val="24"/>
          <w:u w:val="single"/>
        </w:rPr>
      </w:pPr>
    </w:p>
    <w:p w14:paraId="6A90F8F5">
      <w:pPr>
        <w:pStyle w:val="32"/>
        <w:outlineLvl w:val="9"/>
        <w:rPr>
          <w:rFonts w:hAnsi="宋体"/>
          <w:color w:val="auto"/>
          <w:sz w:val="24"/>
          <w:u w:val="single"/>
        </w:rPr>
      </w:pPr>
    </w:p>
    <w:p w14:paraId="1B1E8715">
      <w:pPr>
        <w:pStyle w:val="17"/>
        <w:rPr>
          <w:rFonts w:hAnsi="宋体"/>
          <w:color w:val="auto"/>
          <w:sz w:val="24"/>
          <w:u w:val="single"/>
        </w:rPr>
      </w:pPr>
    </w:p>
    <w:p w14:paraId="2CFB3A0E">
      <w:pPr>
        <w:pStyle w:val="15"/>
        <w:rPr>
          <w:rFonts w:hAnsi="宋体"/>
          <w:color w:val="auto"/>
          <w:sz w:val="24"/>
          <w:u w:val="single"/>
        </w:rPr>
      </w:pPr>
    </w:p>
    <w:p w14:paraId="50E978F7"/>
    <w:p w14:paraId="16F94CD1">
      <w:pPr>
        <w:rPr>
          <w:rFonts w:hAnsi="宋体"/>
          <w:color w:val="auto"/>
          <w:sz w:val="24"/>
          <w:u w:val="single"/>
        </w:rPr>
      </w:pPr>
    </w:p>
    <w:p w14:paraId="26AB7790">
      <w:pPr>
        <w:pStyle w:val="92"/>
        <w:rPr>
          <w:rFonts w:hAnsi="宋体"/>
          <w:color w:val="auto"/>
          <w:sz w:val="24"/>
          <w:u w:val="single"/>
        </w:rPr>
      </w:pPr>
    </w:p>
    <w:p w14:paraId="0F4E58CC">
      <w:pPr>
        <w:pStyle w:val="6"/>
        <w:numPr>
          <w:ilvl w:val="0"/>
          <w:numId w:val="0"/>
        </w:numPr>
        <w:tabs>
          <w:tab w:val="left" w:pos="864"/>
        </w:tabs>
        <w:spacing w:line="417" w:lineRule="auto"/>
        <w:ind w:left="1299" w:leftChars="0" w:right="1355" w:rightChars="0"/>
        <w:jc w:val="center"/>
        <w:outlineLvl w:val="9"/>
        <w:rPr>
          <w:rFonts w:hint="eastAsia" w:ascii="宋体" w:hAnsi="宋体" w:eastAsia="宋体" w:cs="Times New Roman"/>
          <w:b/>
          <w:bCs/>
          <w:color w:val="auto"/>
          <w:kern w:val="2"/>
          <w:sz w:val="30"/>
          <w:szCs w:val="30"/>
          <w:lang w:val="zh-CN" w:eastAsia="zh-CN" w:bidi="ar-SA"/>
        </w:rPr>
      </w:pPr>
    </w:p>
    <w:p w14:paraId="6692FB6E">
      <w:pPr>
        <w:pStyle w:val="6"/>
        <w:numPr>
          <w:ilvl w:val="0"/>
          <w:numId w:val="0"/>
        </w:numPr>
        <w:tabs>
          <w:tab w:val="left" w:pos="864"/>
        </w:tabs>
        <w:spacing w:line="417" w:lineRule="auto"/>
        <w:ind w:left="1299" w:leftChars="0" w:right="1355" w:rightChars="0"/>
        <w:jc w:val="center"/>
        <w:rPr>
          <w:rFonts w:hint="eastAsia" w:ascii="宋体" w:hAnsi="宋体" w:eastAsia="宋体" w:cs="Times New Roman"/>
          <w:b/>
          <w:bCs/>
          <w:color w:val="auto"/>
          <w:kern w:val="2"/>
          <w:sz w:val="30"/>
          <w:szCs w:val="30"/>
          <w:lang w:val="zh-CN" w:eastAsia="zh-CN" w:bidi="ar-SA"/>
        </w:rPr>
      </w:pPr>
      <w:r>
        <w:rPr>
          <w:rFonts w:hint="eastAsia" w:ascii="宋体" w:hAnsi="宋体" w:eastAsia="宋体" w:cs="Times New Roman"/>
          <w:b/>
          <w:bCs/>
          <w:color w:val="auto"/>
          <w:kern w:val="2"/>
          <w:sz w:val="30"/>
          <w:szCs w:val="30"/>
          <w:lang w:val="zh-CN" w:eastAsia="zh-CN" w:bidi="ar-SA"/>
        </w:rPr>
        <w:t>（</w:t>
      </w:r>
      <w:r>
        <w:rPr>
          <w:rFonts w:hint="eastAsia" w:ascii="宋体" w:hAnsi="宋体" w:cs="Times New Roman"/>
          <w:b/>
          <w:bCs/>
          <w:color w:val="auto"/>
          <w:kern w:val="2"/>
          <w:sz w:val="30"/>
          <w:szCs w:val="30"/>
          <w:lang w:val="en-US" w:eastAsia="zh-CN" w:bidi="ar-SA"/>
        </w:rPr>
        <w:t>三</w:t>
      </w:r>
      <w:r>
        <w:rPr>
          <w:rFonts w:hint="eastAsia" w:ascii="宋体" w:hAnsi="宋体" w:eastAsia="宋体" w:cs="Times New Roman"/>
          <w:b/>
          <w:bCs/>
          <w:color w:val="auto"/>
          <w:kern w:val="2"/>
          <w:sz w:val="30"/>
          <w:szCs w:val="30"/>
          <w:lang w:val="zh-CN" w:eastAsia="zh-CN" w:bidi="ar-SA"/>
        </w:rPr>
        <w:t>）监狱企业证明材料</w:t>
      </w:r>
    </w:p>
    <w:p w14:paraId="11AE2005">
      <w:pPr>
        <w:autoSpaceDE w:val="0"/>
        <w:autoSpaceDN w:val="0"/>
        <w:spacing w:before="120" w:after="120" w:line="300" w:lineRule="auto"/>
        <w:jc w:val="center"/>
        <w:outlineLvl w:val="0"/>
        <w:rPr>
          <w:rFonts w:hint="eastAsia" w:ascii="宋体" w:hAnsi="宋体"/>
          <w:b/>
          <w:bCs/>
          <w:color w:val="auto"/>
          <w:sz w:val="30"/>
          <w:szCs w:val="30"/>
          <w:lang w:val="zh-CN" w:eastAsia="zh-CN"/>
        </w:rPr>
      </w:pPr>
      <w:bookmarkStart w:id="283" w:name="_Toc13661"/>
      <w:bookmarkStart w:id="284" w:name="_Toc21"/>
      <w:bookmarkStart w:id="285" w:name="_Toc21836"/>
      <w:r>
        <w:rPr>
          <w:rFonts w:hint="eastAsia" w:ascii="宋体" w:hAnsi="宋体"/>
          <w:b/>
          <w:bCs/>
          <w:color w:val="auto"/>
          <w:sz w:val="30"/>
          <w:szCs w:val="30"/>
          <w:lang w:val="zh-CN" w:eastAsia="zh-CN"/>
        </w:rPr>
        <w:t>（若企业非监狱企业，则不需填写）</w:t>
      </w:r>
      <w:bookmarkEnd w:id="283"/>
      <w:bookmarkEnd w:id="284"/>
      <w:bookmarkEnd w:id="285"/>
    </w:p>
    <w:p w14:paraId="0FE3F545">
      <w:pPr>
        <w:autoSpaceDE w:val="0"/>
        <w:autoSpaceDN w:val="0"/>
        <w:adjustRightInd w:val="0"/>
        <w:spacing w:line="520" w:lineRule="exact"/>
        <w:ind w:firstLine="480" w:firstLineChars="200"/>
        <w:rPr>
          <w:rFonts w:hint="eastAsia" w:ascii="宋体" w:hAnsi="宋体" w:cs="宋体"/>
          <w:color w:val="auto"/>
          <w:sz w:val="24"/>
          <w:lang w:val="zh-CN" w:eastAsia="zh-CN"/>
        </w:rPr>
      </w:pPr>
      <w:r>
        <w:rPr>
          <w:rFonts w:hint="eastAsia" w:ascii="宋体" w:hAnsi="宋体" w:cs="宋体"/>
          <w:color w:val="auto"/>
          <w:sz w:val="24"/>
          <w:lang w:val="zh-CN" w:eastAsia="zh-CN"/>
        </w:rPr>
        <w:t>提供由省级以上监狱管理局、戒毒管理局（含新疆生产建设兵团）出具的属于监狱</w:t>
      </w:r>
    </w:p>
    <w:p w14:paraId="627909D7">
      <w:pPr>
        <w:autoSpaceDE w:val="0"/>
        <w:autoSpaceDN w:val="0"/>
        <w:adjustRightInd w:val="0"/>
        <w:spacing w:line="520" w:lineRule="exact"/>
        <w:ind w:firstLine="480" w:firstLineChars="200"/>
        <w:rPr>
          <w:rFonts w:hint="eastAsia" w:ascii="宋体" w:hAnsi="宋体" w:cs="宋体"/>
          <w:color w:val="auto"/>
          <w:sz w:val="24"/>
          <w:lang w:val="zh-CN" w:eastAsia="zh-CN"/>
        </w:rPr>
      </w:pPr>
      <w:r>
        <w:rPr>
          <w:rFonts w:hint="eastAsia" w:ascii="宋体" w:hAnsi="宋体" w:cs="宋体"/>
          <w:color w:val="auto"/>
          <w:sz w:val="24"/>
          <w:lang w:val="zh-CN" w:eastAsia="zh-CN"/>
        </w:rPr>
        <w:t>企业的证明文件，并将证明文件原件扫描件附入到投标文件中。</w:t>
      </w:r>
    </w:p>
    <w:p w14:paraId="517B7BDE">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5E138705">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60922D3C">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721A2A5F">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74BBC50E">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21751730">
      <w:pPr>
        <w:tabs>
          <w:tab w:val="left" w:pos="1916"/>
        </w:tabs>
        <w:snapToGrid w:val="0"/>
        <w:spacing w:line="800" w:lineRule="exact"/>
        <w:rPr>
          <w:rFonts w:ascii="宋体"/>
          <w:color w:val="auto"/>
          <w:sz w:val="24"/>
          <w:szCs w:val="24"/>
        </w:rPr>
      </w:pPr>
      <w:r>
        <w:rPr>
          <w:rFonts w:hint="eastAsia" w:ascii="宋体" w:hAnsi="宋体" w:eastAsia="宋体" w:cs="Times New Roman"/>
          <w:sz w:val="24"/>
          <w:szCs w:val="24"/>
          <w:lang w:eastAsia="zh-CN"/>
        </w:rPr>
        <w:t>投标</w:t>
      </w:r>
      <w:r>
        <w:rPr>
          <w:rFonts w:hint="eastAsia" w:ascii="宋体" w:hAnsi="宋体" w:cs="Times New Roman"/>
          <w:sz w:val="24"/>
          <w:szCs w:val="24"/>
          <w:lang w:eastAsia="zh-CN"/>
        </w:rPr>
        <w:t>人</w:t>
      </w:r>
      <w:r>
        <w:rPr>
          <w:rFonts w:hint="eastAsia" w:ascii="宋体" w:hAnsi="宋体"/>
          <w:color w:val="auto"/>
          <w:sz w:val="24"/>
          <w:szCs w:val="24"/>
        </w:rPr>
        <w:t>：</w:t>
      </w:r>
      <w:r>
        <w:rPr>
          <w:rFonts w:ascii="宋体" w:hAnsi="宋体"/>
          <w:color w:val="auto"/>
          <w:sz w:val="24"/>
          <w:szCs w:val="24"/>
          <w:u w:val="single"/>
        </w:rPr>
        <w:t xml:space="preserve">                 </w:t>
      </w:r>
      <w:r>
        <w:rPr>
          <w:rFonts w:hint="eastAsia" w:ascii="宋体" w:hAnsi="宋体"/>
          <w:color w:val="auto"/>
          <w:sz w:val="24"/>
          <w:szCs w:val="24"/>
        </w:rPr>
        <w:t>（加盖单位公章）</w:t>
      </w:r>
      <w:r>
        <w:rPr>
          <w:rFonts w:ascii="宋体" w:hAnsi="宋体"/>
          <w:color w:val="auto"/>
          <w:sz w:val="24"/>
          <w:szCs w:val="24"/>
        </w:rPr>
        <w:t xml:space="preserve"> </w:t>
      </w:r>
    </w:p>
    <w:p w14:paraId="79791179">
      <w:pPr>
        <w:pStyle w:val="35"/>
        <w:ind w:firstLine="0" w:firstLineChars="0"/>
        <w:rPr>
          <w:rFonts w:hint="eastAsia" w:hAnsi="宋体"/>
          <w:color w:val="auto"/>
          <w:sz w:val="24"/>
        </w:rPr>
      </w:pPr>
    </w:p>
    <w:p w14:paraId="70E2D602">
      <w:pPr>
        <w:pStyle w:val="35"/>
        <w:ind w:firstLine="0" w:firstLineChars="0"/>
        <w:rPr>
          <w:rFonts w:hint="eastAsia" w:hAnsi="宋体"/>
          <w:color w:val="auto"/>
          <w:sz w:val="24"/>
        </w:rPr>
      </w:pPr>
      <w:r>
        <w:rPr>
          <w:rFonts w:hint="eastAsia" w:hAnsi="宋体"/>
          <w:color w:val="auto"/>
          <w:sz w:val="24"/>
        </w:rPr>
        <w:t>法定代表人或委托代理人：</w:t>
      </w:r>
      <w:r>
        <w:rPr>
          <w:rFonts w:hAnsi="宋体"/>
          <w:color w:val="auto"/>
          <w:sz w:val="24"/>
          <w:u w:val="single"/>
        </w:rPr>
        <w:t xml:space="preserve">            </w:t>
      </w:r>
      <w:r>
        <w:rPr>
          <w:rFonts w:hint="eastAsia" w:hAnsi="宋体"/>
          <w:color w:val="auto"/>
          <w:sz w:val="24"/>
        </w:rPr>
        <w:t>（签字或盖章）</w:t>
      </w:r>
    </w:p>
    <w:p w14:paraId="01D3EEB4">
      <w:pPr>
        <w:pStyle w:val="35"/>
        <w:ind w:firstLine="0" w:firstLineChars="0"/>
        <w:rPr>
          <w:rFonts w:hint="eastAsia" w:hAnsi="宋体"/>
          <w:color w:val="auto"/>
          <w:sz w:val="24"/>
        </w:rPr>
      </w:pPr>
    </w:p>
    <w:p w14:paraId="3E120CF8">
      <w:pPr>
        <w:pStyle w:val="35"/>
        <w:ind w:firstLine="0" w:firstLineChars="0"/>
        <w:rPr>
          <w:rFonts w:hint="eastAsia" w:hAnsi="宋体"/>
          <w:color w:val="auto"/>
          <w:sz w:val="24"/>
          <w:u w:val="single"/>
        </w:rPr>
      </w:pPr>
      <w:r>
        <w:rPr>
          <w:rFonts w:hint="eastAsia" w:hAnsi="宋体"/>
          <w:color w:val="auto"/>
          <w:sz w:val="24"/>
        </w:rPr>
        <w:t>日期：</w:t>
      </w:r>
      <w:r>
        <w:rPr>
          <w:rFonts w:hAnsi="宋体"/>
          <w:color w:val="auto"/>
          <w:sz w:val="24"/>
          <w:u w:val="single"/>
        </w:rPr>
        <w:t xml:space="preserve">     </w:t>
      </w:r>
      <w:r>
        <w:rPr>
          <w:rFonts w:hint="eastAsia" w:hAnsi="宋体"/>
          <w:color w:val="auto"/>
          <w:sz w:val="24"/>
        </w:rPr>
        <w:t>年</w:t>
      </w:r>
      <w:r>
        <w:rPr>
          <w:rFonts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sectPr>
      <w:footerReference r:id="rId9" w:type="default"/>
      <w:pgSz w:w="11906" w:h="16838"/>
      <w:pgMar w:top="1134" w:right="1417" w:bottom="1270" w:left="1417" w:header="737" w:footer="737" w:gutter="0"/>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0A0AD7B1-E459-4C55-A797-375491F97E0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2C8F464A-9158-47A9-B6B0-BDDAD90ECF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embedRegular r:id="rId3" w:fontKey="{41554F53-8AEF-480F-B1C8-4DD72441E5D1}"/>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DF643DDA-E2B4-4DB9-8064-07E0C6C815C4}"/>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姚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5" w:fontKey="{DAD5F4F8-4066-4E33-986F-6F6B13CC1A19}"/>
  </w:font>
  <w:font w:name="Wingdings 2">
    <w:panose1 w:val="05020102010507070707"/>
    <w:charset w:val="02"/>
    <w:family w:val="roman"/>
    <w:pitch w:val="default"/>
    <w:sig w:usb0="00000000" w:usb1="00000000" w:usb2="00000000" w:usb3="00000000" w:csb0="80000000" w:csb1="00000000"/>
    <w:embedRegular r:id="rId6" w:fontKey="{CB4DCD03-6A56-4FBC-B48A-04E2E1AF2B17}"/>
  </w:font>
  <w:font w:name="Cambria Math">
    <w:panose1 w:val="02040503050406030204"/>
    <w:charset w:val="00"/>
    <w:family w:val="roman"/>
    <w:pitch w:val="default"/>
    <w:sig w:usb0="E00006FF" w:usb1="420024FF" w:usb2="02000000" w:usb3="00000000" w:csb0="2000019F" w:csb1="00000000"/>
    <w:embedRegular r:id="rId7" w:fontKey="{6B918435-4E9F-47F3-8224-E08DB2D891DC}"/>
  </w:font>
  <w:font w:name="方正大标宋简体">
    <w:panose1 w:val="02000000000000000000"/>
    <w:charset w:val="86"/>
    <w:family w:val="auto"/>
    <w:pitch w:val="default"/>
    <w:sig w:usb0="A00002BF" w:usb1="184F6CFA" w:usb2="00000012" w:usb3="00000000" w:csb0="00040001" w:csb1="00000000"/>
    <w:embedRegular r:id="rId8" w:fontKey="{0F9E5749-A1D3-4E93-9F57-B302D2E02E43}"/>
  </w:font>
  <w:font w:name="WPSEMBED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2527F">
    <w:pPr>
      <w:pStyle w:val="22"/>
      <w:tabs>
        <w:tab w:val="center" w:pos="4875"/>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7B398">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786">
    <w:pPr>
      <w:pStyle w:val="2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5E4E01">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35E4E01">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7556B">
    <w:pPr>
      <w:pStyle w:val="22"/>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FEF761">
                          <w:pPr>
                            <w:pStyle w:val="22"/>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CFEF761">
                    <w:pPr>
                      <w:pStyle w:val="22"/>
                    </w:pPr>
                    <w:r>
                      <w:fldChar w:fldCharType="begin"/>
                    </w:r>
                    <w:r>
                      <w:instrText xml:space="preserve"> PAGE  \* MERGEFORMAT </w:instrText>
                    </w:r>
                    <w:r>
                      <w:fldChar w:fldCharType="separate"/>
                    </w:r>
                    <w:r>
                      <w:t>69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2407">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D6A66">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19950">
    <w:pPr>
      <w:pStyle w:val="2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CF5C1"/>
    <w:multiLevelType w:val="singleLevel"/>
    <w:tmpl w:val="A37CF5C1"/>
    <w:lvl w:ilvl="0" w:tentative="0">
      <w:start w:val="1"/>
      <w:numFmt w:val="chineseCounting"/>
      <w:suff w:val="nothing"/>
      <w:lvlText w:val="%1、"/>
      <w:lvlJc w:val="left"/>
      <w:rPr>
        <w:rFonts w:hint="eastAsia"/>
      </w:rPr>
    </w:lvl>
  </w:abstractNum>
  <w:abstractNum w:abstractNumId="1">
    <w:nsid w:val="74362B5C"/>
    <w:multiLevelType w:val="singleLevel"/>
    <w:tmpl w:val="74362B5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TrueTypeFonts/>
  <w:saveSubsetFonts/>
  <w:bordersDoNotSurroundHeader w:val="0"/>
  <w:bordersDoNotSurroundFooter w:val="0"/>
  <w:doNotTrackMoves/>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2OTkwZTJkZGZhYmJkY2E4YTdmNTA2OGFhNGM4MTMifQ=="/>
    <w:docVar w:name="KSO_WPS_MARK_KEY" w:val="c1e0750e-e110-4cd9-808d-a0c76af7907b"/>
  </w:docVars>
  <w:rsids>
    <w:rsidRoot w:val="00172A27"/>
    <w:rsid w:val="00001223"/>
    <w:rsid w:val="00003345"/>
    <w:rsid w:val="00006DC4"/>
    <w:rsid w:val="00010736"/>
    <w:rsid w:val="00011B3B"/>
    <w:rsid w:val="0001253F"/>
    <w:rsid w:val="00012D20"/>
    <w:rsid w:val="0001362A"/>
    <w:rsid w:val="000167D7"/>
    <w:rsid w:val="00016AB8"/>
    <w:rsid w:val="00016BA6"/>
    <w:rsid w:val="00016C7A"/>
    <w:rsid w:val="00017829"/>
    <w:rsid w:val="000203DC"/>
    <w:rsid w:val="00020661"/>
    <w:rsid w:val="00020742"/>
    <w:rsid w:val="00020BEF"/>
    <w:rsid w:val="000243E2"/>
    <w:rsid w:val="0003041A"/>
    <w:rsid w:val="00031E45"/>
    <w:rsid w:val="00032439"/>
    <w:rsid w:val="0003265B"/>
    <w:rsid w:val="0003386D"/>
    <w:rsid w:val="00034C58"/>
    <w:rsid w:val="00036E0E"/>
    <w:rsid w:val="0004047D"/>
    <w:rsid w:val="00042DDD"/>
    <w:rsid w:val="00042DE9"/>
    <w:rsid w:val="00043073"/>
    <w:rsid w:val="000438E5"/>
    <w:rsid w:val="00043B07"/>
    <w:rsid w:val="00044412"/>
    <w:rsid w:val="000449D8"/>
    <w:rsid w:val="0004518F"/>
    <w:rsid w:val="0004677D"/>
    <w:rsid w:val="000468DC"/>
    <w:rsid w:val="00047A8A"/>
    <w:rsid w:val="00047ED5"/>
    <w:rsid w:val="000507EA"/>
    <w:rsid w:val="00051A47"/>
    <w:rsid w:val="000527D3"/>
    <w:rsid w:val="00053249"/>
    <w:rsid w:val="00057EB6"/>
    <w:rsid w:val="00060A43"/>
    <w:rsid w:val="00061E17"/>
    <w:rsid w:val="00062619"/>
    <w:rsid w:val="0006410A"/>
    <w:rsid w:val="00065B0B"/>
    <w:rsid w:val="00065E28"/>
    <w:rsid w:val="00067D7D"/>
    <w:rsid w:val="000715E1"/>
    <w:rsid w:val="0007224E"/>
    <w:rsid w:val="00072D7F"/>
    <w:rsid w:val="00072F27"/>
    <w:rsid w:val="00073F11"/>
    <w:rsid w:val="00074C02"/>
    <w:rsid w:val="000758D3"/>
    <w:rsid w:val="00076404"/>
    <w:rsid w:val="00076AE1"/>
    <w:rsid w:val="000772A6"/>
    <w:rsid w:val="000809BC"/>
    <w:rsid w:val="00081B83"/>
    <w:rsid w:val="0008270F"/>
    <w:rsid w:val="00082FE5"/>
    <w:rsid w:val="00083E6C"/>
    <w:rsid w:val="000848DE"/>
    <w:rsid w:val="00084978"/>
    <w:rsid w:val="00084D19"/>
    <w:rsid w:val="0008613A"/>
    <w:rsid w:val="0008642A"/>
    <w:rsid w:val="00091250"/>
    <w:rsid w:val="00091D22"/>
    <w:rsid w:val="00091EFA"/>
    <w:rsid w:val="00094845"/>
    <w:rsid w:val="0009768F"/>
    <w:rsid w:val="00097781"/>
    <w:rsid w:val="000A1029"/>
    <w:rsid w:val="000A1D08"/>
    <w:rsid w:val="000A215D"/>
    <w:rsid w:val="000A384F"/>
    <w:rsid w:val="000A674E"/>
    <w:rsid w:val="000A6BB4"/>
    <w:rsid w:val="000B0714"/>
    <w:rsid w:val="000B231D"/>
    <w:rsid w:val="000B2BBB"/>
    <w:rsid w:val="000B3DAC"/>
    <w:rsid w:val="000B5B42"/>
    <w:rsid w:val="000B77AE"/>
    <w:rsid w:val="000B7D67"/>
    <w:rsid w:val="000C010B"/>
    <w:rsid w:val="000C0721"/>
    <w:rsid w:val="000C1AF7"/>
    <w:rsid w:val="000C1C06"/>
    <w:rsid w:val="000C3D07"/>
    <w:rsid w:val="000C5593"/>
    <w:rsid w:val="000C58B7"/>
    <w:rsid w:val="000C5B86"/>
    <w:rsid w:val="000D06D4"/>
    <w:rsid w:val="000D11FA"/>
    <w:rsid w:val="000D3946"/>
    <w:rsid w:val="000D3E0E"/>
    <w:rsid w:val="000D6880"/>
    <w:rsid w:val="000E0AAA"/>
    <w:rsid w:val="000E0D12"/>
    <w:rsid w:val="000E1A91"/>
    <w:rsid w:val="000E3C1B"/>
    <w:rsid w:val="000E3E77"/>
    <w:rsid w:val="000E57F4"/>
    <w:rsid w:val="000E5ECD"/>
    <w:rsid w:val="000E7EC8"/>
    <w:rsid w:val="000F2BA5"/>
    <w:rsid w:val="000F4F8C"/>
    <w:rsid w:val="000F6CEE"/>
    <w:rsid w:val="00100F16"/>
    <w:rsid w:val="00101EF2"/>
    <w:rsid w:val="00103BF3"/>
    <w:rsid w:val="00103DC5"/>
    <w:rsid w:val="001059EF"/>
    <w:rsid w:val="00106FCB"/>
    <w:rsid w:val="00107798"/>
    <w:rsid w:val="00112195"/>
    <w:rsid w:val="0011643D"/>
    <w:rsid w:val="001171FB"/>
    <w:rsid w:val="00121B09"/>
    <w:rsid w:val="00122253"/>
    <w:rsid w:val="001222C5"/>
    <w:rsid w:val="001229F2"/>
    <w:rsid w:val="00123242"/>
    <w:rsid w:val="00127959"/>
    <w:rsid w:val="00127993"/>
    <w:rsid w:val="00127DEF"/>
    <w:rsid w:val="00130447"/>
    <w:rsid w:val="001306F4"/>
    <w:rsid w:val="00130728"/>
    <w:rsid w:val="00140D6D"/>
    <w:rsid w:val="00142880"/>
    <w:rsid w:val="0014357C"/>
    <w:rsid w:val="001444DC"/>
    <w:rsid w:val="001537EC"/>
    <w:rsid w:val="0015396C"/>
    <w:rsid w:val="0015456E"/>
    <w:rsid w:val="00156A6B"/>
    <w:rsid w:val="001602B4"/>
    <w:rsid w:val="001652C4"/>
    <w:rsid w:val="00170C25"/>
    <w:rsid w:val="00171E2B"/>
    <w:rsid w:val="00172A27"/>
    <w:rsid w:val="0017377E"/>
    <w:rsid w:val="0017386F"/>
    <w:rsid w:val="001747E0"/>
    <w:rsid w:val="001751D5"/>
    <w:rsid w:val="001752DF"/>
    <w:rsid w:val="00176BEF"/>
    <w:rsid w:val="00181BFF"/>
    <w:rsid w:val="00183D5B"/>
    <w:rsid w:val="001872C9"/>
    <w:rsid w:val="00192B23"/>
    <w:rsid w:val="00193849"/>
    <w:rsid w:val="00193D60"/>
    <w:rsid w:val="001963B0"/>
    <w:rsid w:val="0019681E"/>
    <w:rsid w:val="001969FD"/>
    <w:rsid w:val="001975D6"/>
    <w:rsid w:val="001A017A"/>
    <w:rsid w:val="001A0877"/>
    <w:rsid w:val="001A6C01"/>
    <w:rsid w:val="001B2215"/>
    <w:rsid w:val="001B30B6"/>
    <w:rsid w:val="001B4EA1"/>
    <w:rsid w:val="001B6ECC"/>
    <w:rsid w:val="001B7557"/>
    <w:rsid w:val="001B76EE"/>
    <w:rsid w:val="001B7ADA"/>
    <w:rsid w:val="001C22EB"/>
    <w:rsid w:val="001C2E79"/>
    <w:rsid w:val="001C570F"/>
    <w:rsid w:val="001D29C9"/>
    <w:rsid w:val="001D58C9"/>
    <w:rsid w:val="001D7B86"/>
    <w:rsid w:val="001D7CBE"/>
    <w:rsid w:val="001E0088"/>
    <w:rsid w:val="001E12A0"/>
    <w:rsid w:val="001E2F30"/>
    <w:rsid w:val="001E3480"/>
    <w:rsid w:val="001F20A6"/>
    <w:rsid w:val="001F21C2"/>
    <w:rsid w:val="001F2DD8"/>
    <w:rsid w:val="001F2EE0"/>
    <w:rsid w:val="001F5EEF"/>
    <w:rsid w:val="001F61A9"/>
    <w:rsid w:val="001F6FD8"/>
    <w:rsid w:val="001F7040"/>
    <w:rsid w:val="001F70E3"/>
    <w:rsid w:val="00200103"/>
    <w:rsid w:val="00201515"/>
    <w:rsid w:val="002016B0"/>
    <w:rsid w:val="002022D7"/>
    <w:rsid w:val="00202AF2"/>
    <w:rsid w:val="00203BE7"/>
    <w:rsid w:val="00204AD2"/>
    <w:rsid w:val="0020537D"/>
    <w:rsid w:val="00207173"/>
    <w:rsid w:val="00210EAC"/>
    <w:rsid w:val="002116BF"/>
    <w:rsid w:val="002151B4"/>
    <w:rsid w:val="002163CD"/>
    <w:rsid w:val="002166A6"/>
    <w:rsid w:val="00217A82"/>
    <w:rsid w:val="002203EB"/>
    <w:rsid w:val="00221B74"/>
    <w:rsid w:val="002221C5"/>
    <w:rsid w:val="00222504"/>
    <w:rsid w:val="00222630"/>
    <w:rsid w:val="00223708"/>
    <w:rsid w:val="00223AA4"/>
    <w:rsid w:val="00225381"/>
    <w:rsid w:val="0022660F"/>
    <w:rsid w:val="0022664E"/>
    <w:rsid w:val="00227D14"/>
    <w:rsid w:val="002300A2"/>
    <w:rsid w:val="002308DC"/>
    <w:rsid w:val="002313D6"/>
    <w:rsid w:val="0023181C"/>
    <w:rsid w:val="00234B2B"/>
    <w:rsid w:val="00234DEA"/>
    <w:rsid w:val="0023719F"/>
    <w:rsid w:val="002378CC"/>
    <w:rsid w:val="002434E5"/>
    <w:rsid w:val="002435EA"/>
    <w:rsid w:val="00250C3D"/>
    <w:rsid w:val="002521CC"/>
    <w:rsid w:val="002533EF"/>
    <w:rsid w:val="00254351"/>
    <w:rsid w:val="0025578E"/>
    <w:rsid w:val="002569F1"/>
    <w:rsid w:val="00262369"/>
    <w:rsid w:val="002662C8"/>
    <w:rsid w:val="00266E6F"/>
    <w:rsid w:val="002700B8"/>
    <w:rsid w:val="00271172"/>
    <w:rsid w:val="00271B06"/>
    <w:rsid w:val="00273D94"/>
    <w:rsid w:val="0027537C"/>
    <w:rsid w:val="00275CDD"/>
    <w:rsid w:val="00276996"/>
    <w:rsid w:val="002821CC"/>
    <w:rsid w:val="00293347"/>
    <w:rsid w:val="00294EFF"/>
    <w:rsid w:val="002977EF"/>
    <w:rsid w:val="002A110A"/>
    <w:rsid w:val="002A152C"/>
    <w:rsid w:val="002A276F"/>
    <w:rsid w:val="002A6A55"/>
    <w:rsid w:val="002A6E43"/>
    <w:rsid w:val="002B1CF0"/>
    <w:rsid w:val="002B227E"/>
    <w:rsid w:val="002B3461"/>
    <w:rsid w:val="002B3DA3"/>
    <w:rsid w:val="002B4B40"/>
    <w:rsid w:val="002C218A"/>
    <w:rsid w:val="002C2905"/>
    <w:rsid w:val="002C2E49"/>
    <w:rsid w:val="002C59A1"/>
    <w:rsid w:val="002C5F93"/>
    <w:rsid w:val="002D1628"/>
    <w:rsid w:val="002D1B09"/>
    <w:rsid w:val="002D2983"/>
    <w:rsid w:val="002E00FE"/>
    <w:rsid w:val="002E0801"/>
    <w:rsid w:val="002E23DB"/>
    <w:rsid w:val="002E3933"/>
    <w:rsid w:val="002E3C83"/>
    <w:rsid w:val="002E3EDC"/>
    <w:rsid w:val="002E488B"/>
    <w:rsid w:val="002E5930"/>
    <w:rsid w:val="002F2330"/>
    <w:rsid w:val="002F2A7D"/>
    <w:rsid w:val="002F31C2"/>
    <w:rsid w:val="002F59D7"/>
    <w:rsid w:val="002F69B1"/>
    <w:rsid w:val="002F7B85"/>
    <w:rsid w:val="00301451"/>
    <w:rsid w:val="00304546"/>
    <w:rsid w:val="00304D27"/>
    <w:rsid w:val="0030748D"/>
    <w:rsid w:val="00307DB0"/>
    <w:rsid w:val="0031094D"/>
    <w:rsid w:val="003153C3"/>
    <w:rsid w:val="0031580B"/>
    <w:rsid w:val="0031636F"/>
    <w:rsid w:val="00321034"/>
    <w:rsid w:val="003223EB"/>
    <w:rsid w:val="003242EF"/>
    <w:rsid w:val="00324820"/>
    <w:rsid w:val="0032779A"/>
    <w:rsid w:val="003301D3"/>
    <w:rsid w:val="003308FC"/>
    <w:rsid w:val="003319A3"/>
    <w:rsid w:val="00333BF7"/>
    <w:rsid w:val="003358CC"/>
    <w:rsid w:val="00336D81"/>
    <w:rsid w:val="00337C2A"/>
    <w:rsid w:val="00341067"/>
    <w:rsid w:val="00343B8D"/>
    <w:rsid w:val="003455C2"/>
    <w:rsid w:val="0034665D"/>
    <w:rsid w:val="0034737A"/>
    <w:rsid w:val="00351935"/>
    <w:rsid w:val="003556D6"/>
    <w:rsid w:val="00356E39"/>
    <w:rsid w:val="00362005"/>
    <w:rsid w:val="003648D8"/>
    <w:rsid w:val="00364AE3"/>
    <w:rsid w:val="003655C0"/>
    <w:rsid w:val="003677B0"/>
    <w:rsid w:val="003727C5"/>
    <w:rsid w:val="00372914"/>
    <w:rsid w:val="003744AA"/>
    <w:rsid w:val="003761BD"/>
    <w:rsid w:val="003764E9"/>
    <w:rsid w:val="00377404"/>
    <w:rsid w:val="00380BFF"/>
    <w:rsid w:val="00383D36"/>
    <w:rsid w:val="00385075"/>
    <w:rsid w:val="003906B3"/>
    <w:rsid w:val="00390F5B"/>
    <w:rsid w:val="00391C77"/>
    <w:rsid w:val="00393FE1"/>
    <w:rsid w:val="003979FB"/>
    <w:rsid w:val="003A0720"/>
    <w:rsid w:val="003A1185"/>
    <w:rsid w:val="003A2ACD"/>
    <w:rsid w:val="003A333B"/>
    <w:rsid w:val="003A5250"/>
    <w:rsid w:val="003A5583"/>
    <w:rsid w:val="003A7920"/>
    <w:rsid w:val="003A7E85"/>
    <w:rsid w:val="003B1FD3"/>
    <w:rsid w:val="003B7AD3"/>
    <w:rsid w:val="003C58E3"/>
    <w:rsid w:val="003D3BDE"/>
    <w:rsid w:val="003D417E"/>
    <w:rsid w:val="003D636C"/>
    <w:rsid w:val="003D63B6"/>
    <w:rsid w:val="003E0183"/>
    <w:rsid w:val="003E103B"/>
    <w:rsid w:val="003E187A"/>
    <w:rsid w:val="003E273D"/>
    <w:rsid w:val="003E3FA8"/>
    <w:rsid w:val="003E4150"/>
    <w:rsid w:val="003E50C6"/>
    <w:rsid w:val="003E5A00"/>
    <w:rsid w:val="003E6B2E"/>
    <w:rsid w:val="003E6F63"/>
    <w:rsid w:val="003E755F"/>
    <w:rsid w:val="003F231A"/>
    <w:rsid w:val="003F2E95"/>
    <w:rsid w:val="003F433A"/>
    <w:rsid w:val="003F5108"/>
    <w:rsid w:val="003F561A"/>
    <w:rsid w:val="003F599F"/>
    <w:rsid w:val="0040184E"/>
    <w:rsid w:val="0040487B"/>
    <w:rsid w:val="00405B96"/>
    <w:rsid w:val="004074C7"/>
    <w:rsid w:val="00407B50"/>
    <w:rsid w:val="00407F05"/>
    <w:rsid w:val="00412794"/>
    <w:rsid w:val="00416F1E"/>
    <w:rsid w:val="00421CCA"/>
    <w:rsid w:val="004311B3"/>
    <w:rsid w:val="00432E1A"/>
    <w:rsid w:val="00432F6A"/>
    <w:rsid w:val="004410E0"/>
    <w:rsid w:val="004425D3"/>
    <w:rsid w:val="004437CD"/>
    <w:rsid w:val="00450292"/>
    <w:rsid w:val="00451D72"/>
    <w:rsid w:val="00453B88"/>
    <w:rsid w:val="00453CF7"/>
    <w:rsid w:val="00454978"/>
    <w:rsid w:val="00454D74"/>
    <w:rsid w:val="004560EA"/>
    <w:rsid w:val="00456A6D"/>
    <w:rsid w:val="004637B0"/>
    <w:rsid w:val="00463ACE"/>
    <w:rsid w:val="0046538C"/>
    <w:rsid w:val="00467755"/>
    <w:rsid w:val="00472702"/>
    <w:rsid w:val="00472EC1"/>
    <w:rsid w:val="00474445"/>
    <w:rsid w:val="00475725"/>
    <w:rsid w:val="00477401"/>
    <w:rsid w:val="00477F78"/>
    <w:rsid w:val="004818B3"/>
    <w:rsid w:val="00482B2B"/>
    <w:rsid w:val="00485D40"/>
    <w:rsid w:val="00487731"/>
    <w:rsid w:val="00490158"/>
    <w:rsid w:val="00491215"/>
    <w:rsid w:val="004947F5"/>
    <w:rsid w:val="0049522D"/>
    <w:rsid w:val="00495C01"/>
    <w:rsid w:val="004A0C26"/>
    <w:rsid w:val="004A1CF4"/>
    <w:rsid w:val="004A286D"/>
    <w:rsid w:val="004A2E89"/>
    <w:rsid w:val="004A4C97"/>
    <w:rsid w:val="004A5754"/>
    <w:rsid w:val="004A5A2C"/>
    <w:rsid w:val="004A6A96"/>
    <w:rsid w:val="004A6B68"/>
    <w:rsid w:val="004B02BF"/>
    <w:rsid w:val="004B4B66"/>
    <w:rsid w:val="004B57A2"/>
    <w:rsid w:val="004B6002"/>
    <w:rsid w:val="004B6C69"/>
    <w:rsid w:val="004B6FE4"/>
    <w:rsid w:val="004B78A6"/>
    <w:rsid w:val="004C4544"/>
    <w:rsid w:val="004C488D"/>
    <w:rsid w:val="004C5279"/>
    <w:rsid w:val="004C7D47"/>
    <w:rsid w:val="004D23A7"/>
    <w:rsid w:val="004D64A7"/>
    <w:rsid w:val="004E0151"/>
    <w:rsid w:val="004E02E1"/>
    <w:rsid w:val="004E5BBB"/>
    <w:rsid w:val="004E65EF"/>
    <w:rsid w:val="004E6AC5"/>
    <w:rsid w:val="004F1276"/>
    <w:rsid w:val="004F2A07"/>
    <w:rsid w:val="004F2A53"/>
    <w:rsid w:val="004F2F91"/>
    <w:rsid w:val="004F4B15"/>
    <w:rsid w:val="00502F64"/>
    <w:rsid w:val="005047E3"/>
    <w:rsid w:val="00504A6D"/>
    <w:rsid w:val="00506D44"/>
    <w:rsid w:val="0050713D"/>
    <w:rsid w:val="005126CC"/>
    <w:rsid w:val="00512C11"/>
    <w:rsid w:val="005140C8"/>
    <w:rsid w:val="00516AFD"/>
    <w:rsid w:val="00516CA2"/>
    <w:rsid w:val="00517437"/>
    <w:rsid w:val="0052695D"/>
    <w:rsid w:val="00527420"/>
    <w:rsid w:val="00530804"/>
    <w:rsid w:val="005312AE"/>
    <w:rsid w:val="005336B6"/>
    <w:rsid w:val="005349FF"/>
    <w:rsid w:val="00534CCF"/>
    <w:rsid w:val="00537A68"/>
    <w:rsid w:val="005403D1"/>
    <w:rsid w:val="005435E4"/>
    <w:rsid w:val="00544D95"/>
    <w:rsid w:val="00547DDE"/>
    <w:rsid w:val="00554409"/>
    <w:rsid w:val="0055574E"/>
    <w:rsid w:val="00556F70"/>
    <w:rsid w:val="00557F78"/>
    <w:rsid w:val="00562288"/>
    <w:rsid w:val="00562524"/>
    <w:rsid w:val="0056481C"/>
    <w:rsid w:val="00565B9D"/>
    <w:rsid w:val="00565C41"/>
    <w:rsid w:val="005664C8"/>
    <w:rsid w:val="00567574"/>
    <w:rsid w:val="00571096"/>
    <w:rsid w:val="0057168F"/>
    <w:rsid w:val="00582C26"/>
    <w:rsid w:val="005833A9"/>
    <w:rsid w:val="00586891"/>
    <w:rsid w:val="00587088"/>
    <w:rsid w:val="00591DBB"/>
    <w:rsid w:val="0059305E"/>
    <w:rsid w:val="00594476"/>
    <w:rsid w:val="005A0AFE"/>
    <w:rsid w:val="005A0E65"/>
    <w:rsid w:val="005A4FD2"/>
    <w:rsid w:val="005A51D0"/>
    <w:rsid w:val="005A537D"/>
    <w:rsid w:val="005A5647"/>
    <w:rsid w:val="005A5A37"/>
    <w:rsid w:val="005A66CD"/>
    <w:rsid w:val="005A763C"/>
    <w:rsid w:val="005B03D1"/>
    <w:rsid w:val="005B08E2"/>
    <w:rsid w:val="005B1CFE"/>
    <w:rsid w:val="005B4AE5"/>
    <w:rsid w:val="005B5F16"/>
    <w:rsid w:val="005B742C"/>
    <w:rsid w:val="005C0B37"/>
    <w:rsid w:val="005C3B4C"/>
    <w:rsid w:val="005D0932"/>
    <w:rsid w:val="005D3A7F"/>
    <w:rsid w:val="005D4F2D"/>
    <w:rsid w:val="005D5667"/>
    <w:rsid w:val="005D69AC"/>
    <w:rsid w:val="005E1218"/>
    <w:rsid w:val="005E15EB"/>
    <w:rsid w:val="005E2649"/>
    <w:rsid w:val="005E4E3D"/>
    <w:rsid w:val="005E53FC"/>
    <w:rsid w:val="005E560B"/>
    <w:rsid w:val="005E7004"/>
    <w:rsid w:val="005E7DCE"/>
    <w:rsid w:val="005F2717"/>
    <w:rsid w:val="005F2CB1"/>
    <w:rsid w:val="005F4285"/>
    <w:rsid w:val="005F503B"/>
    <w:rsid w:val="005F5237"/>
    <w:rsid w:val="005F7416"/>
    <w:rsid w:val="0060043A"/>
    <w:rsid w:val="006008B2"/>
    <w:rsid w:val="00601AF8"/>
    <w:rsid w:val="00604C2F"/>
    <w:rsid w:val="006057DC"/>
    <w:rsid w:val="00605D2A"/>
    <w:rsid w:val="006078D7"/>
    <w:rsid w:val="0061020F"/>
    <w:rsid w:val="0061025E"/>
    <w:rsid w:val="0061312F"/>
    <w:rsid w:val="006133D6"/>
    <w:rsid w:val="006140F3"/>
    <w:rsid w:val="00615275"/>
    <w:rsid w:val="00615E15"/>
    <w:rsid w:val="006230AB"/>
    <w:rsid w:val="00624740"/>
    <w:rsid w:val="00630F15"/>
    <w:rsid w:val="00633091"/>
    <w:rsid w:val="006350ED"/>
    <w:rsid w:val="006354CF"/>
    <w:rsid w:val="00637B24"/>
    <w:rsid w:val="00637B37"/>
    <w:rsid w:val="00640778"/>
    <w:rsid w:val="006450AF"/>
    <w:rsid w:val="00645CA1"/>
    <w:rsid w:val="006463B5"/>
    <w:rsid w:val="00647587"/>
    <w:rsid w:val="00652021"/>
    <w:rsid w:val="006522F9"/>
    <w:rsid w:val="006551CF"/>
    <w:rsid w:val="00655A35"/>
    <w:rsid w:val="00661761"/>
    <w:rsid w:val="00661C11"/>
    <w:rsid w:val="00661E7F"/>
    <w:rsid w:val="006624D7"/>
    <w:rsid w:val="006652D7"/>
    <w:rsid w:val="006655B5"/>
    <w:rsid w:val="006656ED"/>
    <w:rsid w:val="00667985"/>
    <w:rsid w:val="00667AB8"/>
    <w:rsid w:val="0067004B"/>
    <w:rsid w:val="00672C84"/>
    <w:rsid w:val="006748A1"/>
    <w:rsid w:val="00676635"/>
    <w:rsid w:val="00680B41"/>
    <w:rsid w:val="00681CDD"/>
    <w:rsid w:val="00682700"/>
    <w:rsid w:val="0068271D"/>
    <w:rsid w:val="006832C8"/>
    <w:rsid w:val="00683D2C"/>
    <w:rsid w:val="00690030"/>
    <w:rsid w:val="006913D2"/>
    <w:rsid w:val="006915C2"/>
    <w:rsid w:val="00691F3D"/>
    <w:rsid w:val="00692251"/>
    <w:rsid w:val="0069244E"/>
    <w:rsid w:val="00692817"/>
    <w:rsid w:val="00694049"/>
    <w:rsid w:val="006966D8"/>
    <w:rsid w:val="006969A3"/>
    <w:rsid w:val="00697DFF"/>
    <w:rsid w:val="006A1313"/>
    <w:rsid w:val="006A1FB2"/>
    <w:rsid w:val="006A2703"/>
    <w:rsid w:val="006A3184"/>
    <w:rsid w:val="006A34E4"/>
    <w:rsid w:val="006A4C09"/>
    <w:rsid w:val="006A4F11"/>
    <w:rsid w:val="006A56C8"/>
    <w:rsid w:val="006A5FCB"/>
    <w:rsid w:val="006B27A1"/>
    <w:rsid w:val="006B5A0B"/>
    <w:rsid w:val="006B5F62"/>
    <w:rsid w:val="006B673A"/>
    <w:rsid w:val="006B6BE5"/>
    <w:rsid w:val="006B6E54"/>
    <w:rsid w:val="006B7481"/>
    <w:rsid w:val="006C1A0E"/>
    <w:rsid w:val="006C1C23"/>
    <w:rsid w:val="006C2D4A"/>
    <w:rsid w:val="006C404E"/>
    <w:rsid w:val="006C58FC"/>
    <w:rsid w:val="006C65D1"/>
    <w:rsid w:val="006C75C5"/>
    <w:rsid w:val="006D076B"/>
    <w:rsid w:val="006D0B39"/>
    <w:rsid w:val="006D1F50"/>
    <w:rsid w:val="006D4851"/>
    <w:rsid w:val="006D49D7"/>
    <w:rsid w:val="006E00D9"/>
    <w:rsid w:val="006E3E6E"/>
    <w:rsid w:val="006E4B70"/>
    <w:rsid w:val="006E5917"/>
    <w:rsid w:val="006F0594"/>
    <w:rsid w:val="006F0E49"/>
    <w:rsid w:val="006F210A"/>
    <w:rsid w:val="006F36D5"/>
    <w:rsid w:val="006F57B7"/>
    <w:rsid w:val="006F59F1"/>
    <w:rsid w:val="006F5D54"/>
    <w:rsid w:val="006F75CE"/>
    <w:rsid w:val="00700500"/>
    <w:rsid w:val="00705F0D"/>
    <w:rsid w:val="00711558"/>
    <w:rsid w:val="007156DB"/>
    <w:rsid w:val="00716063"/>
    <w:rsid w:val="00716E08"/>
    <w:rsid w:val="00721C73"/>
    <w:rsid w:val="00724467"/>
    <w:rsid w:val="007249D7"/>
    <w:rsid w:val="0072712C"/>
    <w:rsid w:val="00731EFF"/>
    <w:rsid w:val="00732078"/>
    <w:rsid w:val="00734F8F"/>
    <w:rsid w:val="00735064"/>
    <w:rsid w:val="00737261"/>
    <w:rsid w:val="00737730"/>
    <w:rsid w:val="00743C57"/>
    <w:rsid w:val="00743FCF"/>
    <w:rsid w:val="00744BAF"/>
    <w:rsid w:val="00744BF2"/>
    <w:rsid w:val="00744C51"/>
    <w:rsid w:val="007451D0"/>
    <w:rsid w:val="00745B58"/>
    <w:rsid w:val="0074710C"/>
    <w:rsid w:val="00751633"/>
    <w:rsid w:val="00751973"/>
    <w:rsid w:val="00754D30"/>
    <w:rsid w:val="00756884"/>
    <w:rsid w:val="00762A47"/>
    <w:rsid w:val="007630B5"/>
    <w:rsid w:val="0076401B"/>
    <w:rsid w:val="00765EC9"/>
    <w:rsid w:val="00767343"/>
    <w:rsid w:val="00774820"/>
    <w:rsid w:val="00777969"/>
    <w:rsid w:val="00780EED"/>
    <w:rsid w:val="00781E82"/>
    <w:rsid w:val="00781F21"/>
    <w:rsid w:val="00783228"/>
    <w:rsid w:val="007832D3"/>
    <w:rsid w:val="00786960"/>
    <w:rsid w:val="00787B83"/>
    <w:rsid w:val="00792C8E"/>
    <w:rsid w:val="0079659C"/>
    <w:rsid w:val="00797822"/>
    <w:rsid w:val="007A029C"/>
    <w:rsid w:val="007A07B5"/>
    <w:rsid w:val="007A199F"/>
    <w:rsid w:val="007A4BED"/>
    <w:rsid w:val="007A57B4"/>
    <w:rsid w:val="007A5E07"/>
    <w:rsid w:val="007A5ECB"/>
    <w:rsid w:val="007B09BE"/>
    <w:rsid w:val="007B224C"/>
    <w:rsid w:val="007B2DB0"/>
    <w:rsid w:val="007B6846"/>
    <w:rsid w:val="007C165E"/>
    <w:rsid w:val="007C2875"/>
    <w:rsid w:val="007C3D7C"/>
    <w:rsid w:val="007D2E89"/>
    <w:rsid w:val="007D52EC"/>
    <w:rsid w:val="007E052C"/>
    <w:rsid w:val="007E45B5"/>
    <w:rsid w:val="007E6428"/>
    <w:rsid w:val="007E7FB0"/>
    <w:rsid w:val="007F0C1B"/>
    <w:rsid w:val="007F1B54"/>
    <w:rsid w:val="007F3091"/>
    <w:rsid w:val="007F7923"/>
    <w:rsid w:val="007F7A12"/>
    <w:rsid w:val="008007C1"/>
    <w:rsid w:val="00801E80"/>
    <w:rsid w:val="00804AE1"/>
    <w:rsid w:val="0080682E"/>
    <w:rsid w:val="0080752C"/>
    <w:rsid w:val="00811BCD"/>
    <w:rsid w:val="0081328F"/>
    <w:rsid w:val="0081347D"/>
    <w:rsid w:val="0081449A"/>
    <w:rsid w:val="0081534E"/>
    <w:rsid w:val="00817CF8"/>
    <w:rsid w:val="008243B2"/>
    <w:rsid w:val="00826252"/>
    <w:rsid w:val="00827FA4"/>
    <w:rsid w:val="00830D76"/>
    <w:rsid w:val="00833C1F"/>
    <w:rsid w:val="0083535F"/>
    <w:rsid w:val="0084016A"/>
    <w:rsid w:val="00840854"/>
    <w:rsid w:val="0084218A"/>
    <w:rsid w:val="00843EA3"/>
    <w:rsid w:val="008509F0"/>
    <w:rsid w:val="00850DD9"/>
    <w:rsid w:val="00852B3E"/>
    <w:rsid w:val="00856A5B"/>
    <w:rsid w:val="00861487"/>
    <w:rsid w:val="00861605"/>
    <w:rsid w:val="008619B4"/>
    <w:rsid w:val="0086413A"/>
    <w:rsid w:val="008650FE"/>
    <w:rsid w:val="00865214"/>
    <w:rsid w:val="008653E5"/>
    <w:rsid w:val="008657DE"/>
    <w:rsid w:val="00865D67"/>
    <w:rsid w:val="008668AF"/>
    <w:rsid w:val="00870A00"/>
    <w:rsid w:val="0087164C"/>
    <w:rsid w:val="00871B07"/>
    <w:rsid w:val="00873A1D"/>
    <w:rsid w:val="00874B27"/>
    <w:rsid w:val="00876C89"/>
    <w:rsid w:val="00880D8E"/>
    <w:rsid w:val="008819BE"/>
    <w:rsid w:val="00881A2A"/>
    <w:rsid w:val="0088522B"/>
    <w:rsid w:val="00886888"/>
    <w:rsid w:val="00890B04"/>
    <w:rsid w:val="00890C3F"/>
    <w:rsid w:val="008A01A2"/>
    <w:rsid w:val="008A0238"/>
    <w:rsid w:val="008A11BD"/>
    <w:rsid w:val="008A6DA5"/>
    <w:rsid w:val="008B14AF"/>
    <w:rsid w:val="008B2062"/>
    <w:rsid w:val="008B31B9"/>
    <w:rsid w:val="008B38CE"/>
    <w:rsid w:val="008B55D4"/>
    <w:rsid w:val="008B5AD7"/>
    <w:rsid w:val="008B6A49"/>
    <w:rsid w:val="008C145B"/>
    <w:rsid w:val="008C4085"/>
    <w:rsid w:val="008C6197"/>
    <w:rsid w:val="008C640F"/>
    <w:rsid w:val="008C6CC6"/>
    <w:rsid w:val="008C6F37"/>
    <w:rsid w:val="008D294C"/>
    <w:rsid w:val="008E2DB8"/>
    <w:rsid w:val="008E3A22"/>
    <w:rsid w:val="008E4763"/>
    <w:rsid w:val="008E4CFC"/>
    <w:rsid w:val="008F0028"/>
    <w:rsid w:val="008F0DAA"/>
    <w:rsid w:val="008F16BD"/>
    <w:rsid w:val="008F1B63"/>
    <w:rsid w:val="008F38DE"/>
    <w:rsid w:val="008F4570"/>
    <w:rsid w:val="008F52B1"/>
    <w:rsid w:val="00900065"/>
    <w:rsid w:val="00900F87"/>
    <w:rsid w:val="00901738"/>
    <w:rsid w:val="0090205C"/>
    <w:rsid w:val="00902171"/>
    <w:rsid w:val="009031FD"/>
    <w:rsid w:val="00903550"/>
    <w:rsid w:val="00904F9D"/>
    <w:rsid w:val="00906938"/>
    <w:rsid w:val="00906F62"/>
    <w:rsid w:val="00911E50"/>
    <w:rsid w:val="00911F9F"/>
    <w:rsid w:val="0091247A"/>
    <w:rsid w:val="00913BC2"/>
    <w:rsid w:val="00914259"/>
    <w:rsid w:val="0091530A"/>
    <w:rsid w:val="00915E2B"/>
    <w:rsid w:val="00916062"/>
    <w:rsid w:val="00916C28"/>
    <w:rsid w:val="00916CEE"/>
    <w:rsid w:val="00917A8E"/>
    <w:rsid w:val="0092016A"/>
    <w:rsid w:val="00920C76"/>
    <w:rsid w:val="00920D62"/>
    <w:rsid w:val="009214DB"/>
    <w:rsid w:val="00922BDB"/>
    <w:rsid w:val="00923035"/>
    <w:rsid w:val="00924E60"/>
    <w:rsid w:val="00925B38"/>
    <w:rsid w:val="00927E4D"/>
    <w:rsid w:val="00930075"/>
    <w:rsid w:val="00933173"/>
    <w:rsid w:val="00933AB7"/>
    <w:rsid w:val="0093482C"/>
    <w:rsid w:val="00936186"/>
    <w:rsid w:val="00936258"/>
    <w:rsid w:val="00936A75"/>
    <w:rsid w:val="00936B72"/>
    <w:rsid w:val="00944131"/>
    <w:rsid w:val="00945578"/>
    <w:rsid w:val="009464C6"/>
    <w:rsid w:val="0094734C"/>
    <w:rsid w:val="00947639"/>
    <w:rsid w:val="00951CE2"/>
    <w:rsid w:val="00954A4C"/>
    <w:rsid w:val="00954DB7"/>
    <w:rsid w:val="0096131C"/>
    <w:rsid w:val="00963B71"/>
    <w:rsid w:val="0096484E"/>
    <w:rsid w:val="00964EC4"/>
    <w:rsid w:val="00964FD7"/>
    <w:rsid w:val="0096653E"/>
    <w:rsid w:val="00966C3F"/>
    <w:rsid w:val="0097036C"/>
    <w:rsid w:val="00971543"/>
    <w:rsid w:val="00972A07"/>
    <w:rsid w:val="0097302C"/>
    <w:rsid w:val="00973083"/>
    <w:rsid w:val="00974898"/>
    <w:rsid w:val="00975996"/>
    <w:rsid w:val="00976757"/>
    <w:rsid w:val="00977052"/>
    <w:rsid w:val="00977AA8"/>
    <w:rsid w:val="009809AA"/>
    <w:rsid w:val="00982DF0"/>
    <w:rsid w:val="00985672"/>
    <w:rsid w:val="00987067"/>
    <w:rsid w:val="00987094"/>
    <w:rsid w:val="009911B7"/>
    <w:rsid w:val="0099233D"/>
    <w:rsid w:val="00993CA0"/>
    <w:rsid w:val="009955FB"/>
    <w:rsid w:val="0099576D"/>
    <w:rsid w:val="00996A80"/>
    <w:rsid w:val="009979F3"/>
    <w:rsid w:val="009A014C"/>
    <w:rsid w:val="009A0772"/>
    <w:rsid w:val="009A12C2"/>
    <w:rsid w:val="009A2467"/>
    <w:rsid w:val="009A7605"/>
    <w:rsid w:val="009B42B9"/>
    <w:rsid w:val="009B634B"/>
    <w:rsid w:val="009B750A"/>
    <w:rsid w:val="009C083D"/>
    <w:rsid w:val="009C2626"/>
    <w:rsid w:val="009C352C"/>
    <w:rsid w:val="009C4881"/>
    <w:rsid w:val="009C550C"/>
    <w:rsid w:val="009C64C5"/>
    <w:rsid w:val="009D08BC"/>
    <w:rsid w:val="009D0E32"/>
    <w:rsid w:val="009D1AB4"/>
    <w:rsid w:val="009D21CF"/>
    <w:rsid w:val="009D2225"/>
    <w:rsid w:val="009D3D09"/>
    <w:rsid w:val="009E05DA"/>
    <w:rsid w:val="009E1FBB"/>
    <w:rsid w:val="009F05DC"/>
    <w:rsid w:val="009F1401"/>
    <w:rsid w:val="009F3E05"/>
    <w:rsid w:val="009F4281"/>
    <w:rsid w:val="009F4852"/>
    <w:rsid w:val="009F4F5D"/>
    <w:rsid w:val="00A0309F"/>
    <w:rsid w:val="00A05C37"/>
    <w:rsid w:val="00A12324"/>
    <w:rsid w:val="00A123B7"/>
    <w:rsid w:val="00A12F18"/>
    <w:rsid w:val="00A131C1"/>
    <w:rsid w:val="00A13E80"/>
    <w:rsid w:val="00A20D80"/>
    <w:rsid w:val="00A2378D"/>
    <w:rsid w:val="00A2557F"/>
    <w:rsid w:val="00A26FF8"/>
    <w:rsid w:val="00A33C6C"/>
    <w:rsid w:val="00A34B4A"/>
    <w:rsid w:val="00A357D8"/>
    <w:rsid w:val="00A359A1"/>
    <w:rsid w:val="00A37F4D"/>
    <w:rsid w:val="00A40CA7"/>
    <w:rsid w:val="00A41872"/>
    <w:rsid w:val="00A41E00"/>
    <w:rsid w:val="00A4346D"/>
    <w:rsid w:val="00A46294"/>
    <w:rsid w:val="00A46F7D"/>
    <w:rsid w:val="00A521E3"/>
    <w:rsid w:val="00A52755"/>
    <w:rsid w:val="00A53D36"/>
    <w:rsid w:val="00A54663"/>
    <w:rsid w:val="00A54B44"/>
    <w:rsid w:val="00A54F5F"/>
    <w:rsid w:val="00A55B62"/>
    <w:rsid w:val="00A55EF0"/>
    <w:rsid w:val="00A5767F"/>
    <w:rsid w:val="00A57B17"/>
    <w:rsid w:val="00A63BEB"/>
    <w:rsid w:val="00A63CCF"/>
    <w:rsid w:val="00A71014"/>
    <w:rsid w:val="00A731BA"/>
    <w:rsid w:val="00A74420"/>
    <w:rsid w:val="00A74AA3"/>
    <w:rsid w:val="00A76BB1"/>
    <w:rsid w:val="00A77DC4"/>
    <w:rsid w:val="00A808FC"/>
    <w:rsid w:val="00A824B4"/>
    <w:rsid w:val="00A82B6B"/>
    <w:rsid w:val="00A83784"/>
    <w:rsid w:val="00A855C6"/>
    <w:rsid w:val="00A86F77"/>
    <w:rsid w:val="00A91756"/>
    <w:rsid w:val="00A91C36"/>
    <w:rsid w:val="00A927B5"/>
    <w:rsid w:val="00A93299"/>
    <w:rsid w:val="00A93B64"/>
    <w:rsid w:val="00A9739A"/>
    <w:rsid w:val="00A975C6"/>
    <w:rsid w:val="00A97A3B"/>
    <w:rsid w:val="00AA581B"/>
    <w:rsid w:val="00AA622C"/>
    <w:rsid w:val="00AA7A48"/>
    <w:rsid w:val="00AB0794"/>
    <w:rsid w:val="00AB333E"/>
    <w:rsid w:val="00AB36DA"/>
    <w:rsid w:val="00AB42FE"/>
    <w:rsid w:val="00AB470E"/>
    <w:rsid w:val="00AB70C8"/>
    <w:rsid w:val="00AC3E8C"/>
    <w:rsid w:val="00AC5B6E"/>
    <w:rsid w:val="00AD0251"/>
    <w:rsid w:val="00AD02FA"/>
    <w:rsid w:val="00AD5338"/>
    <w:rsid w:val="00AD7219"/>
    <w:rsid w:val="00AD7657"/>
    <w:rsid w:val="00AD7E55"/>
    <w:rsid w:val="00AE0412"/>
    <w:rsid w:val="00AE3F38"/>
    <w:rsid w:val="00AE43F7"/>
    <w:rsid w:val="00AE5365"/>
    <w:rsid w:val="00AE5BB4"/>
    <w:rsid w:val="00AF1D9A"/>
    <w:rsid w:val="00AF2323"/>
    <w:rsid w:val="00AF2499"/>
    <w:rsid w:val="00AF3074"/>
    <w:rsid w:val="00AF384B"/>
    <w:rsid w:val="00B018EF"/>
    <w:rsid w:val="00B02D37"/>
    <w:rsid w:val="00B04164"/>
    <w:rsid w:val="00B04AB9"/>
    <w:rsid w:val="00B06482"/>
    <w:rsid w:val="00B06EEB"/>
    <w:rsid w:val="00B1107B"/>
    <w:rsid w:val="00B12D4A"/>
    <w:rsid w:val="00B13538"/>
    <w:rsid w:val="00B14517"/>
    <w:rsid w:val="00B14A31"/>
    <w:rsid w:val="00B14EA3"/>
    <w:rsid w:val="00B177BC"/>
    <w:rsid w:val="00B179FB"/>
    <w:rsid w:val="00B17D31"/>
    <w:rsid w:val="00B20E9E"/>
    <w:rsid w:val="00B23FE9"/>
    <w:rsid w:val="00B241DC"/>
    <w:rsid w:val="00B2594F"/>
    <w:rsid w:val="00B25BA0"/>
    <w:rsid w:val="00B27733"/>
    <w:rsid w:val="00B3005D"/>
    <w:rsid w:val="00B32979"/>
    <w:rsid w:val="00B3397B"/>
    <w:rsid w:val="00B366DA"/>
    <w:rsid w:val="00B462DA"/>
    <w:rsid w:val="00B508D4"/>
    <w:rsid w:val="00B5365D"/>
    <w:rsid w:val="00B547BA"/>
    <w:rsid w:val="00B57834"/>
    <w:rsid w:val="00B57FA2"/>
    <w:rsid w:val="00B615CB"/>
    <w:rsid w:val="00B62C5A"/>
    <w:rsid w:val="00B63EB4"/>
    <w:rsid w:val="00B64FAE"/>
    <w:rsid w:val="00B656CB"/>
    <w:rsid w:val="00B65904"/>
    <w:rsid w:val="00B70DFB"/>
    <w:rsid w:val="00B731ED"/>
    <w:rsid w:val="00B74286"/>
    <w:rsid w:val="00B7572D"/>
    <w:rsid w:val="00B77B4A"/>
    <w:rsid w:val="00B814FE"/>
    <w:rsid w:val="00B8180A"/>
    <w:rsid w:val="00B81D82"/>
    <w:rsid w:val="00B84141"/>
    <w:rsid w:val="00B84476"/>
    <w:rsid w:val="00B85063"/>
    <w:rsid w:val="00B85A7B"/>
    <w:rsid w:val="00B85D64"/>
    <w:rsid w:val="00B863B4"/>
    <w:rsid w:val="00B86C3C"/>
    <w:rsid w:val="00B908A3"/>
    <w:rsid w:val="00B909A9"/>
    <w:rsid w:val="00B91D8E"/>
    <w:rsid w:val="00B9370D"/>
    <w:rsid w:val="00B957DC"/>
    <w:rsid w:val="00B96CB5"/>
    <w:rsid w:val="00B97896"/>
    <w:rsid w:val="00B97D13"/>
    <w:rsid w:val="00BA51AC"/>
    <w:rsid w:val="00BA55C9"/>
    <w:rsid w:val="00BA5EB2"/>
    <w:rsid w:val="00BA6775"/>
    <w:rsid w:val="00BA701A"/>
    <w:rsid w:val="00BA74DD"/>
    <w:rsid w:val="00BB14EF"/>
    <w:rsid w:val="00BB1643"/>
    <w:rsid w:val="00BB1C43"/>
    <w:rsid w:val="00BB1FE8"/>
    <w:rsid w:val="00BB2F1B"/>
    <w:rsid w:val="00BB3429"/>
    <w:rsid w:val="00BB3A9E"/>
    <w:rsid w:val="00BB6201"/>
    <w:rsid w:val="00BB75F3"/>
    <w:rsid w:val="00BC08B6"/>
    <w:rsid w:val="00BC17F2"/>
    <w:rsid w:val="00BC1DB1"/>
    <w:rsid w:val="00BC2F98"/>
    <w:rsid w:val="00BC4899"/>
    <w:rsid w:val="00BC6B07"/>
    <w:rsid w:val="00BD0399"/>
    <w:rsid w:val="00BD18AB"/>
    <w:rsid w:val="00BD2D21"/>
    <w:rsid w:val="00BD37AF"/>
    <w:rsid w:val="00BD3D7C"/>
    <w:rsid w:val="00BE00CF"/>
    <w:rsid w:val="00BE11B4"/>
    <w:rsid w:val="00BE1CD4"/>
    <w:rsid w:val="00BE272F"/>
    <w:rsid w:val="00BE4633"/>
    <w:rsid w:val="00BF1719"/>
    <w:rsid w:val="00BF4D17"/>
    <w:rsid w:val="00BF6279"/>
    <w:rsid w:val="00BF6FDF"/>
    <w:rsid w:val="00BF7700"/>
    <w:rsid w:val="00C00530"/>
    <w:rsid w:val="00C00F6A"/>
    <w:rsid w:val="00C01F0C"/>
    <w:rsid w:val="00C0474D"/>
    <w:rsid w:val="00C04FD5"/>
    <w:rsid w:val="00C05B6C"/>
    <w:rsid w:val="00C06341"/>
    <w:rsid w:val="00C076A5"/>
    <w:rsid w:val="00C0782F"/>
    <w:rsid w:val="00C1038A"/>
    <w:rsid w:val="00C12402"/>
    <w:rsid w:val="00C1479C"/>
    <w:rsid w:val="00C15930"/>
    <w:rsid w:val="00C17482"/>
    <w:rsid w:val="00C17878"/>
    <w:rsid w:val="00C21832"/>
    <w:rsid w:val="00C21C89"/>
    <w:rsid w:val="00C226ED"/>
    <w:rsid w:val="00C25073"/>
    <w:rsid w:val="00C25A6A"/>
    <w:rsid w:val="00C27DF0"/>
    <w:rsid w:val="00C31D3A"/>
    <w:rsid w:val="00C3494B"/>
    <w:rsid w:val="00C35231"/>
    <w:rsid w:val="00C3586C"/>
    <w:rsid w:val="00C36445"/>
    <w:rsid w:val="00C365BF"/>
    <w:rsid w:val="00C36A1F"/>
    <w:rsid w:val="00C40502"/>
    <w:rsid w:val="00C42F35"/>
    <w:rsid w:val="00C442D3"/>
    <w:rsid w:val="00C44CD1"/>
    <w:rsid w:val="00C450E7"/>
    <w:rsid w:val="00C45F23"/>
    <w:rsid w:val="00C47ADD"/>
    <w:rsid w:val="00C51180"/>
    <w:rsid w:val="00C52599"/>
    <w:rsid w:val="00C57F1D"/>
    <w:rsid w:val="00C60009"/>
    <w:rsid w:val="00C602C4"/>
    <w:rsid w:val="00C613CD"/>
    <w:rsid w:val="00C613FD"/>
    <w:rsid w:val="00C6252B"/>
    <w:rsid w:val="00C63870"/>
    <w:rsid w:val="00C64220"/>
    <w:rsid w:val="00C64A39"/>
    <w:rsid w:val="00C64EC4"/>
    <w:rsid w:val="00C652A6"/>
    <w:rsid w:val="00C71227"/>
    <w:rsid w:val="00C72A32"/>
    <w:rsid w:val="00C733EE"/>
    <w:rsid w:val="00C75876"/>
    <w:rsid w:val="00C808CB"/>
    <w:rsid w:val="00C80D08"/>
    <w:rsid w:val="00C852A5"/>
    <w:rsid w:val="00C87307"/>
    <w:rsid w:val="00C90CDA"/>
    <w:rsid w:val="00C91698"/>
    <w:rsid w:val="00C9346E"/>
    <w:rsid w:val="00C947CC"/>
    <w:rsid w:val="00C95528"/>
    <w:rsid w:val="00C965C9"/>
    <w:rsid w:val="00C96E08"/>
    <w:rsid w:val="00CA02D3"/>
    <w:rsid w:val="00CA0E1D"/>
    <w:rsid w:val="00CA2111"/>
    <w:rsid w:val="00CA2FAD"/>
    <w:rsid w:val="00CA4A0B"/>
    <w:rsid w:val="00CA5BEB"/>
    <w:rsid w:val="00CB0ABF"/>
    <w:rsid w:val="00CB1752"/>
    <w:rsid w:val="00CB269C"/>
    <w:rsid w:val="00CB29C1"/>
    <w:rsid w:val="00CB32F3"/>
    <w:rsid w:val="00CB34DD"/>
    <w:rsid w:val="00CB58F1"/>
    <w:rsid w:val="00CB6E0F"/>
    <w:rsid w:val="00CC2534"/>
    <w:rsid w:val="00CC3F28"/>
    <w:rsid w:val="00CC5A94"/>
    <w:rsid w:val="00CD0CBA"/>
    <w:rsid w:val="00CD144D"/>
    <w:rsid w:val="00CD5170"/>
    <w:rsid w:val="00CE12C0"/>
    <w:rsid w:val="00CE1E56"/>
    <w:rsid w:val="00CE3FD6"/>
    <w:rsid w:val="00CE56C7"/>
    <w:rsid w:val="00CE6AD7"/>
    <w:rsid w:val="00CE6FC7"/>
    <w:rsid w:val="00CE71F1"/>
    <w:rsid w:val="00CE73BA"/>
    <w:rsid w:val="00CF14CA"/>
    <w:rsid w:val="00CF1C14"/>
    <w:rsid w:val="00CF2334"/>
    <w:rsid w:val="00CF40B6"/>
    <w:rsid w:val="00CF42CA"/>
    <w:rsid w:val="00CF4CE3"/>
    <w:rsid w:val="00CF69D3"/>
    <w:rsid w:val="00CF7A0B"/>
    <w:rsid w:val="00D00AF9"/>
    <w:rsid w:val="00D026BE"/>
    <w:rsid w:val="00D0744E"/>
    <w:rsid w:val="00D07580"/>
    <w:rsid w:val="00D123DC"/>
    <w:rsid w:val="00D13321"/>
    <w:rsid w:val="00D13E25"/>
    <w:rsid w:val="00D146FF"/>
    <w:rsid w:val="00D16822"/>
    <w:rsid w:val="00D17542"/>
    <w:rsid w:val="00D20ED9"/>
    <w:rsid w:val="00D2193C"/>
    <w:rsid w:val="00D22B04"/>
    <w:rsid w:val="00D23E43"/>
    <w:rsid w:val="00D24C4A"/>
    <w:rsid w:val="00D24FF0"/>
    <w:rsid w:val="00D276A4"/>
    <w:rsid w:val="00D3019A"/>
    <w:rsid w:val="00D31A70"/>
    <w:rsid w:val="00D32B82"/>
    <w:rsid w:val="00D34C87"/>
    <w:rsid w:val="00D35136"/>
    <w:rsid w:val="00D37977"/>
    <w:rsid w:val="00D40D62"/>
    <w:rsid w:val="00D40D69"/>
    <w:rsid w:val="00D41034"/>
    <w:rsid w:val="00D45A42"/>
    <w:rsid w:val="00D46750"/>
    <w:rsid w:val="00D46B2F"/>
    <w:rsid w:val="00D50AB9"/>
    <w:rsid w:val="00D51898"/>
    <w:rsid w:val="00D55DBD"/>
    <w:rsid w:val="00D56F6E"/>
    <w:rsid w:val="00D604E6"/>
    <w:rsid w:val="00D60DC8"/>
    <w:rsid w:val="00D61195"/>
    <w:rsid w:val="00D63832"/>
    <w:rsid w:val="00D65F5D"/>
    <w:rsid w:val="00D674E8"/>
    <w:rsid w:val="00D675F1"/>
    <w:rsid w:val="00D67882"/>
    <w:rsid w:val="00D70B6B"/>
    <w:rsid w:val="00D71412"/>
    <w:rsid w:val="00D72142"/>
    <w:rsid w:val="00D7300E"/>
    <w:rsid w:val="00D7304B"/>
    <w:rsid w:val="00D7329B"/>
    <w:rsid w:val="00D73856"/>
    <w:rsid w:val="00D751D9"/>
    <w:rsid w:val="00D75979"/>
    <w:rsid w:val="00D7610C"/>
    <w:rsid w:val="00D7726F"/>
    <w:rsid w:val="00D778E3"/>
    <w:rsid w:val="00D82411"/>
    <w:rsid w:val="00D84AFF"/>
    <w:rsid w:val="00D85407"/>
    <w:rsid w:val="00D92CAD"/>
    <w:rsid w:val="00D92F6F"/>
    <w:rsid w:val="00D965C6"/>
    <w:rsid w:val="00D96C58"/>
    <w:rsid w:val="00D96EA5"/>
    <w:rsid w:val="00DA2648"/>
    <w:rsid w:val="00DA370C"/>
    <w:rsid w:val="00DA3B87"/>
    <w:rsid w:val="00DB4127"/>
    <w:rsid w:val="00DB54EB"/>
    <w:rsid w:val="00DC049E"/>
    <w:rsid w:val="00DC1422"/>
    <w:rsid w:val="00DC3375"/>
    <w:rsid w:val="00DC3501"/>
    <w:rsid w:val="00DC3BDC"/>
    <w:rsid w:val="00DC5D7A"/>
    <w:rsid w:val="00DC5E6F"/>
    <w:rsid w:val="00DC61A8"/>
    <w:rsid w:val="00DC6B9E"/>
    <w:rsid w:val="00DD017E"/>
    <w:rsid w:val="00DD0238"/>
    <w:rsid w:val="00DD1521"/>
    <w:rsid w:val="00DD1E55"/>
    <w:rsid w:val="00DD38E3"/>
    <w:rsid w:val="00DD42EA"/>
    <w:rsid w:val="00DE19A9"/>
    <w:rsid w:val="00DE1BE7"/>
    <w:rsid w:val="00DE4CFE"/>
    <w:rsid w:val="00DE5FE0"/>
    <w:rsid w:val="00DE7761"/>
    <w:rsid w:val="00DE7B0B"/>
    <w:rsid w:val="00DE7D20"/>
    <w:rsid w:val="00DF08D5"/>
    <w:rsid w:val="00DF2C59"/>
    <w:rsid w:val="00DF5F0D"/>
    <w:rsid w:val="00E00B40"/>
    <w:rsid w:val="00E01761"/>
    <w:rsid w:val="00E025E2"/>
    <w:rsid w:val="00E02E10"/>
    <w:rsid w:val="00E03C4B"/>
    <w:rsid w:val="00E06952"/>
    <w:rsid w:val="00E06E85"/>
    <w:rsid w:val="00E073A3"/>
    <w:rsid w:val="00E104F8"/>
    <w:rsid w:val="00E1282E"/>
    <w:rsid w:val="00E12990"/>
    <w:rsid w:val="00E13ED7"/>
    <w:rsid w:val="00E16AE2"/>
    <w:rsid w:val="00E270AB"/>
    <w:rsid w:val="00E30F4B"/>
    <w:rsid w:val="00E3191F"/>
    <w:rsid w:val="00E327E6"/>
    <w:rsid w:val="00E353CE"/>
    <w:rsid w:val="00E41661"/>
    <w:rsid w:val="00E42078"/>
    <w:rsid w:val="00E425E5"/>
    <w:rsid w:val="00E43840"/>
    <w:rsid w:val="00E43B78"/>
    <w:rsid w:val="00E4622F"/>
    <w:rsid w:val="00E47097"/>
    <w:rsid w:val="00E5071A"/>
    <w:rsid w:val="00E50C03"/>
    <w:rsid w:val="00E51686"/>
    <w:rsid w:val="00E53AC1"/>
    <w:rsid w:val="00E57D3A"/>
    <w:rsid w:val="00E61306"/>
    <w:rsid w:val="00E6446D"/>
    <w:rsid w:val="00E65917"/>
    <w:rsid w:val="00E6686D"/>
    <w:rsid w:val="00E67F9A"/>
    <w:rsid w:val="00E70CDA"/>
    <w:rsid w:val="00E71453"/>
    <w:rsid w:val="00E72109"/>
    <w:rsid w:val="00E759A5"/>
    <w:rsid w:val="00E76884"/>
    <w:rsid w:val="00E770EE"/>
    <w:rsid w:val="00E81301"/>
    <w:rsid w:val="00E81FDD"/>
    <w:rsid w:val="00E8333C"/>
    <w:rsid w:val="00E926FB"/>
    <w:rsid w:val="00E93688"/>
    <w:rsid w:val="00E94EB0"/>
    <w:rsid w:val="00E9506C"/>
    <w:rsid w:val="00E9570E"/>
    <w:rsid w:val="00E9576A"/>
    <w:rsid w:val="00E95F7F"/>
    <w:rsid w:val="00E9754F"/>
    <w:rsid w:val="00EA0393"/>
    <w:rsid w:val="00EA196A"/>
    <w:rsid w:val="00EA1D87"/>
    <w:rsid w:val="00EA3455"/>
    <w:rsid w:val="00EA6B96"/>
    <w:rsid w:val="00EB101F"/>
    <w:rsid w:val="00EB68B5"/>
    <w:rsid w:val="00EB7A98"/>
    <w:rsid w:val="00EC0687"/>
    <w:rsid w:val="00EC06A4"/>
    <w:rsid w:val="00EC0A62"/>
    <w:rsid w:val="00EC2875"/>
    <w:rsid w:val="00EC3F9C"/>
    <w:rsid w:val="00EC49DE"/>
    <w:rsid w:val="00EC683C"/>
    <w:rsid w:val="00EC7D6F"/>
    <w:rsid w:val="00ED0EDE"/>
    <w:rsid w:val="00ED2C44"/>
    <w:rsid w:val="00ED31FD"/>
    <w:rsid w:val="00ED7B50"/>
    <w:rsid w:val="00ED7B97"/>
    <w:rsid w:val="00EE394D"/>
    <w:rsid w:val="00EE478A"/>
    <w:rsid w:val="00EE5D20"/>
    <w:rsid w:val="00EF1B13"/>
    <w:rsid w:val="00EF4C52"/>
    <w:rsid w:val="00EF4E8D"/>
    <w:rsid w:val="00EF5AE6"/>
    <w:rsid w:val="00F00E74"/>
    <w:rsid w:val="00F00E7D"/>
    <w:rsid w:val="00F01EB1"/>
    <w:rsid w:val="00F034A2"/>
    <w:rsid w:val="00F04F9D"/>
    <w:rsid w:val="00F0530C"/>
    <w:rsid w:val="00F06ACE"/>
    <w:rsid w:val="00F1121C"/>
    <w:rsid w:val="00F1191B"/>
    <w:rsid w:val="00F1424B"/>
    <w:rsid w:val="00F14D44"/>
    <w:rsid w:val="00F17DB5"/>
    <w:rsid w:val="00F20E81"/>
    <w:rsid w:val="00F21427"/>
    <w:rsid w:val="00F21DCA"/>
    <w:rsid w:val="00F21E48"/>
    <w:rsid w:val="00F23A8D"/>
    <w:rsid w:val="00F26D3A"/>
    <w:rsid w:val="00F31790"/>
    <w:rsid w:val="00F34157"/>
    <w:rsid w:val="00F35ED7"/>
    <w:rsid w:val="00F36383"/>
    <w:rsid w:val="00F37271"/>
    <w:rsid w:val="00F41640"/>
    <w:rsid w:val="00F471AB"/>
    <w:rsid w:val="00F508D8"/>
    <w:rsid w:val="00F5142D"/>
    <w:rsid w:val="00F51866"/>
    <w:rsid w:val="00F53D98"/>
    <w:rsid w:val="00F57109"/>
    <w:rsid w:val="00F613A9"/>
    <w:rsid w:val="00F64F87"/>
    <w:rsid w:val="00F6574F"/>
    <w:rsid w:val="00F67541"/>
    <w:rsid w:val="00F70B59"/>
    <w:rsid w:val="00F71D65"/>
    <w:rsid w:val="00F72088"/>
    <w:rsid w:val="00F7327C"/>
    <w:rsid w:val="00F748D1"/>
    <w:rsid w:val="00F751AC"/>
    <w:rsid w:val="00F8194C"/>
    <w:rsid w:val="00F8261C"/>
    <w:rsid w:val="00F83ABA"/>
    <w:rsid w:val="00F84535"/>
    <w:rsid w:val="00F864DF"/>
    <w:rsid w:val="00F9228F"/>
    <w:rsid w:val="00F93624"/>
    <w:rsid w:val="00F937EA"/>
    <w:rsid w:val="00F94B7D"/>
    <w:rsid w:val="00F95749"/>
    <w:rsid w:val="00FA00A3"/>
    <w:rsid w:val="00FA2CC5"/>
    <w:rsid w:val="00FA32EC"/>
    <w:rsid w:val="00FA5BA9"/>
    <w:rsid w:val="00FA66A5"/>
    <w:rsid w:val="00FA756A"/>
    <w:rsid w:val="00FB2046"/>
    <w:rsid w:val="00FB268D"/>
    <w:rsid w:val="00FB3F27"/>
    <w:rsid w:val="00FB4660"/>
    <w:rsid w:val="00FB4770"/>
    <w:rsid w:val="00FC1532"/>
    <w:rsid w:val="00FC15F4"/>
    <w:rsid w:val="00FC1F3F"/>
    <w:rsid w:val="00FC2619"/>
    <w:rsid w:val="00FC36E0"/>
    <w:rsid w:val="00FC3E48"/>
    <w:rsid w:val="00FC3F1A"/>
    <w:rsid w:val="00FC4145"/>
    <w:rsid w:val="00FC4999"/>
    <w:rsid w:val="00FC5587"/>
    <w:rsid w:val="00FC5812"/>
    <w:rsid w:val="00FC6B41"/>
    <w:rsid w:val="00FC78E0"/>
    <w:rsid w:val="00FD06FC"/>
    <w:rsid w:val="00FD15E7"/>
    <w:rsid w:val="00FD3918"/>
    <w:rsid w:val="00FD3D1D"/>
    <w:rsid w:val="00FD51E0"/>
    <w:rsid w:val="00FD5795"/>
    <w:rsid w:val="00FD78EE"/>
    <w:rsid w:val="00FD7A65"/>
    <w:rsid w:val="00FE1965"/>
    <w:rsid w:val="00FE201E"/>
    <w:rsid w:val="00FE2B48"/>
    <w:rsid w:val="00FE3410"/>
    <w:rsid w:val="00FE58F2"/>
    <w:rsid w:val="00FF099E"/>
    <w:rsid w:val="00FF27A6"/>
    <w:rsid w:val="00FF3468"/>
    <w:rsid w:val="00FF3A32"/>
    <w:rsid w:val="00FF7527"/>
    <w:rsid w:val="0100390C"/>
    <w:rsid w:val="01017684"/>
    <w:rsid w:val="01170C55"/>
    <w:rsid w:val="012A0989"/>
    <w:rsid w:val="013406D6"/>
    <w:rsid w:val="013C690E"/>
    <w:rsid w:val="013E2686"/>
    <w:rsid w:val="014235E7"/>
    <w:rsid w:val="01516480"/>
    <w:rsid w:val="01573275"/>
    <w:rsid w:val="015F2BFA"/>
    <w:rsid w:val="016B4A37"/>
    <w:rsid w:val="01785B98"/>
    <w:rsid w:val="018008AB"/>
    <w:rsid w:val="01872E97"/>
    <w:rsid w:val="019079DC"/>
    <w:rsid w:val="01932626"/>
    <w:rsid w:val="01934780"/>
    <w:rsid w:val="019468C1"/>
    <w:rsid w:val="019839AC"/>
    <w:rsid w:val="01AA1D0B"/>
    <w:rsid w:val="01AA4F12"/>
    <w:rsid w:val="01AC75F0"/>
    <w:rsid w:val="01B14C06"/>
    <w:rsid w:val="01B91D0C"/>
    <w:rsid w:val="01BD17FD"/>
    <w:rsid w:val="01BD35AB"/>
    <w:rsid w:val="01C65C45"/>
    <w:rsid w:val="01C81F50"/>
    <w:rsid w:val="01C901A1"/>
    <w:rsid w:val="01D47EC9"/>
    <w:rsid w:val="01DA5054"/>
    <w:rsid w:val="01E21954"/>
    <w:rsid w:val="01E7687A"/>
    <w:rsid w:val="01F81B07"/>
    <w:rsid w:val="020659EF"/>
    <w:rsid w:val="021060AC"/>
    <w:rsid w:val="02155A56"/>
    <w:rsid w:val="021715DB"/>
    <w:rsid w:val="02467A44"/>
    <w:rsid w:val="024C492F"/>
    <w:rsid w:val="0253288D"/>
    <w:rsid w:val="0256755B"/>
    <w:rsid w:val="025739FF"/>
    <w:rsid w:val="025A34EF"/>
    <w:rsid w:val="026132A0"/>
    <w:rsid w:val="02647ECA"/>
    <w:rsid w:val="026C4FD1"/>
    <w:rsid w:val="027D15ED"/>
    <w:rsid w:val="029679F4"/>
    <w:rsid w:val="029851D4"/>
    <w:rsid w:val="029E3C60"/>
    <w:rsid w:val="02A209F3"/>
    <w:rsid w:val="02B76B15"/>
    <w:rsid w:val="02B91E11"/>
    <w:rsid w:val="02C21ABE"/>
    <w:rsid w:val="02C31095"/>
    <w:rsid w:val="02C866AB"/>
    <w:rsid w:val="02CB7148"/>
    <w:rsid w:val="02CD3CC1"/>
    <w:rsid w:val="02CE0D38"/>
    <w:rsid w:val="02D85BF6"/>
    <w:rsid w:val="02DE1819"/>
    <w:rsid w:val="02E01F8C"/>
    <w:rsid w:val="02E915B8"/>
    <w:rsid w:val="02F607EC"/>
    <w:rsid w:val="02F73923"/>
    <w:rsid w:val="02FA082F"/>
    <w:rsid w:val="030344D9"/>
    <w:rsid w:val="03055372"/>
    <w:rsid w:val="030639F6"/>
    <w:rsid w:val="03092820"/>
    <w:rsid w:val="031374B3"/>
    <w:rsid w:val="031536EF"/>
    <w:rsid w:val="031C69F7"/>
    <w:rsid w:val="0326146D"/>
    <w:rsid w:val="03284FF6"/>
    <w:rsid w:val="03351867"/>
    <w:rsid w:val="035166A0"/>
    <w:rsid w:val="035968AA"/>
    <w:rsid w:val="035D6844"/>
    <w:rsid w:val="03636DAC"/>
    <w:rsid w:val="036808DE"/>
    <w:rsid w:val="03750A40"/>
    <w:rsid w:val="037530E5"/>
    <w:rsid w:val="03870314"/>
    <w:rsid w:val="0387656B"/>
    <w:rsid w:val="03970651"/>
    <w:rsid w:val="03A34A22"/>
    <w:rsid w:val="03B10035"/>
    <w:rsid w:val="03B43657"/>
    <w:rsid w:val="03B920DA"/>
    <w:rsid w:val="03CF7E9F"/>
    <w:rsid w:val="03D051FD"/>
    <w:rsid w:val="03D41080"/>
    <w:rsid w:val="03D67AC4"/>
    <w:rsid w:val="03DA48E8"/>
    <w:rsid w:val="03E0322D"/>
    <w:rsid w:val="03E07DDB"/>
    <w:rsid w:val="03E33071"/>
    <w:rsid w:val="03E43571"/>
    <w:rsid w:val="03E60A7B"/>
    <w:rsid w:val="03EF5EB9"/>
    <w:rsid w:val="04021FCE"/>
    <w:rsid w:val="04034108"/>
    <w:rsid w:val="040C7CA3"/>
    <w:rsid w:val="041123EC"/>
    <w:rsid w:val="042A3F5B"/>
    <w:rsid w:val="042B7B8B"/>
    <w:rsid w:val="043716DD"/>
    <w:rsid w:val="044346F8"/>
    <w:rsid w:val="0451447E"/>
    <w:rsid w:val="04730898"/>
    <w:rsid w:val="04926F71"/>
    <w:rsid w:val="04B14F1D"/>
    <w:rsid w:val="04C42EA2"/>
    <w:rsid w:val="04C44562"/>
    <w:rsid w:val="04CB300F"/>
    <w:rsid w:val="04CD5878"/>
    <w:rsid w:val="04CE47C3"/>
    <w:rsid w:val="04D255BF"/>
    <w:rsid w:val="04DF028C"/>
    <w:rsid w:val="04F2398B"/>
    <w:rsid w:val="050D4003"/>
    <w:rsid w:val="050E2225"/>
    <w:rsid w:val="05116609"/>
    <w:rsid w:val="052C434C"/>
    <w:rsid w:val="052F46B2"/>
    <w:rsid w:val="05323C01"/>
    <w:rsid w:val="055E32F7"/>
    <w:rsid w:val="0560785B"/>
    <w:rsid w:val="056662EA"/>
    <w:rsid w:val="056D178C"/>
    <w:rsid w:val="0576271C"/>
    <w:rsid w:val="0584004E"/>
    <w:rsid w:val="059A2E05"/>
    <w:rsid w:val="05A86605"/>
    <w:rsid w:val="05B66C8F"/>
    <w:rsid w:val="05BA4851"/>
    <w:rsid w:val="05C0366A"/>
    <w:rsid w:val="05C55124"/>
    <w:rsid w:val="05CB7815"/>
    <w:rsid w:val="05D13AC9"/>
    <w:rsid w:val="05D2298C"/>
    <w:rsid w:val="05D7489C"/>
    <w:rsid w:val="05D87AEE"/>
    <w:rsid w:val="05DC76D9"/>
    <w:rsid w:val="05DD738A"/>
    <w:rsid w:val="05DE7F94"/>
    <w:rsid w:val="05E316B5"/>
    <w:rsid w:val="05FE4192"/>
    <w:rsid w:val="06002798"/>
    <w:rsid w:val="060F2283"/>
    <w:rsid w:val="0613709A"/>
    <w:rsid w:val="061614DB"/>
    <w:rsid w:val="061658A6"/>
    <w:rsid w:val="061A5470"/>
    <w:rsid w:val="061D6D34"/>
    <w:rsid w:val="062260D2"/>
    <w:rsid w:val="06237E38"/>
    <w:rsid w:val="062956B3"/>
    <w:rsid w:val="062959A9"/>
    <w:rsid w:val="063164BE"/>
    <w:rsid w:val="063522A9"/>
    <w:rsid w:val="06425C22"/>
    <w:rsid w:val="06451DC1"/>
    <w:rsid w:val="06484E67"/>
    <w:rsid w:val="064B2122"/>
    <w:rsid w:val="064E6EC7"/>
    <w:rsid w:val="065C541F"/>
    <w:rsid w:val="06775A48"/>
    <w:rsid w:val="067A1584"/>
    <w:rsid w:val="06844DBE"/>
    <w:rsid w:val="06980788"/>
    <w:rsid w:val="069C6C29"/>
    <w:rsid w:val="06A56D12"/>
    <w:rsid w:val="06A83985"/>
    <w:rsid w:val="06AC2168"/>
    <w:rsid w:val="06AE0697"/>
    <w:rsid w:val="06BC3EFC"/>
    <w:rsid w:val="06BF3283"/>
    <w:rsid w:val="06C02BC0"/>
    <w:rsid w:val="06C61153"/>
    <w:rsid w:val="06C75DF5"/>
    <w:rsid w:val="06CF4D05"/>
    <w:rsid w:val="06E13BEF"/>
    <w:rsid w:val="06F54011"/>
    <w:rsid w:val="06F832D7"/>
    <w:rsid w:val="06FC6923"/>
    <w:rsid w:val="06FD08ED"/>
    <w:rsid w:val="07123728"/>
    <w:rsid w:val="071F6AB6"/>
    <w:rsid w:val="07300CC3"/>
    <w:rsid w:val="0737795B"/>
    <w:rsid w:val="073C7668"/>
    <w:rsid w:val="073E13DE"/>
    <w:rsid w:val="0740293C"/>
    <w:rsid w:val="076369A2"/>
    <w:rsid w:val="07760D6E"/>
    <w:rsid w:val="079F3753"/>
    <w:rsid w:val="07A07BF6"/>
    <w:rsid w:val="07A25BE8"/>
    <w:rsid w:val="07A64AE1"/>
    <w:rsid w:val="07B366FA"/>
    <w:rsid w:val="07BB67DE"/>
    <w:rsid w:val="07C11C0F"/>
    <w:rsid w:val="07C57AFC"/>
    <w:rsid w:val="07C75A77"/>
    <w:rsid w:val="07D01B5E"/>
    <w:rsid w:val="07DF31AB"/>
    <w:rsid w:val="080152B1"/>
    <w:rsid w:val="08065580"/>
    <w:rsid w:val="080D4B60"/>
    <w:rsid w:val="081108BC"/>
    <w:rsid w:val="08156239"/>
    <w:rsid w:val="081D7037"/>
    <w:rsid w:val="08217D9E"/>
    <w:rsid w:val="082A74C0"/>
    <w:rsid w:val="0833213E"/>
    <w:rsid w:val="08434A1E"/>
    <w:rsid w:val="084C02D8"/>
    <w:rsid w:val="08557721"/>
    <w:rsid w:val="08564759"/>
    <w:rsid w:val="085A012D"/>
    <w:rsid w:val="085F1AF4"/>
    <w:rsid w:val="0862434F"/>
    <w:rsid w:val="08645795"/>
    <w:rsid w:val="087F5A00"/>
    <w:rsid w:val="088378F6"/>
    <w:rsid w:val="08A84DC7"/>
    <w:rsid w:val="08B44185"/>
    <w:rsid w:val="08B9285D"/>
    <w:rsid w:val="08BF0E6A"/>
    <w:rsid w:val="08C6543B"/>
    <w:rsid w:val="08CB2A51"/>
    <w:rsid w:val="08CB66D6"/>
    <w:rsid w:val="08D11F15"/>
    <w:rsid w:val="08D30184"/>
    <w:rsid w:val="08D5567E"/>
    <w:rsid w:val="08E238A4"/>
    <w:rsid w:val="08E273DA"/>
    <w:rsid w:val="08F26565"/>
    <w:rsid w:val="08F63846"/>
    <w:rsid w:val="09102B5A"/>
    <w:rsid w:val="09102EB1"/>
    <w:rsid w:val="0911776B"/>
    <w:rsid w:val="09170833"/>
    <w:rsid w:val="09194BA3"/>
    <w:rsid w:val="091C2622"/>
    <w:rsid w:val="093305F6"/>
    <w:rsid w:val="09423124"/>
    <w:rsid w:val="096556F1"/>
    <w:rsid w:val="0968167E"/>
    <w:rsid w:val="096D3B08"/>
    <w:rsid w:val="096F24BF"/>
    <w:rsid w:val="097718C9"/>
    <w:rsid w:val="097826C9"/>
    <w:rsid w:val="097B3F14"/>
    <w:rsid w:val="098B0432"/>
    <w:rsid w:val="098D41AA"/>
    <w:rsid w:val="09925BA5"/>
    <w:rsid w:val="099C263F"/>
    <w:rsid w:val="09B45F4D"/>
    <w:rsid w:val="09B97091"/>
    <w:rsid w:val="09BD637E"/>
    <w:rsid w:val="09C05309"/>
    <w:rsid w:val="09C15A7F"/>
    <w:rsid w:val="09C3197A"/>
    <w:rsid w:val="09C8425B"/>
    <w:rsid w:val="09CC40BF"/>
    <w:rsid w:val="09CC5214"/>
    <w:rsid w:val="09D80296"/>
    <w:rsid w:val="09E87633"/>
    <w:rsid w:val="09F2400E"/>
    <w:rsid w:val="09F50871"/>
    <w:rsid w:val="09FF4A81"/>
    <w:rsid w:val="0A003A7B"/>
    <w:rsid w:val="0A0531DB"/>
    <w:rsid w:val="0A061FDD"/>
    <w:rsid w:val="0A1C72DC"/>
    <w:rsid w:val="0A260AFE"/>
    <w:rsid w:val="0A344626"/>
    <w:rsid w:val="0A370516"/>
    <w:rsid w:val="0A3D2B36"/>
    <w:rsid w:val="0A3D54F8"/>
    <w:rsid w:val="0A4A3450"/>
    <w:rsid w:val="0A4F1460"/>
    <w:rsid w:val="0A534CE5"/>
    <w:rsid w:val="0A66278B"/>
    <w:rsid w:val="0A810396"/>
    <w:rsid w:val="0A86675C"/>
    <w:rsid w:val="0A916084"/>
    <w:rsid w:val="0A9D11AB"/>
    <w:rsid w:val="0AAA48E8"/>
    <w:rsid w:val="0ABB0524"/>
    <w:rsid w:val="0ACC5305"/>
    <w:rsid w:val="0AE748CB"/>
    <w:rsid w:val="0AF23B3F"/>
    <w:rsid w:val="0AF44ACA"/>
    <w:rsid w:val="0B064214"/>
    <w:rsid w:val="0B073E9C"/>
    <w:rsid w:val="0B0B0D2D"/>
    <w:rsid w:val="0B0C7351"/>
    <w:rsid w:val="0B147C70"/>
    <w:rsid w:val="0B1F6026"/>
    <w:rsid w:val="0B210747"/>
    <w:rsid w:val="0B273614"/>
    <w:rsid w:val="0B297717"/>
    <w:rsid w:val="0B297F03"/>
    <w:rsid w:val="0B334FD6"/>
    <w:rsid w:val="0B347BCA"/>
    <w:rsid w:val="0B394BAC"/>
    <w:rsid w:val="0B3A3EBE"/>
    <w:rsid w:val="0B403A31"/>
    <w:rsid w:val="0B460AB5"/>
    <w:rsid w:val="0B471C4E"/>
    <w:rsid w:val="0B554854"/>
    <w:rsid w:val="0B587726"/>
    <w:rsid w:val="0B5973BA"/>
    <w:rsid w:val="0B5C5BE2"/>
    <w:rsid w:val="0B5D195B"/>
    <w:rsid w:val="0B5E1362"/>
    <w:rsid w:val="0B6D70C1"/>
    <w:rsid w:val="0B777894"/>
    <w:rsid w:val="0B7960F4"/>
    <w:rsid w:val="0B845139"/>
    <w:rsid w:val="0B8A08BA"/>
    <w:rsid w:val="0B8B296C"/>
    <w:rsid w:val="0BA920BF"/>
    <w:rsid w:val="0BAD1FF3"/>
    <w:rsid w:val="0BCD088E"/>
    <w:rsid w:val="0BCD6AE0"/>
    <w:rsid w:val="0BDE4365"/>
    <w:rsid w:val="0BF33BF9"/>
    <w:rsid w:val="0BF57DE5"/>
    <w:rsid w:val="0C085AF7"/>
    <w:rsid w:val="0C0B13B7"/>
    <w:rsid w:val="0C0D427D"/>
    <w:rsid w:val="0C201306"/>
    <w:rsid w:val="0C2B108F"/>
    <w:rsid w:val="0C2B551E"/>
    <w:rsid w:val="0C3A6E66"/>
    <w:rsid w:val="0C4D5E73"/>
    <w:rsid w:val="0C582E72"/>
    <w:rsid w:val="0C692CAD"/>
    <w:rsid w:val="0C6D0981"/>
    <w:rsid w:val="0C7A3F92"/>
    <w:rsid w:val="0C7C3124"/>
    <w:rsid w:val="0C7C347A"/>
    <w:rsid w:val="0C7D3AD1"/>
    <w:rsid w:val="0C81478D"/>
    <w:rsid w:val="0C843DA0"/>
    <w:rsid w:val="0CAC5A0A"/>
    <w:rsid w:val="0CB63A18"/>
    <w:rsid w:val="0CBC3BD0"/>
    <w:rsid w:val="0CBD04FD"/>
    <w:rsid w:val="0CBD0903"/>
    <w:rsid w:val="0CC900A0"/>
    <w:rsid w:val="0CEB6D41"/>
    <w:rsid w:val="0CF06F2A"/>
    <w:rsid w:val="0CF72732"/>
    <w:rsid w:val="0D043A31"/>
    <w:rsid w:val="0D0522AA"/>
    <w:rsid w:val="0D0B5B12"/>
    <w:rsid w:val="0D0D32C6"/>
    <w:rsid w:val="0D0F3C97"/>
    <w:rsid w:val="0D2546FA"/>
    <w:rsid w:val="0D2C77AB"/>
    <w:rsid w:val="0D390EE2"/>
    <w:rsid w:val="0D4869ED"/>
    <w:rsid w:val="0D4E1EA3"/>
    <w:rsid w:val="0D574034"/>
    <w:rsid w:val="0D5B7B0C"/>
    <w:rsid w:val="0D5E632A"/>
    <w:rsid w:val="0D761D2A"/>
    <w:rsid w:val="0D7A532C"/>
    <w:rsid w:val="0D8C4DF9"/>
    <w:rsid w:val="0D933D59"/>
    <w:rsid w:val="0D9606FC"/>
    <w:rsid w:val="0D9A00C5"/>
    <w:rsid w:val="0DB53CD0"/>
    <w:rsid w:val="0DC55CE2"/>
    <w:rsid w:val="0DCD2DC7"/>
    <w:rsid w:val="0DD53B2B"/>
    <w:rsid w:val="0DD57ECE"/>
    <w:rsid w:val="0DE37013"/>
    <w:rsid w:val="0DEA0955"/>
    <w:rsid w:val="0DF17629"/>
    <w:rsid w:val="0E07251B"/>
    <w:rsid w:val="0E1A2946"/>
    <w:rsid w:val="0E2F4971"/>
    <w:rsid w:val="0E43308A"/>
    <w:rsid w:val="0E4A4745"/>
    <w:rsid w:val="0E526D73"/>
    <w:rsid w:val="0E63372C"/>
    <w:rsid w:val="0E741495"/>
    <w:rsid w:val="0E76601C"/>
    <w:rsid w:val="0E856CD9"/>
    <w:rsid w:val="0E9C09EC"/>
    <w:rsid w:val="0E9F3B1D"/>
    <w:rsid w:val="0EA004DC"/>
    <w:rsid w:val="0EA96ADE"/>
    <w:rsid w:val="0EB40226"/>
    <w:rsid w:val="0EB421D9"/>
    <w:rsid w:val="0EB81BCB"/>
    <w:rsid w:val="0EC60F27"/>
    <w:rsid w:val="0ED67B76"/>
    <w:rsid w:val="0EE81345"/>
    <w:rsid w:val="0EEE649D"/>
    <w:rsid w:val="0EEF3211"/>
    <w:rsid w:val="0EF71ED8"/>
    <w:rsid w:val="0EFD4B02"/>
    <w:rsid w:val="0F144D28"/>
    <w:rsid w:val="0F1C27BD"/>
    <w:rsid w:val="0F2412A4"/>
    <w:rsid w:val="0F36499C"/>
    <w:rsid w:val="0F3D5D2B"/>
    <w:rsid w:val="0F433783"/>
    <w:rsid w:val="0F480614"/>
    <w:rsid w:val="0F503CB0"/>
    <w:rsid w:val="0F64150A"/>
    <w:rsid w:val="0F704352"/>
    <w:rsid w:val="0F7200CA"/>
    <w:rsid w:val="0F8169C3"/>
    <w:rsid w:val="0F977B31"/>
    <w:rsid w:val="0FAF5B11"/>
    <w:rsid w:val="0FB12F50"/>
    <w:rsid w:val="0FB30AB6"/>
    <w:rsid w:val="0FBC359A"/>
    <w:rsid w:val="0FC24FB6"/>
    <w:rsid w:val="0FCE44FB"/>
    <w:rsid w:val="0FDF2454"/>
    <w:rsid w:val="0FE22007"/>
    <w:rsid w:val="0FE663C2"/>
    <w:rsid w:val="0FF860F6"/>
    <w:rsid w:val="100117EF"/>
    <w:rsid w:val="10027D1E"/>
    <w:rsid w:val="10060813"/>
    <w:rsid w:val="10086339"/>
    <w:rsid w:val="10090303"/>
    <w:rsid w:val="10117557"/>
    <w:rsid w:val="10172C2E"/>
    <w:rsid w:val="101747CE"/>
    <w:rsid w:val="10203AB4"/>
    <w:rsid w:val="102612A3"/>
    <w:rsid w:val="10350C2E"/>
    <w:rsid w:val="105415CA"/>
    <w:rsid w:val="10586263"/>
    <w:rsid w:val="105A46BB"/>
    <w:rsid w:val="107B4D5D"/>
    <w:rsid w:val="107E363C"/>
    <w:rsid w:val="108452B3"/>
    <w:rsid w:val="108A07C8"/>
    <w:rsid w:val="109D16D1"/>
    <w:rsid w:val="10A818CA"/>
    <w:rsid w:val="10BB15FD"/>
    <w:rsid w:val="10BE4A01"/>
    <w:rsid w:val="10C02212"/>
    <w:rsid w:val="10C5422A"/>
    <w:rsid w:val="10C85AC8"/>
    <w:rsid w:val="10CB3222"/>
    <w:rsid w:val="10DD3B53"/>
    <w:rsid w:val="10E70644"/>
    <w:rsid w:val="10E723F2"/>
    <w:rsid w:val="10F77868"/>
    <w:rsid w:val="10FE14EA"/>
    <w:rsid w:val="11014B71"/>
    <w:rsid w:val="110404C9"/>
    <w:rsid w:val="110920E7"/>
    <w:rsid w:val="11112461"/>
    <w:rsid w:val="11121932"/>
    <w:rsid w:val="111F3CDF"/>
    <w:rsid w:val="112C2870"/>
    <w:rsid w:val="112D6D48"/>
    <w:rsid w:val="114626E3"/>
    <w:rsid w:val="11487BA4"/>
    <w:rsid w:val="115A2F43"/>
    <w:rsid w:val="116021A5"/>
    <w:rsid w:val="116752E1"/>
    <w:rsid w:val="117F087D"/>
    <w:rsid w:val="11820F03"/>
    <w:rsid w:val="11902A8A"/>
    <w:rsid w:val="11994967"/>
    <w:rsid w:val="11995FD1"/>
    <w:rsid w:val="11AE1D1E"/>
    <w:rsid w:val="11B12A00"/>
    <w:rsid w:val="11B322D4"/>
    <w:rsid w:val="11BE6092"/>
    <w:rsid w:val="11BF08B4"/>
    <w:rsid w:val="11C92A1F"/>
    <w:rsid w:val="11CE086E"/>
    <w:rsid w:val="11DC5CCF"/>
    <w:rsid w:val="11ED4429"/>
    <w:rsid w:val="11EE5A02"/>
    <w:rsid w:val="11EE77B0"/>
    <w:rsid w:val="11F12118"/>
    <w:rsid w:val="11FA7DF6"/>
    <w:rsid w:val="12130FC5"/>
    <w:rsid w:val="1222745A"/>
    <w:rsid w:val="12246739"/>
    <w:rsid w:val="122A4059"/>
    <w:rsid w:val="122D652B"/>
    <w:rsid w:val="124971EA"/>
    <w:rsid w:val="124B6F38"/>
    <w:rsid w:val="124E024F"/>
    <w:rsid w:val="12511DAD"/>
    <w:rsid w:val="125D5B08"/>
    <w:rsid w:val="12633CFA"/>
    <w:rsid w:val="126C6C82"/>
    <w:rsid w:val="127E28E2"/>
    <w:rsid w:val="12841329"/>
    <w:rsid w:val="12986B59"/>
    <w:rsid w:val="12A469B4"/>
    <w:rsid w:val="12A63A7D"/>
    <w:rsid w:val="12A8795F"/>
    <w:rsid w:val="12B60DED"/>
    <w:rsid w:val="12D82413"/>
    <w:rsid w:val="12DB0DD7"/>
    <w:rsid w:val="12E070F9"/>
    <w:rsid w:val="12EC2818"/>
    <w:rsid w:val="12F901BB"/>
    <w:rsid w:val="12FC164D"/>
    <w:rsid w:val="130636CC"/>
    <w:rsid w:val="13087863"/>
    <w:rsid w:val="13194C80"/>
    <w:rsid w:val="131E40C5"/>
    <w:rsid w:val="132316DC"/>
    <w:rsid w:val="133341C1"/>
    <w:rsid w:val="133E1421"/>
    <w:rsid w:val="13416317"/>
    <w:rsid w:val="134C478E"/>
    <w:rsid w:val="134E7B9A"/>
    <w:rsid w:val="135350C1"/>
    <w:rsid w:val="136503AB"/>
    <w:rsid w:val="136917E4"/>
    <w:rsid w:val="13712B7D"/>
    <w:rsid w:val="13727C10"/>
    <w:rsid w:val="13743CE5"/>
    <w:rsid w:val="13762C7A"/>
    <w:rsid w:val="137C73CE"/>
    <w:rsid w:val="1385084B"/>
    <w:rsid w:val="13904FC3"/>
    <w:rsid w:val="13936FEE"/>
    <w:rsid w:val="13937E77"/>
    <w:rsid w:val="13AA5D4F"/>
    <w:rsid w:val="13AB6859"/>
    <w:rsid w:val="13AB7C4F"/>
    <w:rsid w:val="13B444E0"/>
    <w:rsid w:val="13B873FF"/>
    <w:rsid w:val="13C82260"/>
    <w:rsid w:val="13CA642F"/>
    <w:rsid w:val="13D2292A"/>
    <w:rsid w:val="13F026D7"/>
    <w:rsid w:val="14045069"/>
    <w:rsid w:val="14273966"/>
    <w:rsid w:val="14324730"/>
    <w:rsid w:val="14327F99"/>
    <w:rsid w:val="143D2C5A"/>
    <w:rsid w:val="1449499A"/>
    <w:rsid w:val="144C2F87"/>
    <w:rsid w:val="144D5241"/>
    <w:rsid w:val="145002AE"/>
    <w:rsid w:val="145714AB"/>
    <w:rsid w:val="14677046"/>
    <w:rsid w:val="14726477"/>
    <w:rsid w:val="147C7C4D"/>
    <w:rsid w:val="148E0DD7"/>
    <w:rsid w:val="149208C7"/>
    <w:rsid w:val="149B00C5"/>
    <w:rsid w:val="149E1FB5"/>
    <w:rsid w:val="14AE3227"/>
    <w:rsid w:val="14B53005"/>
    <w:rsid w:val="14E47947"/>
    <w:rsid w:val="14EF1875"/>
    <w:rsid w:val="14F22A53"/>
    <w:rsid w:val="14F450DE"/>
    <w:rsid w:val="150D619F"/>
    <w:rsid w:val="150E003E"/>
    <w:rsid w:val="151856E6"/>
    <w:rsid w:val="151D2886"/>
    <w:rsid w:val="15673B02"/>
    <w:rsid w:val="156B0D67"/>
    <w:rsid w:val="156F29B6"/>
    <w:rsid w:val="158B1684"/>
    <w:rsid w:val="158F3058"/>
    <w:rsid w:val="15941069"/>
    <w:rsid w:val="15A44D56"/>
    <w:rsid w:val="15AB60E4"/>
    <w:rsid w:val="15BD7BC5"/>
    <w:rsid w:val="15C70A44"/>
    <w:rsid w:val="15D84C8A"/>
    <w:rsid w:val="15DB0DB2"/>
    <w:rsid w:val="15E7793C"/>
    <w:rsid w:val="15FA2527"/>
    <w:rsid w:val="15FD1E2B"/>
    <w:rsid w:val="16021A7C"/>
    <w:rsid w:val="160B774E"/>
    <w:rsid w:val="161B669A"/>
    <w:rsid w:val="161E5EC8"/>
    <w:rsid w:val="16302145"/>
    <w:rsid w:val="16322361"/>
    <w:rsid w:val="163E7D42"/>
    <w:rsid w:val="163F4379"/>
    <w:rsid w:val="163F682C"/>
    <w:rsid w:val="164660CD"/>
    <w:rsid w:val="16514A62"/>
    <w:rsid w:val="166C5148"/>
    <w:rsid w:val="167377BC"/>
    <w:rsid w:val="16907BFC"/>
    <w:rsid w:val="169A1CB5"/>
    <w:rsid w:val="16A135AF"/>
    <w:rsid w:val="16B26FFE"/>
    <w:rsid w:val="16C01E70"/>
    <w:rsid w:val="16CB3A2A"/>
    <w:rsid w:val="16D43419"/>
    <w:rsid w:val="16E42F30"/>
    <w:rsid w:val="16EF0C03"/>
    <w:rsid w:val="170D7E76"/>
    <w:rsid w:val="17136F7B"/>
    <w:rsid w:val="1717135E"/>
    <w:rsid w:val="17173305"/>
    <w:rsid w:val="17233804"/>
    <w:rsid w:val="17233A58"/>
    <w:rsid w:val="172A4D4B"/>
    <w:rsid w:val="172D2B29"/>
    <w:rsid w:val="1733781F"/>
    <w:rsid w:val="173817DD"/>
    <w:rsid w:val="17494C07"/>
    <w:rsid w:val="17582D7C"/>
    <w:rsid w:val="175C0A25"/>
    <w:rsid w:val="175D7AF3"/>
    <w:rsid w:val="175E7186"/>
    <w:rsid w:val="17627B55"/>
    <w:rsid w:val="17643BD2"/>
    <w:rsid w:val="17797531"/>
    <w:rsid w:val="17824C23"/>
    <w:rsid w:val="17877DE9"/>
    <w:rsid w:val="17896F7F"/>
    <w:rsid w:val="178F3DAE"/>
    <w:rsid w:val="17B15508"/>
    <w:rsid w:val="17B44C6D"/>
    <w:rsid w:val="17B53BB7"/>
    <w:rsid w:val="17B9002D"/>
    <w:rsid w:val="17C57205"/>
    <w:rsid w:val="17CE5F60"/>
    <w:rsid w:val="18027B12"/>
    <w:rsid w:val="1808266F"/>
    <w:rsid w:val="18083EA6"/>
    <w:rsid w:val="180E3F64"/>
    <w:rsid w:val="181E2472"/>
    <w:rsid w:val="181E35A0"/>
    <w:rsid w:val="183C5F26"/>
    <w:rsid w:val="18504D21"/>
    <w:rsid w:val="18522F76"/>
    <w:rsid w:val="18526AE6"/>
    <w:rsid w:val="1853327D"/>
    <w:rsid w:val="18567E5D"/>
    <w:rsid w:val="185C3AE0"/>
    <w:rsid w:val="185F1BE8"/>
    <w:rsid w:val="18697B91"/>
    <w:rsid w:val="186E164B"/>
    <w:rsid w:val="188D6CAC"/>
    <w:rsid w:val="189C1D14"/>
    <w:rsid w:val="18A5670A"/>
    <w:rsid w:val="18B42C97"/>
    <w:rsid w:val="18BF1EA7"/>
    <w:rsid w:val="18C1177B"/>
    <w:rsid w:val="18C272A1"/>
    <w:rsid w:val="18DA6CE0"/>
    <w:rsid w:val="18DD7E17"/>
    <w:rsid w:val="18DE1BCB"/>
    <w:rsid w:val="18E0605D"/>
    <w:rsid w:val="18E12DA0"/>
    <w:rsid w:val="18EA6F23"/>
    <w:rsid w:val="18EC38AE"/>
    <w:rsid w:val="18EC395A"/>
    <w:rsid w:val="18F20A3F"/>
    <w:rsid w:val="18F97418"/>
    <w:rsid w:val="190C23A4"/>
    <w:rsid w:val="191158E0"/>
    <w:rsid w:val="191E4E1F"/>
    <w:rsid w:val="191F1D0B"/>
    <w:rsid w:val="19216AC6"/>
    <w:rsid w:val="192A3CF7"/>
    <w:rsid w:val="19335FC4"/>
    <w:rsid w:val="194708E5"/>
    <w:rsid w:val="194A5C14"/>
    <w:rsid w:val="194D300E"/>
    <w:rsid w:val="195E6FCA"/>
    <w:rsid w:val="19613B06"/>
    <w:rsid w:val="196B2226"/>
    <w:rsid w:val="1977452F"/>
    <w:rsid w:val="19793E03"/>
    <w:rsid w:val="197E5D81"/>
    <w:rsid w:val="198517EE"/>
    <w:rsid w:val="19961B4C"/>
    <w:rsid w:val="19A76BC3"/>
    <w:rsid w:val="19A846C9"/>
    <w:rsid w:val="19B90E22"/>
    <w:rsid w:val="19B924F4"/>
    <w:rsid w:val="19BC3EA3"/>
    <w:rsid w:val="19BD5A60"/>
    <w:rsid w:val="19BE5CBA"/>
    <w:rsid w:val="19C37652"/>
    <w:rsid w:val="19C57049"/>
    <w:rsid w:val="19D0483E"/>
    <w:rsid w:val="19D97D4A"/>
    <w:rsid w:val="19E545CF"/>
    <w:rsid w:val="19E56B26"/>
    <w:rsid w:val="19E71E61"/>
    <w:rsid w:val="19E82ABA"/>
    <w:rsid w:val="1A065E3F"/>
    <w:rsid w:val="1A077661"/>
    <w:rsid w:val="1A2F7F8F"/>
    <w:rsid w:val="1A382B73"/>
    <w:rsid w:val="1A3D410F"/>
    <w:rsid w:val="1A3E053E"/>
    <w:rsid w:val="1A3F504D"/>
    <w:rsid w:val="1A444689"/>
    <w:rsid w:val="1A486443"/>
    <w:rsid w:val="1A49775A"/>
    <w:rsid w:val="1A58610F"/>
    <w:rsid w:val="1A622AE9"/>
    <w:rsid w:val="1A637391"/>
    <w:rsid w:val="1A7D5B75"/>
    <w:rsid w:val="1A9C08B8"/>
    <w:rsid w:val="1A9D7FC6"/>
    <w:rsid w:val="1AA84985"/>
    <w:rsid w:val="1AAE486B"/>
    <w:rsid w:val="1AB924B9"/>
    <w:rsid w:val="1ABD1596"/>
    <w:rsid w:val="1ABF618E"/>
    <w:rsid w:val="1AC77E08"/>
    <w:rsid w:val="1ACB0257"/>
    <w:rsid w:val="1AD31773"/>
    <w:rsid w:val="1AD37CDB"/>
    <w:rsid w:val="1AD80FFE"/>
    <w:rsid w:val="1ADB2268"/>
    <w:rsid w:val="1ADB570E"/>
    <w:rsid w:val="1ADC74A6"/>
    <w:rsid w:val="1AE06119"/>
    <w:rsid w:val="1AE259D8"/>
    <w:rsid w:val="1AE31E7C"/>
    <w:rsid w:val="1AE42AE7"/>
    <w:rsid w:val="1AEC6E4E"/>
    <w:rsid w:val="1B096ED4"/>
    <w:rsid w:val="1B1F09DB"/>
    <w:rsid w:val="1B2A57A6"/>
    <w:rsid w:val="1B3A4ECC"/>
    <w:rsid w:val="1B4D72F6"/>
    <w:rsid w:val="1B552981"/>
    <w:rsid w:val="1B5F1E47"/>
    <w:rsid w:val="1B5F527B"/>
    <w:rsid w:val="1B6D5BEA"/>
    <w:rsid w:val="1B7170CE"/>
    <w:rsid w:val="1B742AD4"/>
    <w:rsid w:val="1B75756C"/>
    <w:rsid w:val="1B8008DB"/>
    <w:rsid w:val="1B845674"/>
    <w:rsid w:val="1BA70FCE"/>
    <w:rsid w:val="1BC752FA"/>
    <w:rsid w:val="1BDB2B53"/>
    <w:rsid w:val="1BDB4016"/>
    <w:rsid w:val="1BE539D2"/>
    <w:rsid w:val="1BFD7DEF"/>
    <w:rsid w:val="1C0A6D57"/>
    <w:rsid w:val="1C0C73AE"/>
    <w:rsid w:val="1C1421F8"/>
    <w:rsid w:val="1C146371"/>
    <w:rsid w:val="1C1C1CC5"/>
    <w:rsid w:val="1C2838BF"/>
    <w:rsid w:val="1C2B37E1"/>
    <w:rsid w:val="1C40365A"/>
    <w:rsid w:val="1C465849"/>
    <w:rsid w:val="1C4675BE"/>
    <w:rsid w:val="1C496EAE"/>
    <w:rsid w:val="1C580648"/>
    <w:rsid w:val="1C6158B6"/>
    <w:rsid w:val="1C71453B"/>
    <w:rsid w:val="1C7A5E70"/>
    <w:rsid w:val="1C921BC8"/>
    <w:rsid w:val="1C982A13"/>
    <w:rsid w:val="1C9E2BB8"/>
    <w:rsid w:val="1C9F30E9"/>
    <w:rsid w:val="1CB51EF2"/>
    <w:rsid w:val="1CC71D61"/>
    <w:rsid w:val="1CD30DEA"/>
    <w:rsid w:val="1CE21043"/>
    <w:rsid w:val="1CEE4B08"/>
    <w:rsid w:val="1CF55E97"/>
    <w:rsid w:val="1D0E6F59"/>
    <w:rsid w:val="1D0F159A"/>
    <w:rsid w:val="1D246414"/>
    <w:rsid w:val="1D24677C"/>
    <w:rsid w:val="1D254FE7"/>
    <w:rsid w:val="1D2B18B9"/>
    <w:rsid w:val="1D2B1A65"/>
    <w:rsid w:val="1D2B3667"/>
    <w:rsid w:val="1D300C7D"/>
    <w:rsid w:val="1D4A2AFA"/>
    <w:rsid w:val="1D4F4FD5"/>
    <w:rsid w:val="1D5845AF"/>
    <w:rsid w:val="1D5E26BE"/>
    <w:rsid w:val="1D660B43"/>
    <w:rsid w:val="1D6F1C01"/>
    <w:rsid w:val="1D7274E7"/>
    <w:rsid w:val="1D736FEC"/>
    <w:rsid w:val="1D7B2840"/>
    <w:rsid w:val="1D886428"/>
    <w:rsid w:val="1D993179"/>
    <w:rsid w:val="1D9A467D"/>
    <w:rsid w:val="1DAE3213"/>
    <w:rsid w:val="1DB45D52"/>
    <w:rsid w:val="1DBE4F99"/>
    <w:rsid w:val="1DCB7E87"/>
    <w:rsid w:val="1DD97567"/>
    <w:rsid w:val="1DE63A32"/>
    <w:rsid w:val="1DE657E0"/>
    <w:rsid w:val="1DF83E91"/>
    <w:rsid w:val="1DFD14A7"/>
    <w:rsid w:val="1E0839A8"/>
    <w:rsid w:val="1E092C93"/>
    <w:rsid w:val="1E152A73"/>
    <w:rsid w:val="1E1C7DCA"/>
    <w:rsid w:val="1E206812"/>
    <w:rsid w:val="1E22206B"/>
    <w:rsid w:val="1E237E7E"/>
    <w:rsid w:val="1E270431"/>
    <w:rsid w:val="1E295D4C"/>
    <w:rsid w:val="1E4470D6"/>
    <w:rsid w:val="1E4676E6"/>
    <w:rsid w:val="1E471C2A"/>
    <w:rsid w:val="1E5170FD"/>
    <w:rsid w:val="1E760C4A"/>
    <w:rsid w:val="1E7A37E3"/>
    <w:rsid w:val="1E87262B"/>
    <w:rsid w:val="1E8D46D3"/>
    <w:rsid w:val="1E94348E"/>
    <w:rsid w:val="1E9856E4"/>
    <w:rsid w:val="1EA062D6"/>
    <w:rsid w:val="1EA90CE7"/>
    <w:rsid w:val="1EBB6C6C"/>
    <w:rsid w:val="1EC10726"/>
    <w:rsid w:val="1ED163FF"/>
    <w:rsid w:val="1ED34DEB"/>
    <w:rsid w:val="1EE14B92"/>
    <w:rsid w:val="1EE37602"/>
    <w:rsid w:val="1EE47F71"/>
    <w:rsid w:val="1EE61241"/>
    <w:rsid w:val="1EF372FD"/>
    <w:rsid w:val="1EF44105"/>
    <w:rsid w:val="1EF85403"/>
    <w:rsid w:val="1F0C74C8"/>
    <w:rsid w:val="1F120F82"/>
    <w:rsid w:val="1F153D86"/>
    <w:rsid w:val="1F1B1CA5"/>
    <w:rsid w:val="1F2E38E2"/>
    <w:rsid w:val="1F32775A"/>
    <w:rsid w:val="1F374E41"/>
    <w:rsid w:val="1F6E3CDF"/>
    <w:rsid w:val="1F7E6617"/>
    <w:rsid w:val="1F7F513F"/>
    <w:rsid w:val="1F8B5520"/>
    <w:rsid w:val="1F90634B"/>
    <w:rsid w:val="1F953961"/>
    <w:rsid w:val="1F996D59"/>
    <w:rsid w:val="1FA0658E"/>
    <w:rsid w:val="1FA871F0"/>
    <w:rsid w:val="1FA94D17"/>
    <w:rsid w:val="1FBE7875"/>
    <w:rsid w:val="1FC05873"/>
    <w:rsid w:val="1FC70D92"/>
    <w:rsid w:val="1FCC4A99"/>
    <w:rsid w:val="1FDE16D2"/>
    <w:rsid w:val="1FE52208"/>
    <w:rsid w:val="1FEC17D3"/>
    <w:rsid w:val="1FF16DE9"/>
    <w:rsid w:val="1FF318B9"/>
    <w:rsid w:val="1FF547F4"/>
    <w:rsid w:val="1FFE00CE"/>
    <w:rsid w:val="20137704"/>
    <w:rsid w:val="20144886"/>
    <w:rsid w:val="20156829"/>
    <w:rsid w:val="201E3E2D"/>
    <w:rsid w:val="202D76F6"/>
    <w:rsid w:val="20321AF7"/>
    <w:rsid w:val="20322F5E"/>
    <w:rsid w:val="203B0065"/>
    <w:rsid w:val="20457135"/>
    <w:rsid w:val="204A4A21"/>
    <w:rsid w:val="20523600"/>
    <w:rsid w:val="205376D8"/>
    <w:rsid w:val="205A6B9B"/>
    <w:rsid w:val="20621A95"/>
    <w:rsid w:val="206A569B"/>
    <w:rsid w:val="20723104"/>
    <w:rsid w:val="20814818"/>
    <w:rsid w:val="209D2ACD"/>
    <w:rsid w:val="20BB73F7"/>
    <w:rsid w:val="20C718F8"/>
    <w:rsid w:val="20C8152B"/>
    <w:rsid w:val="20D02EA3"/>
    <w:rsid w:val="20D109C9"/>
    <w:rsid w:val="20D132E1"/>
    <w:rsid w:val="20D83B05"/>
    <w:rsid w:val="20E84787"/>
    <w:rsid w:val="20EA2B4B"/>
    <w:rsid w:val="21001E85"/>
    <w:rsid w:val="210668C5"/>
    <w:rsid w:val="210F0963"/>
    <w:rsid w:val="211F1DE5"/>
    <w:rsid w:val="21213846"/>
    <w:rsid w:val="21396104"/>
    <w:rsid w:val="21464ABF"/>
    <w:rsid w:val="215236AA"/>
    <w:rsid w:val="215A09BE"/>
    <w:rsid w:val="21601A4E"/>
    <w:rsid w:val="21727E3A"/>
    <w:rsid w:val="217712B4"/>
    <w:rsid w:val="217D46AD"/>
    <w:rsid w:val="21967F5A"/>
    <w:rsid w:val="219B4A2A"/>
    <w:rsid w:val="21AB121A"/>
    <w:rsid w:val="21AF1BED"/>
    <w:rsid w:val="21B300CF"/>
    <w:rsid w:val="21B61806"/>
    <w:rsid w:val="21BA6635"/>
    <w:rsid w:val="21BB6B3C"/>
    <w:rsid w:val="21C67E02"/>
    <w:rsid w:val="21D71D3E"/>
    <w:rsid w:val="21DB4FBA"/>
    <w:rsid w:val="21DC34C3"/>
    <w:rsid w:val="21EF55AB"/>
    <w:rsid w:val="21F16983"/>
    <w:rsid w:val="21FB09E7"/>
    <w:rsid w:val="22020DE4"/>
    <w:rsid w:val="22031056"/>
    <w:rsid w:val="220642A6"/>
    <w:rsid w:val="22155770"/>
    <w:rsid w:val="221A1EFC"/>
    <w:rsid w:val="221B269C"/>
    <w:rsid w:val="22200776"/>
    <w:rsid w:val="22250FCC"/>
    <w:rsid w:val="222A188E"/>
    <w:rsid w:val="22363D4A"/>
    <w:rsid w:val="223C2460"/>
    <w:rsid w:val="223C53EC"/>
    <w:rsid w:val="22430429"/>
    <w:rsid w:val="224551CB"/>
    <w:rsid w:val="224C4F99"/>
    <w:rsid w:val="224E78FC"/>
    <w:rsid w:val="225B0E16"/>
    <w:rsid w:val="22636D59"/>
    <w:rsid w:val="22743F78"/>
    <w:rsid w:val="228C453A"/>
    <w:rsid w:val="22947F00"/>
    <w:rsid w:val="22A00653"/>
    <w:rsid w:val="22A215C4"/>
    <w:rsid w:val="22B85B4F"/>
    <w:rsid w:val="22B85F2D"/>
    <w:rsid w:val="22BB5B69"/>
    <w:rsid w:val="22C26F03"/>
    <w:rsid w:val="22C95525"/>
    <w:rsid w:val="22CA1B74"/>
    <w:rsid w:val="22CF0F38"/>
    <w:rsid w:val="22D16A5E"/>
    <w:rsid w:val="22E02CB1"/>
    <w:rsid w:val="22EF1E29"/>
    <w:rsid w:val="22F8223D"/>
    <w:rsid w:val="22F87A0C"/>
    <w:rsid w:val="22F95FB5"/>
    <w:rsid w:val="23045086"/>
    <w:rsid w:val="23094F32"/>
    <w:rsid w:val="23146CF5"/>
    <w:rsid w:val="231B417D"/>
    <w:rsid w:val="231D7BF3"/>
    <w:rsid w:val="232A1834"/>
    <w:rsid w:val="233D77AB"/>
    <w:rsid w:val="233E65F0"/>
    <w:rsid w:val="23445482"/>
    <w:rsid w:val="234E207A"/>
    <w:rsid w:val="235651B5"/>
    <w:rsid w:val="235C78E5"/>
    <w:rsid w:val="236E0751"/>
    <w:rsid w:val="237017E2"/>
    <w:rsid w:val="237A0EA4"/>
    <w:rsid w:val="23886270"/>
    <w:rsid w:val="238B4E5F"/>
    <w:rsid w:val="23984DB5"/>
    <w:rsid w:val="239F4D83"/>
    <w:rsid w:val="23A56725"/>
    <w:rsid w:val="23A91789"/>
    <w:rsid w:val="23AE0B4E"/>
    <w:rsid w:val="23AF0EE6"/>
    <w:rsid w:val="23BE7A6D"/>
    <w:rsid w:val="23C816D1"/>
    <w:rsid w:val="23D04B52"/>
    <w:rsid w:val="23D20CE0"/>
    <w:rsid w:val="23E74D24"/>
    <w:rsid w:val="23E822B1"/>
    <w:rsid w:val="23F520EE"/>
    <w:rsid w:val="23FC7B0B"/>
    <w:rsid w:val="23FE0166"/>
    <w:rsid w:val="240B41F2"/>
    <w:rsid w:val="240C4C5D"/>
    <w:rsid w:val="24111CD9"/>
    <w:rsid w:val="24137ABA"/>
    <w:rsid w:val="24286B52"/>
    <w:rsid w:val="243022A5"/>
    <w:rsid w:val="24305A06"/>
    <w:rsid w:val="243A6885"/>
    <w:rsid w:val="24432549"/>
    <w:rsid w:val="24694D4D"/>
    <w:rsid w:val="2480698E"/>
    <w:rsid w:val="24840F89"/>
    <w:rsid w:val="248D4C07"/>
    <w:rsid w:val="24941AD7"/>
    <w:rsid w:val="24B30B11"/>
    <w:rsid w:val="24B86128"/>
    <w:rsid w:val="24BE1264"/>
    <w:rsid w:val="24CD76F9"/>
    <w:rsid w:val="24D02576"/>
    <w:rsid w:val="24D24662"/>
    <w:rsid w:val="24D93E56"/>
    <w:rsid w:val="24F7018E"/>
    <w:rsid w:val="24F905ED"/>
    <w:rsid w:val="250C31E6"/>
    <w:rsid w:val="251B5B5A"/>
    <w:rsid w:val="251C1370"/>
    <w:rsid w:val="251D603D"/>
    <w:rsid w:val="252512E3"/>
    <w:rsid w:val="252579BE"/>
    <w:rsid w:val="25372D45"/>
    <w:rsid w:val="253D5435"/>
    <w:rsid w:val="25455DC0"/>
    <w:rsid w:val="2558237C"/>
    <w:rsid w:val="255B4D05"/>
    <w:rsid w:val="256047C8"/>
    <w:rsid w:val="25614063"/>
    <w:rsid w:val="25630BA2"/>
    <w:rsid w:val="256E7B04"/>
    <w:rsid w:val="256E7B1A"/>
    <w:rsid w:val="2573204F"/>
    <w:rsid w:val="25774FE6"/>
    <w:rsid w:val="257B66C9"/>
    <w:rsid w:val="25855DDD"/>
    <w:rsid w:val="258909B8"/>
    <w:rsid w:val="258D52AC"/>
    <w:rsid w:val="259103BA"/>
    <w:rsid w:val="259F047B"/>
    <w:rsid w:val="25A031A6"/>
    <w:rsid w:val="25A20B86"/>
    <w:rsid w:val="25A36C3A"/>
    <w:rsid w:val="25AD6B4E"/>
    <w:rsid w:val="25BA7C7E"/>
    <w:rsid w:val="25C01E7E"/>
    <w:rsid w:val="25D250C0"/>
    <w:rsid w:val="25E11D5A"/>
    <w:rsid w:val="25EC51DF"/>
    <w:rsid w:val="25EF71CB"/>
    <w:rsid w:val="25F0544D"/>
    <w:rsid w:val="25F07FC4"/>
    <w:rsid w:val="25F767DC"/>
    <w:rsid w:val="260444E3"/>
    <w:rsid w:val="26086AB6"/>
    <w:rsid w:val="261771A4"/>
    <w:rsid w:val="26223515"/>
    <w:rsid w:val="262B1F05"/>
    <w:rsid w:val="26345C82"/>
    <w:rsid w:val="26395046"/>
    <w:rsid w:val="264B5694"/>
    <w:rsid w:val="265A1D0E"/>
    <w:rsid w:val="265B1AF5"/>
    <w:rsid w:val="265C0D35"/>
    <w:rsid w:val="265E2CFF"/>
    <w:rsid w:val="266059D5"/>
    <w:rsid w:val="2665408D"/>
    <w:rsid w:val="266B36E5"/>
    <w:rsid w:val="266D2E39"/>
    <w:rsid w:val="26712F24"/>
    <w:rsid w:val="267F75C1"/>
    <w:rsid w:val="26876DFC"/>
    <w:rsid w:val="268816B2"/>
    <w:rsid w:val="268E248A"/>
    <w:rsid w:val="26A5004B"/>
    <w:rsid w:val="26AC5BC2"/>
    <w:rsid w:val="26AD2DDC"/>
    <w:rsid w:val="26AF4EF6"/>
    <w:rsid w:val="26B11081"/>
    <w:rsid w:val="26C37006"/>
    <w:rsid w:val="26CD79FD"/>
    <w:rsid w:val="26CF6CAB"/>
    <w:rsid w:val="26D14BDA"/>
    <w:rsid w:val="26D325ED"/>
    <w:rsid w:val="26F47710"/>
    <w:rsid w:val="26FD2518"/>
    <w:rsid w:val="271909D4"/>
    <w:rsid w:val="27247EE9"/>
    <w:rsid w:val="2734727A"/>
    <w:rsid w:val="27381E77"/>
    <w:rsid w:val="273D46C2"/>
    <w:rsid w:val="2751116A"/>
    <w:rsid w:val="27533EE6"/>
    <w:rsid w:val="275C6DEF"/>
    <w:rsid w:val="276029D2"/>
    <w:rsid w:val="276E4BE6"/>
    <w:rsid w:val="277857FF"/>
    <w:rsid w:val="27787DF0"/>
    <w:rsid w:val="277C7BD6"/>
    <w:rsid w:val="277D61F9"/>
    <w:rsid w:val="27802A7F"/>
    <w:rsid w:val="27936468"/>
    <w:rsid w:val="279664C8"/>
    <w:rsid w:val="27994AC3"/>
    <w:rsid w:val="27AF5720"/>
    <w:rsid w:val="27BD1CA7"/>
    <w:rsid w:val="27BF77CD"/>
    <w:rsid w:val="27CF61A9"/>
    <w:rsid w:val="27CF6A5E"/>
    <w:rsid w:val="27EB2370"/>
    <w:rsid w:val="27EC6317"/>
    <w:rsid w:val="27EE00B2"/>
    <w:rsid w:val="28052959"/>
    <w:rsid w:val="281819C5"/>
    <w:rsid w:val="281A1A8F"/>
    <w:rsid w:val="281B759E"/>
    <w:rsid w:val="28215D92"/>
    <w:rsid w:val="28257712"/>
    <w:rsid w:val="28281C60"/>
    <w:rsid w:val="283449C1"/>
    <w:rsid w:val="28390E90"/>
    <w:rsid w:val="283A0FDE"/>
    <w:rsid w:val="283C0E1E"/>
    <w:rsid w:val="283D6944"/>
    <w:rsid w:val="285A1054"/>
    <w:rsid w:val="286339F9"/>
    <w:rsid w:val="286C4126"/>
    <w:rsid w:val="2874644A"/>
    <w:rsid w:val="287C58E9"/>
    <w:rsid w:val="287D0924"/>
    <w:rsid w:val="288527C5"/>
    <w:rsid w:val="288C7F86"/>
    <w:rsid w:val="288D3427"/>
    <w:rsid w:val="2890208B"/>
    <w:rsid w:val="289A78F2"/>
    <w:rsid w:val="289C70F6"/>
    <w:rsid w:val="28A15125"/>
    <w:rsid w:val="28AB04B3"/>
    <w:rsid w:val="28C14E1E"/>
    <w:rsid w:val="28C45994"/>
    <w:rsid w:val="28CA55AD"/>
    <w:rsid w:val="28EF7C3E"/>
    <w:rsid w:val="2900009D"/>
    <w:rsid w:val="29037B8D"/>
    <w:rsid w:val="290829B1"/>
    <w:rsid w:val="290D3474"/>
    <w:rsid w:val="290E6BD8"/>
    <w:rsid w:val="29183639"/>
    <w:rsid w:val="292053D6"/>
    <w:rsid w:val="292C49EE"/>
    <w:rsid w:val="29424212"/>
    <w:rsid w:val="294E0E09"/>
    <w:rsid w:val="29622B06"/>
    <w:rsid w:val="296248B4"/>
    <w:rsid w:val="29632B4E"/>
    <w:rsid w:val="29675F47"/>
    <w:rsid w:val="297D0151"/>
    <w:rsid w:val="298C7B83"/>
    <w:rsid w:val="299815DA"/>
    <w:rsid w:val="299865CD"/>
    <w:rsid w:val="299B16CF"/>
    <w:rsid w:val="299F78B6"/>
    <w:rsid w:val="29A97426"/>
    <w:rsid w:val="29AD3C15"/>
    <w:rsid w:val="29B839D5"/>
    <w:rsid w:val="29BB5E23"/>
    <w:rsid w:val="29C14A11"/>
    <w:rsid w:val="29EB04E7"/>
    <w:rsid w:val="29ED54BD"/>
    <w:rsid w:val="29F65FDF"/>
    <w:rsid w:val="29FC0E24"/>
    <w:rsid w:val="2A007C29"/>
    <w:rsid w:val="2A063491"/>
    <w:rsid w:val="2A094D30"/>
    <w:rsid w:val="2A1A6F3D"/>
    <w:rsid w:val="2A1B2D18"/>
    <w:rsid w:val="2A1D6044"/>
    <w:rsid w:val="2A2C16BD"/>
    <w:rsid w:val="2A34704A"/>
    <w:rsid w:val="2A3A7FB5"/>
    <w:rsid w:val="2A3D3015"/>
    <w:rsid w:val="2A3F53BA"/>
    <w:rsid w:val="2A483850"/>
    <w:rsid w:val="2A48469E"/>
    <w:rsid w:val="2A4C2C1C"/>
    <w:rsid w:val="2A4D5650"/>
    <w:rsid w:val="2A4F59D3"/>
    <w:rsid w:val="2A522943"/>
    <w:rsid w:val="2A53244F"/>
    <w:rsid w:val="2A612DBE"/>
    <w:rsid w:val="2A6837B6"/>
    <w:rsid w:val="2A68414C"/>
    <w:rsid w:val="2A6932A8"/>
    <w:rsid w:val="2A6E7289"/>
    <w:rsid w:val="2A6F7881"/>
    <w:rsid w:val="2A794017"/>
    <w:rsid w:val="2A7C7BF7"/>
    <w:rsid w:val="2A7E571E"/>
    <w:rsid w:val="2A84661B"/>
    <w:rsid w:val="2A877495"/>
    <w:rsid w:val="2A8F5EDF"/>
    <w:rsid w:val="2A90047E"/>
    <w:rsid w:val="2A907CD2"/>
    <w:rsid w:val="2A9142B5"/>
    <w:rsid w:val="2A917613"/>
    <w:rsid w:val="2AA64B5E"/>
    <w:rsid w:val="2ABA18F4"/>
    <w:rsid w:val="2AD359D3"/>
    <w:rsid w:val="2ADA6D53"/>
    <w:rsid w:val="2ADC2444"/>
    <w:rsid w:val="2AE01F34"/>
    <w:rsid w:val="2AE82B97"/>
    <w:rsid w:val="2AEA4332"/>
    <w:rsid w:val="2AEC6B2B"/>
    <w:rsid w:val="2AF23CA9"/>
    <w:rsid w:val="2AF93BB2"/>
    <w:rsid w:val="2AFD48B2"/>
    <w:rsid w:val="2AFF6798"/>
    <w:rsid w:val="2B01604F"/>
    <w:rsid w:val="2B0B15B0"/>
    <w:rsid w:val="2B0B1DFE"/>
    <w:rsid w:val="2B200583"/>
    <w:rsid w:val="2B210C34"/>
    <w:rsid w:val="2B315BD5"/>
    <w:rsid w:val="2B3B716B"/>
    <w:rsid w:val="2B4A7005"/>
    <w:rsid w:val="2B5217E3"/>
    <w:rsid w:val="2B550A59"/>
    <w:rsid w:val="2B56568B"/>
    <w:rsid w:val="2B5B780D"/>
    <w:rsid w:val="2B636201"/>
    <w:rsid w:val="2B6418B3"/>
    <w:rsid w:val="2B6761B2"/>
    <w:rsid w:val="2B726905"/>
    <w:rsid w:val="2B9716F0"/>
    <w:rsid w:val="2B973D07"/>
    <w:rsid w:val="2B9C718F"/>
    <w:rsid w:val="2BA01436"/>
    <w:rsid w:val="2BA65574"/>
    <w:rsid w:val="2BAC0068"/>
    <w:rsid w:val="2BB13384"/>
    <w:rsid w:val="2BB556D1"/>
    <w:rsid w:val="2BBB474F"/>
    <w:rsid w:val="2BD82EC4"/>
    <w:rsid w:val="2BD870AF"/>
    <w:rsid w:val="2BD9631A"/>
    <w:rsid w:val="2BDD0222"/>
    <w:rsid w:val="2BDE5840"/>
    <w:rsid w:val="2BE05F64"/>
    <w:rsid w:val="2BE710A1"/>
    <w:rsid w:val="2BF8505C"/>
    <w:rsid w:val="2BF92DD6"/>
    <w:rsid w:val="2C0115BE"/>
    <w:rsid w:val="2C085481"/>
    <w:rsid w:val="2C194D6A"/>
    <w:rsid w:val="2C1E6CF3"/>
    <w:rsid w:val="2C29790B"/>
    <w:rsid w:val="2C2B46D1"/>
    <w:rsid w:val="2C2D174E"/>
    <w:rsid w:val="2C38453E"/>
    <w:rsid w:val="2C3A0BB8"/>
    <w:rsid w:val="2C4955D7"/>
    <w:rsid w:val="2C55425C"/>
    <w:rsid w:val="2C665DD3"/>
    <w:rsid w:val="2C70332B"/>
    <w:rsid w:val="2C784116"/>
    <w:rsid w:val="2C892158"/>
    <w:rsid w:val="2C8E776E"/>
    <w:rsid w:val="2C980B22"/>
    <w:rsid w:val="2CA24A03"/>
    <w:rsid w:val="2CA845CF"/>
    <w:rsid w:val="2CAC6259"/>
    <w:rsid w:val="2CB354F1"/>
    <w:rsid w:val="2CC6515A"/>
    <w:rsid w:val="2CC709EF"/>
    <w:rsid w:val="2CDA0C05"/>
    <w:rsid w:val="2CEB350B"/>
    <w:rsid w:val="2CED4B6D"/>
    <w:rsid w:val="2CED634C"/>
    <w:rsid w:val="2CF42629"/>
    <w:rsid w:val="2CF86E3A"/>
    <w:rsid w:val="2CF972DD"/>
    <w:rsid w:val="2CFA4055"/>
    <w:rsid w:val="2D3227EF"/>
    <w:rsid w:val="2D3747EE"/>
    <w:rsid w:val="2D4A5D8B"/>
    <w:rsid w:val="2D5117AB"/>
    <w:rsid w:val="2D652BC5"/>
    <w:rsid w:val="2D6D1A79"/>
    <w:rsid w:val="2D8079FF"/>
    <w:rsid w:val="2D8E211C"/>
    <w:rsid w:val="2D956F57"/>
    <w:rsid w:val="2D993E25"/>
    <w:rsid w:val="2D9B65E7"/>
    <w:rsid w:val="2DA059AB"/>
    <w:rsid w:val="2DAF3E40"/>
    <w:rsid w:val="2DB22D8E"/>
    <w:rsid w:val="2DBC3E98"/>
    <w:rsid w:val="2DC0604D"/>
    <w:rsid w:val="2DC701AD"/>
    <w:rsid w:val="2DFB0E33"/>
    <w:rsid w:val="2DFD2D75"/>
    <w:rsid w:val="2DFF6B75"/>
    <w:rsid w:val="2E07578C"/>
    <w:rsid w:val="2E090714"/>
    <w:rsid w:val="2E2C2FB0"/>
    <w:rsid w:val="2E2E2ED2"/>
    <w:rsid w:val="2E4178D1"/>
    <w:rsid w:val="2E442C55"/>
    <w:rsid w:val="2E443245"/>
    <w:rsid w:val="2E47051C"/>
    <w:rsid w:val="2E497DF1"/>
    <w:rsid w:val="2E6D520B"/>
    <w:rsid w:val="2E856359"/>
    <w:rsid w:val="2E8564F6"/>
    <w:rsid w:val="2E905A1F"/>
    <w:rsid w:val="2EAC41C3"/>
    <w:rsid w:val="2EAE6FC9"/>
    <w:rsid w:val="2EB6045B"/>
    <w:rsid w:val="2EDD1934"/>
    <w:rsid w:val="2EE05015"/>
    <w:rsid w:val="2EEE2746"/>
    <w:rsid w:val="2F0A38B8"/>
    <w:rsid w:val="2F184319"/>
    <w:rsid w:val="2F312E6B"/>
    <w:rsid w:val="2F377000"/>
    <w:rsid w:val="2F432A92"/>
    <w:rsid w:val="2F515C4B"/>
    <w:rsid w:val="2F580E45"/>
    <w:rsid w:val="2F5927CD"/>
    <w:rsid w:val="2F670BBD"/>
    <w:rsid w:val="2F7215C9"/>
    <w:rsid w:val="2F7E20AF"/>
    <w:rsid w:val="2F7F0035"/>
    <w:rsid w:val="2F882FD7"/>
    <w:rsid w:val="2F8D1F5F"/>
    <w:rsid w:val="2F8F4AA4"/>
    <w:rsid w:val="2F8F562A"/>
    <w:rsid w:val="2F923A19"/>
    <w:rsid w:val="2F991ED6"/>
    <w:rsid w:val="2FA32DA8"/>
    <w:rsid w:val="2FAC1BB5"/>
    <w:rsid w:val="2FC8649D"/>
    <w:rsid w:val="2FCD4572"/>
    <w:rsid w:val="2FD22068"/>
    <w:rsid w:val="2FD91648"/>
    <w:rsid w:val="2FDB716E"/>
    <w:rsid w:val="2FE349AD"/>
    <w:rsid w:val="2FE57FED"/>
    <w:rsid w:val="2FE75B13"/>
    <w:rsid w:val="2FE767C6"/>
    <w:rsid w:val="2FF3573B"/>
    <w:rsid w:val="2FF6029D"/>
    <w:rsid w:val="30143CB0"/>
    <w:rsid w:val="301C10A9"/>
    <w:rsid w:val="302718CF"/>
    <w:rsid w:val="302A4FB3"/>
    <w:rsid w:val="302E16C3"/>
    <w:rsid w:val="30353042"/>
    <w:rsid w:val="30360B87"/>
    <w:rsid w:val="303624C7"/>
    <w:rsid w:val="305417E7"/>
    <w:rsid w:val="30627C28"/>
    <w:rsid w:val="30685AAC"/>
    <w:rsid w:val="306C6018"/>
    <w:rsid w:val="306D57E4"/>
    <w:rsid w:val="307607B4"/>
    <w:rsid w:val="308474F2"/>
    <w:rsid w:val="308710A4"/>
    <w:rsid w:val="309C4236"/>
    <w:rsid w:val="309D61D2"/>
    <w:rsid w:val="30A92DC8"/>
    <w:rsid w:val="30AC4667"/>
    <w:rsid w:val="30AE703C"/>
    <w:rsid w:val="30B0083B"/>
    <w:rsid w:val="30C461B8"/>
    <w:rsid w:val="30C65728"/>
    <w:rsid w:val="30C95596"/>
    <w:rsid w:val="30CE0A81"/>
    <w:rsid w:val="30D943EF"/>
    <w:rsid w:val="30E14198"/>
    <w:rsid w:val="30E3277E"/>
    <w:rsid w:val="30EE4C7F"/>
    <w:rsid w:val="30EF26D5"/>
    <w:rsid w:val="30FD4EC2"/>
    <w:rsid w:val="30FF3466"/>
    <w:rsid w:val="3108303C"/>
    <w:rsid w:val="31114B1F"/>
    <w:rsid w:val="311C6A4B"/>
    <w:rsid w:val="3122438F"/>
    <w:rsid w:val="3126266B"/>
    <w:rsid w:val="3126565E"/>
    <w:rsid w:val="312F2AEC"/>
    <w:rsid w:val="313574C5"/>
    <w:rsid w:val="313D0E2C"/>
    <w:rsid w:val="314777D0"/>
    <w:rsid w:val="314F5556"/>
    <w:rsid w:val="31501496"/>
    <w:rsid w:val="316311C9"/>
    <w:rsid w:val="31716384"/>
    <w:rsid w:val="31886E82"/>
    <w:rsid w:val="3194066E"/>
    <w:rsid w:val="319946B0"/>
    <w:rsid w:val="31A6429C"/>
    <w:rsid w:val="31AB57C6"/>
    <w:rsid w:val="31AF5761"/>
    <w:rsid w:val="31B31ED0"/>
    <w:rsid w:val="31BC506B"/>
    <w:rsid w:val="31C14142"/>
    <w:rsid w:val="31CE6146"/>
    <w:rsid w:val="31D75713"/>
    <w:rsid w:val="31E06CBE"/>
    <w:rsid w:val="31F14A27"/>
    <w:rsid w:val="31F43BEB"/>
    <w:rsid w:val="31F65538"/>
    <w:rsid w:val="31FB58A6"/>
    <w:rsid w:val="32024E86"/>
    <w:rsid w:val="320C1E10"/>
    <w:rsid w:val="320E21A2"/>
    <w:rsid w:val="321C0D31"/>
    <w:rsid w:val="321F31C4"/>
    <w:rsid w:val="3220530C"/>
    <w:rsid w:val="322809D7"/>
    <w:rsid w:val="322F554F"/>
    <w:rsid w:val="323668DE"/>
    <w:rsid w:val="32442AAE"/>
    <w:rsid w:val="32447172"/>
    <w:rsid w:val="32456B21"/>
    <w:rsid w:val="325C14FB"/>
    <w:rsid w:val="32702664"/>
    <w:rsid w:val="327B101A"/>
    <w:rsid w:val="32877139"/>
    <w:rsid w:val="32884241"/>
    <w:rsid w:val="329157E9"/>
    <w:rsid w:val="329A25C6"/>
    <w:rsid w:val="32BA196F"/>
    <w:rsid w:val="32C17F00"/>
    <w:rsid w:val="32C544A8"/>
    <w:rsid w:val="32CC6EDF"/>
    <w:rsid w:val="32D15041"/>
    <w:rsid w:val="32D16607"/>
    <w:rsid w:val="32D213E3"/>
    <w:rsid w:val="32D560F7"/>
    <w:rsid w:val="32DD4FAB"/>
    <w:rsid w:val="32DF6F75"/>
    <w:rsid w:val="32E20814"/>
    <w:rsid w:val="32E650C2"/>
    <w:rsid w:val="32EA6850"/>
    <w:rsid w:val="32F04CDF"/>
    <w:rsid w:val="32F563F8"/>
    <w:rsid w:val="33087A22"/>
    <w:rsid w:val="331F2068"/>
    <w:rsid w:val="33201200"/>
    <w:rsid w:val="332D00B2"/>
    <w:rsid w:val="33332E1D"/>
    <w:rsid w:val="333B1697"/>
    <w:rsid w:val="33412628"/>
    <w:rsid w:val="33550FE6"/>
    <w:rsid w:val="33565463"/>
    <w:rsid w:val="335D4EF3"/>
    <w:rsid w:val="33613E2E"/>
    <w:rsid w:val="336B25B7"/>
    <w:rsid w:val="3381459E"/>
    <w:rsid w:val="33837615"/>
    <w:rsid w:val="33881F1E"/>
    <w:rsid w:val="338910C0"/>
    <w:rsid w:val="338B2CD6"/>
    <w:rsid w:val="338D27C1"/>
    <w:rsid w:val="33925D96"/>
    <w:rsid w:val="33953AD8"/>
    <w:rsid w:val="33A0724C"/>
    <w:rsid w:val="33B757FC"/>
    <w:rsid w:val="33BC1065"/>
    <w:rsid w:val="33C870DC"/>
    <w:rsid w:val="33D676EE"/>
    <w:rsid w:val="33DC5263"/>
    <w:rsid w:val="33EA4C49"/>
    <w:rsid w:val="33F84A30"/>
    <w:rsid w:val="33F958D9"/>
    <w:rsid w:val="33FB2DD0"/>
    <w:rsid w:val="34001739"/>
    <w:rsid w:val="341660FE"/>
    <w:rsid w:val="341669C7"/>
    <w:rsid w:val="341744ED"/>
    <w:rsid w:val="34207846"/>
    <w:rsid w:val="342F0B51"/>
    <w:rsid w:val="343028EA"/>
    <w:rsid w:val="34313801"/>
    <w:rsid w:val="3431497B"/>
    <w:rsid w:val="343D21A6"/>
    <w:rsid w:val="343E5F1E"/>
    <w:rsid w:val="34467800"/>
    <w:rsid w:val="34580D8D"/>
    <w:rsid w:val="345B1879"/>
    <w:rsid w:val="345C0152"/>
    <w:rsid w:val="3469066C"/>
    <w:rsid w:val="347C2B30"/>
    <w:rsid w:val="347D25A2"/>
    <w:rsid w:val="3498562E"/>
    <w:rsid w:val="349B6ECC"/>
    <w:rsid w:val="34A73A14"/>
    <w:rsid w:val="34CC52D7"/>
    <w:rsid w:val="34CD6D6F"/>
    <w:rsid w:val="34CF2DFD"/>
    <w:rsid w:val="34D337C8"/>
    <w:rsid w:val="34D523DE"/>
    <w:rsid w:val="34D83C7C"/>
    <w:rsid w:val="34DA12D0"/>
    <w:rsid w:val="34DE7B33"/>
    <w:rsid w:val="34EB2FDF"/>
    <w:rsid w:val="34EE0166"/>
    <w:rsid w:val="34F14D3E"/>
    <w:rsid w:val="35040F15"/>
    <w:rsid w:val="351A24E7"/>
    <w:rsid w:val="352073D1"/>
    <w:rsid w:val="35247887"/>
    <w:rsid w:val="352F7CE5"/>
    <w:rsid w:val="35377756"/>
    <w:rsid w:val="35382C48"/>
    <w:rsid w:val="35386E26"/>
    <w:rsid w:val="353E6E55"/>
    <w:rsid w:val="354520E2"/>
    <w:rsid w:val="35487054"/>
    <w:rsid w:val="354D6747"/>
    <w:rsid w:val="354F370D"/>
    <w:rsid w:val="35572D4A"/>
    <w:rsid w:val="356836AD"/>
    <w:rsid w:val="357E2601"/>
    <w:rsid w:val="35801CE4"/>
    <w:rsid w:val="35831E3A"/>
    <w:rsid w:val="35835A81"/>
    <w:rsid w:val="35895F34"/>
    <w:rsid w:val="358F4C83"/>
    <w:rsid w:val="359221DC"/>
    <w:rsid w:val="3595760D"/>
    <w:rsid w:val="359A631A"/>
    <w:rsid w:val="35B135D3"/>
    <w:rsid w:val="35BC70FA"/>
    <w:rsid w:val="35C55773"/>
    <w:rsid w:val="35C62ECB"/>
    <w:rsid w:val="35D17FA2"/>
    <w:rsid w:val="35EB5C31"/>
    <w:rsid w:val="35F346FB"/>
    <w:rsid w:val="35F42D38"/>
    <w:rsid w:val="360E1BE5"/>
    <w:rsid w:val="3628484D"/>
    <w:rsid w:val="36286D47"/>
    <w:rsid w:val="36301896"/>
    <w:rsid w:val="363D1DF9"/>
    <w:rsid w:val="3640185F"/>
    <w:rsid w:val="364A402B"/>
    <w:rsid w:val="364F61C0"/>
    <w:rsid w:val="36535B28"/>
    <w:rsid w:val="365B3069"/>
    <w:rsid w:val="36637EBD"/>
    <w:rsid w:val="366C6D72"/>
    <w:rsid w:val="36722213"/>
    <w:rsid w:val="36742176"/>
    <w:rsid w:val="367479D5"/>
    <w:rsid w:val="367F1230"/>
    <w:rsid w:val="36874512"/>
    <w:rsid w:val="36893BC8"/>
    <w:rsid w:val="36925D95"/>
    <w:rsid w:val="36940077"/>
    <w:rsid w:val="369C4B87"/>
    <w:rsid w:val="36A75FFC"/>
    <w:rsid w:val="36AB7344"/>
    <w:rsid w:val="36AD4076"/>
    <w:rsid w:val="36B26547"/>
    <w:rsid w:val="36B87A7C"/>
    <w:rsid w:val="36C22E36"/>
    <w:rsid w:val="36C5256F"/>
    <w:rsid w:val="36CF10AF"/>
    <w:rsid w:val="36DB50D7"/>
    <w:rsid w:val="36DD1A1E"/>
    <w:rsid w:val="36FF74E8"/>
    <w:rsid w:val="370012D9"/>
    <w:rsid w:val="37092891"/>
    <w:rsid w:val="370B658B"/>
    <w:rsid w:val="3712138C"/>
    <w:rsid w:val="37184804"/>
    <w:rsid w:val="371E6A7A"/>
    <w:rsid w:val="372525CC"/>
    <w:rsid w:val="373A5652"/>
    <w:rsid w:val="373C4F11"/>
    <w:rsid w:val="373E7CEC"/>
    <w:rsid w:val="373F11BD"/>
    <w:rsid w:val="3740617A"/>
    <w:rsid w:val="37544A83"/>
    <w:rsid w:val="375D66BB"/>
    <w:rsid w:val="37627EDB"/>
    <w:rsid w:val="37634BC2"/>
    <w:rsid w:val="37682E1D"/>
    <w:rsid w:val="37695AFD"/>
    <w:rsid w:val="376E480C"/>
    <w:rsid w:val="37713EA3"/>
    <w:rsid w:val="377F3C4E"/>
    <w:rsid w:val="3780503F"/>
    <w:rsid w:val="378C70B1"/>
    <w:rsid w:val="37A95DA4"/>
    <w:rsid w:val="37AA1269"/>
    <w:rsid w:val="37B303AE"/>
    <w:rsid w:val="37BE35FD"/>
    <w:rsid w:val="37C04A72"/>
    <w:rsid w:val="37CB5635"/>
    <w:rsid w:val="37D56B99"/>
    <w:rsid w:val="37EC5AE4"/>
    <w:rsid w:val="37F85756"/>
    <w:rsid w:val="37FC4126"/>
    <w:rsid w:val="38095A54"/>
    <w:rsid w:val="380A05F1"/>
    <w:rsid w:val="38120EBF"/>
    <w:rsid w:val="38247BA7"/>
    <w:rsid w:val="38247FAD"/>
    <w:rsid w:val="3825367C"/>
    <w:rsid w:val="38265CBE"/>
    <w:rsid w:val="38305B7D"/>
    <w:rsid w:val="383374A8"/>
    <w:rsid w:val="38353194"/>
    <w:rsid w:val="38415FDC"/>
    <w:rsid w:val="38431D54"/>
    <w:rsid w:val="384855BD"/>
    <w:rsid w:val="384C3B76"/>
    <w:rsid w:val="385A5FA5"/>
    <w:rsid w:val="385B6B70"/>
    <w:rsid w:val="38603181"/>
    <w:rsid w:val="387C71F4"/>
    <w:rsid w:val="387E0FDF"/>
    <w:rsid w:val="3880323F"/>
    <w:rsid w:val="38830F07"/>
    <w:rsid w:val="38875CFE"/>
    <w:rsid w:val="388E63BD"/>
    <w:rsid w:val="38993922"/>
    <w:rsid w:val="38B36B13"/>
    <w:rsid w:val="38BB5D8F"/>
    <w:rsid w:val="38BF587F"/>
    <w:rsid w:val="38D67EEA"/>
    <w:rsid w:val="38DE4BEF"/>
    <w:rsid w:val="38E14B5F"/>
    <w:rsid w:val="38EF1C6C"/>
    <w:rsid w:val="38F130F1"/>
    <w:rsid w:val="38F1355F"/>
    <w:rsid w:val="38F44DFD"/>
    <w:rsid w:val="38F65019"/>
    <w:rsid w:val="39014A36"/>
    <w:rsid w:val="39087BF6"/>
    <w:rsid w:val="39097D35"/>
    <w:rsid w:val="390E122A"/>
    <w:rsid w:val="39113C01"/>
    <w:rsid w:val="391144A0"/>
    <w:rsid w:val="391B682D"/>
    <w:rsid w:val="391D4354"/>
    <w:rsid w:val="391D64B8"/>
    <w:rsid w:val="39237490"/>
    <w:rsid w:val="393C6ED0"/>
    <w:rsid w:val="393D0552"/>
    <w:rsid w:val="39400042"/>
    <w:rsid w:val="39400473"/>
    <w:rsid w:val="3958384B"/>
    <w:rsid w:val="3971644D"/>
    <w:rsid w:val="397233AF"/>
    <w:rsid w:val="39784804"/>
    <w:rsid w:val="397877DC"/>
    <w:rsid w:val="3991089E"/>
    <w:rsid w:val="39A95BE7"/>
    <w:rsid w:val="39C62C3D"/>
    <w:rsid w:val="39C72511"/>
    <w:rsid w:val="39C86D8D"/>
    <w:rsid w:val="39CD7B28"/>
    <w:rsid w:val="39D66D1F"/>
    <w:rsid w:val="39D67EF6"/>
    <w:rsid w:val="39DB72F7"/>
    <w:rsid w:val="39DD32FD"/>
    <w:rsid w:val="39DF785B"/>
    <w:rsid w:val="39E41315"/>
    <w:rsid w:val="39F2758E"/>
    <w:rsid w:val="39F74BA5"/>
    <w:rsid w:val="3A092985"/>
    <w:rsid w:val="3A0B547E"/>
    <w:rsid w:val="3A143AA5"/>
    <w:rsid w:val="3A2E433E"/>
    <w:rsid w:val="3A2F07E2"/>
    <w:rsid w:val="3A301503"/>
    <w:rsid w:val="3A3B70D2"/>
    <w:rsid w:val="3A3C2EFF"/>
    <w:rsid w:val="3A3F0F80"/>
    <w:rsid w:val="3A47385E"/>
    <w:rsid w:val="3A5804C9"/>
    <w:rsid w:val="3A5A4476"/>
    <w:rsid w:val="3A775734"/>
    <w:rsid w:val="3A791A5E"/>
    <w:rsid w:val="3A7E0E22"/>
    <w:rsid w:val="3A865F28"/>
    <w:rsid w:val="3A940645"/>
    <w:rsid w:val="3A9E3B62"/>
    <w:rsid w:val="3AA82993"/>
    <w:rsid w:val="3AAC1E33"/>
    <w:rsid w:val="3AD41A9E"/>
    <w:rsid w:val="3AD46C94"/>
    <w:rsid w:val="3ADA01BD"/>
    <w:rsid w:val="3ADE0756"/>
    <w:rsid w:val="3AE113B1"/>
    <w:rsid w:val="3AE25855"/>
    <w:rsid w:val="3AF15A98"/>
    <w:rsid w:val="3B0A3D4A"/>
    <w:rsid w:val="3B0E664A"/>
    <w:rsid w:val="3B1537A5"/>
    <w:rsid w:val="3B18256F"/>
    <w:rsid w:val="3B18385A"/>
    <w:rsid w:val="3B22091F"/>
    <w:rsid w:val="3B2A04DD"/>
    <w:rsid w:val="3B2C2C32"/>
    <w:rsid w:val="3B4C2CCE"/>
    <w:rsid w:val="3B4D6458"/>
    <w:rsid w:val="3B53405D"/>
    <w:rsid w:val="3B547DBF"/>
    <w:rsid w:val="3B5A0915"/>
    <w:rsid w:val="3B5F6907"/>
    <w:rsid w:val="3B6E533A"/>
    <w:rsid w:val="3B7566C9"/>
    <w:rsid w:val="3B8B7C9A"/>
    <w:rsid w:val="3B984165"/>
    <w:rsid w:val="3B9A7EDD"/>
    <w:rsid w:val="3BAB0586"/>
    <w:rsid w:val="3BAE6155"/>
    <w:rsid w:val="3BB0360B"/>
    <w:rsid w:val="3BB15E9D"/>
    <w:rsid w:val="3BB54809"/>
    <w:rsid w:val="3BB85A17"/>
    <w:rsid w:val="3BC24DAF"/>
    <w:rsid w:val="3BCB417C"/>
    <w:rsid w:val="3BCD02B3"/>
    <w:rsid w:val="3BE929A7"/>
    <w:rsid w:val="3BEA654D"/>
    <w:rsid w:val="3C1B42FC"/>
    <w:rsid w:val="3C1E0B0E"/>
    <w:rsid w:val="3C206835"/>
    <w:rsid w:val="3C22571C"/>
    <w:rsid w:val="3C2A7569"/>
    <w:rsid w:val="3C3245BA"/>
    <w:rsid w:val="3C334F54"/>
    <w:rsid w:val="3C37397E"/>
    <w:rsid w:val="3C4C7537"/>
    <w:rsid w:val="3C575DCE"/>
    <w:rsid w:val="3C582203"/>
    <w:rsid w:val="3C616AB6"/>
    <w:rsid w:val="3C6D1363"/>
    <w:rsid w:val="3C79315E"/>
    <w:rsid w:val="3C851629"/>
    <w:rsid w:val="3C9C2837"/>
    <w:rsid w:val="3CA11A3D"/>
    <w:rsid w:val="3CA32DC2"/>
    <w:rsid w:val="3CA563A4"/>
    <w:rsid w:val="3CB5675E"/>
    <w:rsid w:val="3CB74ABF"/>
    <w:rsid w:val="3CBC7388"/>
    <w:rsid w:val="3CBE19AA"/>
    <w:rsid w:val="3CBF5190"/>
    <w:rsid w:val="3CC01BC6"/>
    <w:rsid w:val="3CC316B6"/>
    <w:rsid w:val="3CD64F45"/>
    <w:rsid w:val="3CD71A69"/>
    <w:rsid w:val="3CDC4526"/>
    <w:rsid w:val="3CE37662"/>
    <w:rsid w:val="3CE61A50"/>
    <w:rsid w:val="3CEA3F3E"/>
    <w:rsid w:val="3D08641D"/>
    <w:rsid w:val="3D172AEB"/>
    <w:rsid w:val="3D255ECD"/>
    <w:rsid w:val="3D3879AE"/>
    <w:rsid w:val="3D5166D3"/>
    <w:rsid w:val="3D580F1D"/>
    <w:rsid w:val="3D5F6A55"/>
    <w:rsid w:val="3D6F5F88"/>
    <w:rsid w:val="3D780066"/>
    <w:rsid w:val="3D7824A0"/>
    <w:rsid w:val="3D7D6EF6"/>
    <w:rsid w:val="3D8A0262"/>
    <w:rsid w:val="3D91318F"/>
    <w:rsid w:val="3DB94E50"/>
    <w:rsid w:val="3DBF0E97"/>
    <w:rsid w:val="3DC83DA0"/>
    <w:rsid w:val="3DC85675"/>
    <w:rsid w:val="3DC85D0F"/>
    <w:rsid w:val="3DC94AAA"/>
    <w:rsid w:val="3DD1570D"/>
    <w:rsid w:val="3DD404FA"/>
    <w:rsid w:val="3DDB7839"/>
    <w:rsid w:val="3DE52790"/>
    <w:rsid w:val="3DEB3BCE"/>
    <w:rsid w:val="3DEE2C4A"/>
    <w:rsid w:val="3E181552"/>
    <w:rsid w:val="3E1C0F2E"/>
    <w:rsid w:val="3E20241F"/>
    <w:rsid w:val="3E233AAA"/>
    <w:rsid w:val="3E3E7246"/>
    <w:rsid w:val="3E42660A"/>
    <w:rsid w:val="3E4800C5"/>
    <w:rsid w:val="3E534551"/>
    <w:rsid w:val="3E6958B1"/>
    <w:rsid w:val="3E6C364B"/>
    <w:rsid w:val="3E6D18AC"/>
    <w:rsid w:val="3E786CB1"/>
    <w:rsid w:val="3E7A3FF6"/>
    <w:rsid w:val="3E7C1B1C"/>
    <w:rsid w:val="3E7D5269"/>
    <w:rsid w:val="3E7E7642"/>
    <w:rsid w:val="3E917E2C"/>
    <w:rsid w:val="3E921D13"/>
    <w:rsid w:val="3E92504C"/>
    <w:rsid w:val="3E966403"/>
    <w:rsid w:val="3E9C21BE"/>
    <w:rsid w:val="3EA246B5"/>
    <w:rsid w:val="3EA33170"/>
    <w:rsid w:val="3EAB5809"/>
    <w:rsid w:val="3EAD1CD6"/>
    <w:rsid w:val="3EB2704D"/>
    <w:rsid w:val="3EB56DDC"/>
    <w:rsid w:val="3EB83194"/>
    <w:rsid w:val="3EBA2645"/>
    <w:rsid w:val="3EC5120C"/>
    <w:rsid w:val="3EE17BD1"/>
    <w:rsid w:val="3EE17D4B"/>
    <w:rsid w:val="3EE76488"/>
    <w:rsid w:val="3EE8691C"/>
    <w:rsid w:val="3EF17E73"/>
    <w:rsid w:val="3F0264C5"/>
    <w:rsid w:val="3F0A35CC"/>
    <w:rsid w:val="3F133B26"/>
    <w:rsid w:val="3F166340"/>
    <w:rsid w:val="3F253F62"/>
    <w:rsid w:val="3F261A88"/>
    <w:rsid w:val="3F2650C3"/>
    <w:rsid w:val="3F291E68"/>
    <w:rsid w:val="3F43516C"/>
    <w:rsid w:val="3F47037C"/>
    <w:rsid w:val="3F47265F"/>
    <w:rsid w:val="3F5102FF"/>
    <w:rsid w:val="3F51245C"/>
    <w:rsid w:val="3F5C36FF"/>
    <w:rsid w:val="3F6521AC"/>
    <w:rsid w:val="3F7722E4"/>
    <w:rsid w:val="3F8D28FF"/>
    <w:rsid w:val="3F8E771A"/>
    <w:rsid w:val="3F8E77B3"/>
    <w:rsid w:val="3F917B9C"/>
    <w:rsid w:val="3F9604DB"/>
    <w:rsid w:val="3FA0183A"/>
    <w:rsid w:val="3FA116A3"/>
    <w:rsid w:val="3FBF7B2D"/>
    <w:rsid w:val="3FC264B7"/>
    <w:rsid w:val="3FC90D91"/>
    <w:rsid w:val="3FCE0156"/>
    <w:rsid w:val="3FD85478"/>
    <w:rsid w:val="3FE14133"/>
    <w:rsid w:val="3FEE29C5"/>
    <w:rsid w:val="3FEF7129"/>
    <w:rsid w:val="3FF042F3"/>
    <w:rsid w:val="3FF17C77"/>
    <w:rsid w:val="3FF37BBC"/>
    <w:rsid w:val="3FF451AE"/>
    <w:rsid w:val="3FF7417D"/>
    <w:rsid w:val="40036C4A"/>
    <w:rsid w:val="40061FE5"/>
    <w:rsid w:val="400C525D"/>
    <w:rsid w:val="400E0215"/>
    <w:rsid w:val="401F4E7E"/>
    <w:rsid w:val="40273D0A"/>
    <w:rsid w:val="402806DD"/>
    <w:rsid w:val="4031272D"/>
    <w:rsid w:val="403643FD"/>
    <w:rsid w:val="403D352D"/>
    <w:rsid w:val="4042670C"/>
    <w:rsid w:val="40474614"/>
    <w:rsid w:val="404D4246"/>
    <w:rsid w:val="40535A2F"/>
    <w:rsid w:val="40572841"/>
    <w:rsid w:val="40664832"/>
    <w:rsid w:val="40765938"/>
    <w:rsid w:val="408A65EA"/>
    <w:rsid w:val="408D49A5"/>
    <w:rsid w:val="408F7878"/>
    <w:rsid w:val="409475F1"/>
    <w:rsid w:val="40AB66E9"/>
    <w:rsid w:val="40B9250A"/>
    <w:rsid w:val="40BB2863"/>
    <w:rsid w:val="40CE4185"/>
    <w:rsid w:val="40CF0885"/>
    <w:rsid w:val="40D1569D"/>
    <w:rsid w:val="40D15A80"/>
    <w:rsid w:val="40D55514"/>
    <w:rsid w:val="40DE6ABE"/>
    <w:rsid w:val="40E14501"/>
    <w:rsid w:val="40E57E4D"/>
    <w:rsid w:val="40E8619F"/>
    <w:rsid w:val="40FA4F7A"/>
    <w:rsid w:val="4101043C"/>
    <w:rsid w:val="410508F7"/>
    <w:rsid w:val="41066D1A"/>
    <w:rsid w:val="41076FBE"/>
    <w:rsid w:val="410A5550"/>
    <w:rsid w:val="410F4430"/>
    <w:rsid w:val="41175B2C"/>
    <w:rsid w:val="411A31C6"/>
    <w:rsid w:val="412177B0"/>
    <w:rsid w:val="412C6017"/>
    <w:rsid w:val="412E16B7"/>
    <w:rsid w:val="413721A5"/>
    <w:rsid w:val="41566655"/>
    <w:rsid w:val="415C79E3"/>
    <w:rsid w:val="41615803"/>
    <w:rsid w:val="41666FAB"/>
    <w:rsid w:val="4176014F"/>
    <w:rsid w:val="41886A2A"/>
    <w:rsid w:val="418E2B88"/>
    <w:rsid w:val="419158DF"/>
    <w:rsid w:val="419453CF"/>
    <w:rsid w:val="41952850"/>
    <w:rsid w:val="41AA4248"/>
    <w:rsid w:val="41AC096A"/>
    <w:rsid w:val="41B87FE4"/>
    <w:rsid w:val="41BD2381"/>
    <w:rsid w:val="41BD2B78"/>
    <w:rsid w:val="41BD433E"/>
    <w:rsid w:val="41C9151C"/>
    <w:rsid w:val="41CC5F24"/>
    <w:rsid w:val="41EC6F80"/>
    <w:rsid w:val="41FF4281"/>
    <w:rsid w:val="420049FD"/>
    <w:rsid w:val="4216406B"/>
    <w:rsid w:val="4226534A"/>
    <w:rsid w:val="422E5C4B"/>
    <w:rsid w:val="42301C05"/>
    <w:rsid w:val="424B3CDF"/>
    <w:rsid w:val="424C7A58"/>
    <w:rsid w:val="42515CDB"/>
    <w:rsid w:val="425223BF"/>
    <w:rsid w:val="42534A61"/>
    <w:rsid w:val="4266340F"/>
    <w:rsid w:val="42675081"/>
    <w:rsid w:val="42703746"/>
    <w:rsid w:val="42733236"/>
    <w:rsid w:val="42764AD5"/>
    <w:rsid w:val="42790547"/>
    <w:rsid w:val="42811916"/>
    <w:rsid w:val="42865A08"/>
    <w:rsid w:val="429D7409"/>
    <w:rsid w:val="429F5DD9"/>
    <w:rsid w:val="429F69BC"/>
    <w:rsid w:val="42A23F2C"/>
    <w:rsid w:val="42B70B88"/>
    <w:rsid w:val="42BC171A"/>
    <w:rsid w:val="42BC7F98"/>
    <w:rsid w:val="42C65A5C"/>
    <w:rsid w:val="42D261AF"/>
    <w:rsid w:val="42E3660E"/>
    <w:rsid w:val="42F3201E"/>
    <w:rsid w:val="42FA5706"/>
    <w:rsid w:val="43115ADC"/>
    <w:rsid w:val="431247FD"/>
    <w:rsid w:val="431B31A5"/>
    <w:rsid w:val="431E31A2"/>
    <w:rsid w:val="432C0EC1"/>
    <w:rsid w:val="43301127"/>
    <w:rsid w:val="43364170"/>
    <w:rsid w:val="434A5AE8"/>
    <w:rsid w:val="434D3A87"/>
    <w:rsid w:val="434F7100"/>
    <w:rsid w:val="435A6987"/>
    <w:rsid w:val="43622373"/>
    <w:rsid w:val="43721E6D"/>
    <w:rsid w:val="437917E5"/>
    <w:rsid w:val="4379289D"/>
    <w:rsid w:val="438C112A"/>
    <w:rsid w:val="438D684C"/>
    <w:rsid w:val="438E53B5"/>
    <w:rsid w:val="43A63197"/>
    <w:rsid w:val="43AF64F0"/>
    <w:rsid w:val="43AF7095"/>
    <w:rsid w:val="43BD1EA6"/>
    <w:rsid w:val="43C1694B"/>
    <w:rsid w:val="43E86EE3"/>
    <w:rsid w:val="43E91A02"/>
    <w:rsid w:val="43FC1F75"/>
    <w:rsid w:val="440A42B2"/>
    <w:rsid w:val="440E76BA"/>
    <w:rsid w:val="44134CD1"/>
    <w:rsid w:val="441A2924"/>
    <w:rsid w:val="442E1B0B"/>
    <w:rsid w:val="44330ECF"/>
    <w:rsid w:val="44355499"/>
    <w:rsid w:val="444D6718"/>
    <w:rsid w:val="44703ED1"/>
    <w:rsid w:val="447310FD"/>
    <w:rsid w:val="4473751E"/>
    <w:rsid w:val="44756B4B"/>
    <w:rsid w:val="44890AEF"/>
    <w:rsid w:val="44AF7B1E"/>
    <w:rsid w:val="44B177CA"/>
    <w:rsid w:val="44B51C81"/>
    <w:rsid w:val="44C015E8"/>
    <w:rsid w:val="44CC27ED"/>
    <w:rsid w:val="44CE5F3D"/>
    <w:rsid w:val="44E1251B"/>
    <w:rsid w:val="44EB656F"/>
    <w:rsid w:val="44EF330A"/>
    <w:rsid w:val="44F6162D"/>
    <w:rsid w:val="44FC7513"/>
    <w:rsid w:val="44FD45B6"/>
    <w:rsid w:val="45050ABD"/>
    <w:rsid w:val="450B3BFA"/>
    <w:rsid w:val="452F78E8"/>
    <w:rsid w:val="4530540F"/>
    <w:rsid w:val="45335E44"/>
    <w:rsid w:val="453C0156"/>
    <w:rsid w:val="454015E7"/>
    <w:rsid w:val="455969D9"/>
    <w:rsid w:val="455A248C"/>
    <w:rsid w:val="4565330A"/>
    <w:rsid w:val="456F4189"/>
    <w:rsid w:val="457C6081"/>
    <w:rsid w:val="45814748"/>
    <w:rsid w:val="45822604"/>
    <w:rsid w:val="45830CC0"/>
    <w:rsid w:val="45832C63"/>
    <w:rsid w:val="458614D2"/>
    <w:rsid w:val="45862A9C"/>
    <w:rsid w:val="45892025"/>
    <w:rsid w:val="459F5E6C"/>
    <w:rsid w:val="45A75B60"/>
    <w:rsid w:val="45A80778"/>
    <w:rsid w:val="45AC1F87"/>
    <w:rsid w:val="45AF7678"/>
    <w:rsid w:val="45BF510C"/>
    <w:rsid w:val="45CC3389"/>
    <w:rsid w:val="45D3296A"/>
    <w:rsid w:val="45D43FEC"/>
    <w:rsid w:val="45FD79E7"/>
    <w:rsid w:val="4611294B"/>
    <w:rsid w:val="463328DA"/>
    <w:rsid w:val="46335BCC"/>
    <w:rsid w:val="46337694"/>
    <w:rsid w:val="465170A1"/>
    <w:rsid w:val="46634323"/>
    <w:rsid w:val="466B0405"/>
    <w:rsid w:val="466C0992"/>
    <w:rsid w:val="46737A24"/>
    <w:rsid w:val="4674692D"/>
    <w:rsid w:val="4679670D"/>
    <w:rsid w:val="468772B0"/>
    <w:rsid w:val="469376C7"/>
    <w:rsid w:val="46957C1F"/>
    <w:rsid w:val="46A00636"/>
    <w:rsid w:val="46AE6F33"/>
    <w:rsid w:val="46AF05B5"/>
    <w:rsid w:val="46AF5C79"/>
    <w:rsid w:val="46B02FF1"/>
    <w:rsid w:val="46C422B2"/>
    <w:rsid w:val="46C91677"/>
    <w:rsid w:val="46D60477"/>
    <w:rsid w:val="46EA57C1"/>
    <w:rsid w:val="46F81F5C"/>
    <w:rsid w:val="47084895"/>
    <w:rsid w:val="4712301E"/>
    <w:rsid w:val="471D436B"/>
    <w:rsid w:val="471F09A9"/>
    <w:rsid w:val="4728503E"/>
    <w:rsid w:val="472C440A"/>
    <w:rsid w:val="47307948"/>
    <w:rsid w:val="474A2A13"/>
    <w:rsid w:val="474C3843"/>
    <w:rsid w:val="47632CF5"/>
    <w:rsid w:val="477F62D2"/>
    <w:rsid w:val="47824B20"/>
    <w:rsid w:val="47851298"/>
    <w:rsid w:val="47857C94"/>
    <w:rsid w:val="478E3108"/>
    <w:rsid w:val="479C002E"/>
    <w:rsid w:val="47A51493"/>
    <w:rsid w:val="47AC38E6"/>
    <w:rsid w:val="47BD408C"/>
    <w:rsid w:val="47C825F1"/>
    <w:rsid w:val="47C85DD2"/>
    <w:rsid w:val="47CA03F9"/>
    <w:rsid w:val="47DC523D"/>
    <w:rsid w:val="47DF26AB"/>
    <w:rsid w:val="47EC069D"/>
    <w:rsid w:val="47EF0844"/>
    <w:rsid w:val="47F170D7"/>
    <w:rsid w:val="47F30652"/>
    <w:rsid w:val="47FC7967"/>
    <w:rsid w:val="480037BE"/>
    <w:rsid w:val="480212E4"/>
    <w:rsid w:val="480F57AF"/>
    <w:rsid w:val="481E78A8"/>
    <w:rsid w:val="482058DA"/>
    <w:rsid w:val="483A5072"/>
    <w:rsid w:val="483F2328"/>
    <w:rsid w:val="483F6936"/>
    <w:rsid w:val="4840749F"/>
    <w:rsid w:val="48492B7D"/>
    <w:rsid w:val="484D6ADB"/>
    <w:rsid w:val="485C1904"/>
    <w:rsid w:val="48706769"/>
    <w:rsid w:val="487458C6"/>
    <w:rsid w:val="48802209"/>
    <w:rsid w:val="4887490F"/>
    <w:rsid w:val="48B159C0"/>
    <w:rsid w:val="48B56357"/>
    <w:rsid w:val="48B620CF"/>
    <w:rsid w:val="48C017E8"/>
    <w:rsid w:val="48C408CA"/>
    <w:rsid w:val="48C90054"/>
    <w:rsid w:val="48CC4125"/>
    <w:rsid w:val="48CE2A7A"/>
    <w:rsid w:val="48CF6AFE"/>
    <w:rsid w:val="48D83DF3"/>
    <w:rsid w:val="48F549A5"/>
    <w:rsid w:val="48F6071D"/>
    <w:rsid w:val="48FA29DD"/>
    <w:rsid w:val="48FB3B20"/>
    <w:rsid w:val="49155047"/>
    <w:rsid w:val="491D3EFC"/>
    <w:rsid w:val="49290AF3"/>
    <w:rsid w:val="492C659E"/>
    <w:rsid w:val="49301E81"/>
    <w:rsid w:val="49303C2F"/>
    <w:rsid w:val="49321E13"/>
    <w:rsid w:val="494476DB"/>
    <w:rsid w:val="494B1224"/>
    <w:rsid w:val="49635DB3"/>
    <w:rsid w:val="49663AF5"/>
    <w:rsid w:val="496843EF"/>
    <w:rsid w:val="496B110B"/>
    <w:rsid w:val="497765CD"/>
    <w:rsid w:val="49923D7D"/>
    <w:rsid w:val="49995B63"/>
    <w:rsid w:val="49AC08FA"/>
    <w:rsid w:val="49B20AE8"/>
    <w:rsid w:val="49B4660E"/>
    <w:rsid w:val="49BC05CA"/>
    <w:rsid w:val="49BC54C3"/>
    <w:rsid w:val="49BE7001"/>
    <w:rsid w:val="49BF4FB3"/>
    <w:rsid w:val="49D15412"/>
    <w:rsid w:val="49D46CB0"/>
    <w:rsid w:val="49D514D5"/>
    <w:rsid w:val="49D70C34"/>
    <w:rsid w:val="49EC3FFA"/>
    <w:rsid w:val="49EC6687"/>
    <w:rsid w:val="49EE1653"/>
    <w:rsid w:val="4A0112B4"/>
    <w:rsid w:val="4A101B9A"/>
    <w:rsid w:val="4A1E7F2C"/>
    <w:rsid w:val="4A2319E6"/>
    <w:rsid w:val="4A301A0D"/>
    <w:rsid w:val="4A361719"/>
    <w:rsid w:val="4A3B6AD5"/>
    <w:rsid w:val="4A4509AC"/>
    <w:rsid w:val="4A4A3F68"/>
    <w:rsid w:val="4A517154"/>
    <w:rsid w:val="4A5971B6"/>
    <w:rsid w:val="4A5F68A6"/>
    <w:rsid w:val="4A612B74"/>
    <w:rsid w:val="4A66205D"/>
    <w:rsid w:val="4A673681"/>
    <w:rsid w:val="4A711CB0"/>
    <w:rsid w:val="4A7A1BBD"/>
    <w:rsid w:val="4A8A69B1"/>
    <w:rsid w:val="4A8A6A9B"/>
    <w:rsid w:val="4A8D592C"/>
    <w:rsid w:val="4A956E98"/>
    <w:rsid w:val="4A9D6625"/>
    <w:rsid w:val="4AB03279"/>
    <w:rsid w:val="4ACA3BDA"/>
    <w:rsid w:val="4AD114B8"/>
    <w:rsid w:val="4AD25D50"/>
    <w:rsid w:val="4AD335DB"/>
    <w:rsid w:val="4AF33E45"/>
    <w:rsid w:val="4B1574A1"/>
    <w:rsid w:val="4B1853B9"/>
    <w:rsid w:val="4B1A5E7A"/>
    <w:rsid w:val="4B1E5CBA"/>
    <w:rsid w:val="4B2143DB"/>
    <w:rsid w:val="4B226A7C"/>
    <w:rsid w:val="4B2370B4"/>
    <w:rsid w:val="4B2C0426"/>
    <w:rsid w:val="4B2C4F5E"/>
    <w:rsid w:val="4B320132"/>
    <w:rsid w:val="4B3317B5"/>
    <w:rsid w:val="4B377B13"/>
    <w:rsid w:val="4B3918B0"/>
    <w:rsid w:val="4B3C4B0D"/>
    <w:rsid w:val="4B400C66"/>
    <w:rsid w:val="4B626538"/>
    <w:rsid w:val="4B667DDC"/>
    <w:rsid w:val="4B7A6536"/>
    <w:rsid w:val="4B8464B4"/>
    <w:rsid w:val="4B883C06"/>
    <w:rsid w:val="4B8B7843"/>
    <w:rsid w:val="4B8D7117"/>
    <w:rsid w:val="4B9961B1"/>
    <w:rsid w:val="4BB02E05"/>
    <w:rsid w:val="4BB21F5A"/>
    <w:rsid w:val="4BB53FAA"/>
    <w:rsid w:val="4BB616C4"/>
    <w:rsid w:val="4BB95FA3"/>
    <w:rsid w:val="4BBE0959"/>
    <w:rsid w:val="4BDD2E2A"/>
    <w:rsid w:val="4BE249F0"/>
    <w:rsid w:val="4BF638DF"/>
    <w:rsid w:val="4C061002"/>
    <w:rsid w:val="4C1930A0"/>
    <w:rsid w:val="4C1D4515"/>
    <w:rsid w:val="4C20442F"/>
    <w:rsid w:val="4C251AA6"/>
    <w:rsid w:val="4C255107"/>
    <w:rsid w:val="4C3C0B3D"/>
    <w:rsid w:val="4C3C5B7B"/>
    <w:rsid w:val="4C4F6AC2"/>
    <w:rsid w:val="4C6865E1"/>
    <w:rsid w:val="4C6C62A1"/>
    <w:rsid w:val="4C7B631F"/>
    <w:rsid w:val="4C813468"/>
    <w:rsid w:val="4C8D53C9"/>
    <w:rsid w:val="4C982217"/>
    <w:rsid w:val="4C983C67"/>
    <w:rsid w:val="4C9B1D07"/>
    <w:rsid w:val="4C9D782D"/>
    <w:rsid w:val="4CA010CC"/>
    <w:rsid w:val="4CA01CB1"/>
    <w:rsid w:val="4CA23096"/>
    <w:rsid w:val="4CA46E0E"/>
    <w:rsid w:val="4CA87F80"/>
    <w:rsid w:val="4CA93B23"/>
    <w:rsid w:val="4CAE6039"/>
    <w:rsid w:val="4CB64C6B"/>
    <w:rsid w:val="4CDA138C"/>
    <w:rsid w:val="4CDD7C2A"/>
    <w:rsid w:val="4CDF1BF4"/>
    <w:rsid w:val="4CE511D4"/>
    <w:rsid w:val="4CF17B79"/>
    <w:rsid w:val="4CFC3BFF"/>
    <w:rsid w:val="4D012D7D"/>
    <w:rsid w:val="4D054157"/>
    <w:rsid w:val="4D0933F1"/>
    <w:rsid w:val="4D0C3145"/>
    <w:rsid w:val="4D146B77"/>
    <w:rsid w:val="4D2A0D04"/>
    <w:rsid w:val="4D3E2ED9"/>
    <w:rsid w:val="4D4F127C"/>
    <w:rsid w:val="4D557778"/>
    <w:rsid w:val="4D5F2D35"/>
    <w:rsid w:val="4D620E65"/>
    <w:rsid w:val="4D73277F"/>
    <w:rsid w:val="4D782049"/>
    <w:rsid w:val="4D803983"/>
    <w:rsid w:val="4DA81945"/>
    <w:rsid w:val="4DB7677B"/>
    <w:rsid w:val="4DC17F8E"/>
    <w:rsid w:val="4DCE4ED7"/>
    <w:rsid w:val="4DD60E8B"/>
    <w:rsid w:val="4DD967E3"/>
    <w:rsid w:val="4DE05EF8"/>
    <w:rsid w:val="4DE16C71"/>
    <w:rsid w:val="4DE5525D"/>
    <w:rsid w:val="4DF25957"/>
    <w:rsid w:val="4DF925E2"/>
    <w:rsid w:val="4E016AC3"/>
    <w:rsid w:val="4E045284"/>
    <w:rsid w:val="4E061402"/>
    <w:rsid w:val="4E152943"/>
    <w:rsid w:val="4E191136"/>
    <w:rsid w:val="4E1A4F9F"/>
    <w:rsid w:val="4E212E81"/>
    <w:rsid w:val="4E21623C"/>
    <w:rsid w:val="4E27673C"/>
    <w:rsid w:val="4E3E6DEE"/>
    <w:rsid w:val="4E4D1AB2"/>
    <w:rsid w:val="4E512D12"/>
    <w:rsid w:val="4E52579B"/>
    <w:rsid w:val="4E577997"/>
    <w:rsid w:val="4E6B74B7"/>
    <w:rsid w:val="4E8F764A"/>
    <w:rsid w:val="4E962786"/>
    <w:rsid w:val="4E962ADA"/>
    <w:rsid w:val="4EBA5508"/>
    <w:rsid w:val="4EBC5BDE"/>
    <w:rsid w:val="4EC621ED"/>
    <w:rsid w:val="4EDF5575"/>
    <w:rsid w:val="4EE01C53"/>
    <w:rsid w:val="4EFB24B9"/>
    <w:rsid w:val="4F080F46"/>
    <w:rsid w:val="4F0973FC"/>
    <w:rsid w:val="4F0E0450"/>
    <w:rsid w:val="4F104B4C"/>
    <w:rsid w:val="4F14382B"/>
    <w:rsid w:val="4F29184C"/>
    <w:rsid w:val="4F440434"/>
    <w:rsid w:val="4F4C26AB"/>
    <w:rsid w:val="4F5771D5"/>
    <w:rsid w:val="4F6D23AA"/>
    <w:rsid w:val="4F716D4F"/>
    <w:rsid w:val="4F754A92"/>
    <w:rsid w:val="4F8909E7"/>
    <w:rsid w:val="4F9266C1"/>
    <w:rsid w:val="4F934DA8"/>
    <w:rsid w:val="4F9C6EFA"/>
    <w:rsid w:val="4F9D3D48"/>
    <w:rsid w:val="4FA11015"/>
    <w:rsid w:val="4FA64193"/>
    <w:rsid w:val="4FAF6844"/>
    <w:rsid w:val="4FC43096"/>
    <w:rsid w:val="4FC450D1"/>
    <w:rsid w:val="4FC47B55"/>
    <w:rsid w:val="4FDE3473"/>
    <w:rsid w:val="4FEA722B"/>
    <w:rsid w:val="4FFC2ABD"/>
    <w:rsid w:val="4FFE3876"/>
    <w:rsid w:val="50011E81"/>
    <w:rsid w:val="50106568"/>
    <w:rsid w:val="501D6629"/>
    <w:rsid w:val="50343AA4"/>
    <w:rsid w:val="503C45D8"/>
    <w:rsid w:val="5043417E"/>
    <w:rsid w:val="5043472C"/>
    <w:rsid w:val="50452F21"/>
    <w:rsid w:val="504B3D16"/>
    <w:rsid w:val="504C518C"/>
    <w:rsid w:val="50671B79"/>
    <w:rsid w:val="50720FD1"/>
    <w:rsid w:val="50722D7F"/>
    <w:rsid w:val="507454D9"/>
    <w:rsid w:val="50757804"/>
    <w:rsid w:val="50814A6E"/>
    <w:rsid w:val="508F306F"/>
    <w:rsid w:val="509072F4"/>
    <w:rsid w:val="509727E6"/>
    <w:rsid w:val="50990543"/>
    <w:rsid w:val="50AA08B9"/>
    <w:rsid w:val="50BB4726"/>
    <w:rsid w:val="50C20F8E"/>
    <w:rsid w:val="50D10DEC"/>
    <w:rsid w:val="50D2381E"/>
    <w:rsid w:val="50E0418D"/>
    <w:rsid w:val="50E47D44"/>
    <w:rsid w:val="50EE125B"/>
    <w:rsid w:val="50F917EB"/>
    <w:rsid w:val="50FB0FC7"/>
    <w:rsid w:val="51021CEC"/>
    <w:rsid w:val="51031FA1"/>
    <w:rsid w:val="510A2FB8"/>
    <w:rsid w:val="510E648B"/>
    <w:rsid w:val="51185F52"/>
    <w:rsid w:val="51271DBC"/>
    <w:rsid w:val="513454D5"/>
    <w:rsid w:val="513D06C5"/>
    <w:rsid w:val="514667AC"/>
    <w:rsid w:val="514965F7"/>
    <w:rsid w:val="514B3CFC"/>
    <w:rsid w:val="51565B1E"/>
    <w:rsid w:val="51581FC6"/>
    <w:rsid w:val="51642BFF"/>
    <w:rsid w:val="516B614C"/>
    <w:rsid w:val="516C511B"/>
    <w:rsid w:val="51712AE1"/>
    <w:rsid w:val="51894824"/>
    <w:rsid w:val="51895D3D"/>
    <w:rsid w:val="518A7D49"/>
    <w:rsid w:val="518D1E3C"/>
    <w:rsid w:val="51950BA1"/>
    <w:rsid w:val="51AC22C3"/>
    <w:rsid w:val="51AF590D"/>
    <w:rsid w:val="51BC3CB7"/>
    <w:rsid w:val="51C6002A"/>
    <w:rsid w:val="51D53F96"/>
    <w:rsid w:val="51E952C3"/>
    <w:rsid w:val="51E97071"/>
    <w:rsid w:val="51EF53F0"/>
    <w:rsid w:val="51F41567"/>
    <w:rsid w:val="51F872B4"/>
    <w:rsid w:val="51FF2CC1"/>
    <w:rsid w:val="520246A1"/>
    <w:rsid w:val="52041B45"/>
    <w:rsid w:val="52065E75"/>
    <w:rsid w:val="52085BE5"/>
    <w:rsid w:val="520D7203"/>
    <w:rsid w:val="520E59F7"/>
    <w:rsid w:val="521340EE"/>
    <w:rsid w:val="52143AA8"/>
    <w:rsid w:val="521550DA"/>
    <w:rsid w:val="521F537E"/>
    <w:rsid w:val="52291B63"/>
    <w:rsid w:val="522B768A"/>
    <w:rsid w:val="523A78CD"/>
    <w:rsid w:val="523D4F01"/>
    <w:rsid w:val="523F1387"/>
    <w:rsid w:val="52400FEA"/>
    <w:rsid w:val="5241698F"/>
    <w:rsid w:val="52481FEA"/>
    <w:rsid w:val="526606C2"/>
    <w:rsid w:val="526A7756"/>
    <w:rsid w:val="526F3A1A"/>
    <w:rsid w:val="52730655"/>
    <w:rsid w:val="527417D8"/>
    <w:rsid w:val="527D671A"/>
    <w:rsid w:val="52876DAF"/>
    <w:rsid w:val="5289611A"/>
    <w:rsid w:val="528E686E"/>
    <w:rsid w:val="52943342"/>
    <w:rsid w:val="52AA2CA4"/>
    <w:rsid w:val="52AD52A4"/>
    <w:rsid w:val="52B4767F"/>
    <w:rsid w:val="52C71F9B"/>
    <w:rsid w:val="52CC1B65"/>
    <w:rsid w:val="52E06205"/>
    <w:rsid w:val="52E85F80"/>
    <w:rsid w:val="52E8647A"/>
    <w:rsid w:val="52F5441D"/>
    <w:rsid w:val="530A434B"/>
    <w:rsid w:val="531A61E4"/>
    <w:rsid w:val="531D02EC"/>
    <w:rsid w:val="53215F1C"/>
    <w:rsid w:val="53261067"/>
    <w:rsid w:val="53317B35"/>
    <w:rsid w:val="535A2A5B"/>
    <w:rsid w:val="535F3666"/>
    <w:rsid w:val="537132FC"/>
    <w:rsid w:val="537D4BBD"/>
    <w:rsid w:val="537E60DB"/>
    <w:rsid w:val="5382152B"/>
    <w:rsid w:val="538432AA"/>
    <w:rsid w:val="53881D48"/>
    <w:rsid w:val="539B46F3"/>
    <w:rsid w:val="539F6F9A"/>
    <w:rsid w:val="53B310E8"/>
    <w:rsid w:val="53B65679"/>
    <w:rsid w:val="53B95050"/>
    <w:rsid w:val="53BF62DB"/>
    <w:rsid w:val="53D224B3"/>
    <w:rsid w:val="53D41DBF"/>
    <w:rsid w:val="53DB1DDF"/>
    <w:rsid w:val="53DD6D3D"/>
    <w:rsid w:val="53E0687F"/>
    <w:rsid w:val="53E574BD"/>
    <w:rsid w:val="540208BE"/>
    <w:rsid w:val="540E1089"/>
    <w:rsid w:val="54120B01"/>
    <w:rsid w:val="541E5219"/>
    <w:rsid w:val="541F3305"/>
    <w:rsid w:val="5426635A"/>
    <w:rsid w:val="543137CA"/>
    <w:rsid w:val="543613E1"/>
    <w:rsid w:val="543B303D"/>
    <w:rsid w:val="543D36A4"/>
    <w:rsid w:val="544B5B49"/>
    <w:rsid w:val="544D7D8B"/>
    <w:rsid w:val="545478F3"/>
    <w:rsid w:val="5455279C"/>
    <w:rsid w:val="545A24D8"/>
    <w:rsid w:val="54641F78"/>
    <w:rsid w:val="546B2AB8"/>
    <w:rsid w:val="54724B97"/>
    <w:rsid w:val="54773046"/>
    <w:rsid w:val="5479413A"/>
    <w:rsid w:val="54843081"/>
    <w:rsid w:val="5486504B"/>
    <w:rsid w:val="54875E65"/>
    <w:rsid w:val="54993779"/>
    <w:rsid w:val="54AA2387"/>
    <w:rsid w:val="54AF12FA"/>
    <w:rsid w:val="54BB6A9F"/>
    <w:rsid w:val="54C94386"/>
    <w:rsid w:val="54CC7C8C"/>
    <w:rsid w:val="54CF5333"/>
    <w:rsid w:val="54D01353"/>
    <w:rsid w:val="54D47B64"/>
    <w:rsid w:val="54D529A4"/>
    <w:rsid w:val="54ED7679"/>
    <w:rsid w:val="54EF56E1"/>
    <w:rsid w:val="54F0598E"/>
    <w:rsid w:val="54F46438"/>
    <w:rsid w:val="55034F84"/>
    <w:rsid w:val="55037DAC"/>
    <w:rsid w:val="55141A6C"/>
    <w:rsid w:val="55173EF5"/>
    <w:rsid w:val="551C527D"/>
    <w:rsid w:val="55263450"/>
    <w:rsid w:val="552A6277"/>
    <w:rsid w:val="55436576"/>
    <w:rsid w:val="554462F3"/>
    <w:rsid w:val="55466638"/>
    <w:rsid w:val="554F15C6"/>
    <w:rsid w:val="555E7D76"/>
    <w:rsid w:val="5563538C"/>
    <w:rsid w:val="556477A3"/>
    <w:rsid w:val="55651104"/>
    <w:rsid w:val="55655CE7"/>
    <w:rsid w:val="556A262E"/>
    <w:rsid w:val="556D59A0"/>
    <w:rsid w:val="55720837"/>
    <w:rsid w:val="558C6137"/>
    <w:rsid w:val="558E0B1C"/>
    <w:rsid w:val="55967510"/>
    <w:rsid w:val="55A26E5A"/>
    <w:rsid w:val="55B25616"/>
    <w:rsid w:val="55B625AF"/>
    <w:rsid w:val="55C23E61"/>
    <w:rsid w:val="55CA04C1"/>
    <w:rsid w:val="55E346CC"/>
    <w:rsid w:val="55EB322C"/>
    <w:rsid w:val="55F50951"/>
    <w:rsid w:val="55F53DE6"/>
    <w:rsid w:val="561641AD"/>
    <w:rsid w:val="5621502B"/>
    <w:rsid w:val="56231391"/>
    <w:rsid w:val="56271D22"/>
    <w:rsid w:val="56286EE4"/>
    <w:rsid w:val="562D7E80"/>
    <w:rsid w:val="563215B1"/>
    <w:rsid w:val="56352885"/>
    <w:rsid w:val="5643645D"/>
    <w:rsid w:val="56441B29"/>
    <w:rsid w:val="564E317D"/>
    <w:rsid w:val="56513FAC"/>
    <w:rsid w:val="56517668"/>
    <w:rsid w:val="565D5CF9"/>
    <w:rsid w:val="5684380C"/>
    <w:rsid w:val="56A93C10"/>
    <w:rsid w:val="56B14B68"/>
    <w:rsid w:val="56C153C6"/>
    <w:rsid w:val="56CD16F6"/>
    <w:rsid w:val="56CD6F61"/>
    <w:rsid w:val="56D71B59"/>
    <w:rsid w:val="56EB73E7"/>
    <w:rsid w:val="56F374EE"/>
    <w:rsid w:val="56F46B14"/>
    <w:rsid w:val="570743FC"/>
    <w:rsid w:val="570F6D61"/>
    <w:rsid w:val="57146D32"/>
    <w:rsid w:val="57192907"/>
    <w:rsid w:val="57233025"/>
    <w:rsid w:val="5726041F"/>
    <w:rsid w:val="572823EA"/>
    <w:rsid w:val="57292404"/>
    <w:rsid w:val="57393298"/>
    <w:rsid w:val="5739487C"/>
    <w:rsid w:val="57414675"/>
    <w:rsid w:val="57482A8C"/>
    <w:rsid w:val="574917DD"/>
    <w:rsid w:val="575F0E9D"/>
    <w:rsid w:val="57640B3A"/>
    <w:rsid w:val="577B3BE7"/>
    <w:rsid w:val="577E64AD"/>
    <w:rsid w:val="578216F5"/>
    <w:rsid w:val="57827D4C"/>
    <w:rsid w:val="578C0BCA"/>
    <w:rsid w:val="5797131D"/>
    <w:rsid w:val="57992F1C"/>
    <w:rsid w:val="579E7B7C"/>
    <w:rsid w:val="579E7EA8"/>
    <w:rsid w:val="57A60DD2"/>
    <w:rsid w:val="57A72F60"/>
    <w:rsid w:val="57A76676"/>
    <w:rsid w:val="57B47A97"/>
    <w:rsid w:val="57C00B06"/>
    <w:rsid w:val="57C3769A"/>
    <w:rsid w:val="57D4431F"/>
    <w:rsid w:val="57E00F16"/>
    <w:rsid w:val="57F10A2D"/>
    <w:rsid w:val="57F7118E"/>
    <w:rsid w:val="57FB5D50"/>
    <w:rsid w:val="57FC5C32"/>
    <w:rsid w:val="580A070B"/>
    <w:rsid w:val="580C437C"/>
    <w:rsid w:val="580D5270"/>
    <w:rsid w:val="581A249A"/>
    <w:rsid w:val="58255261"/>
    <w:rsid w:val="58323A52"/>
    <w:rsid w:val="58371598"/>
    <w:rsid w:val="583D1EC5"/>
    <w:rsid w:val="584339D4"/>
    <w:rsid w:val="584626C8"/>
    <w:rsid w:val="5855720E"/>
    <w:rsid w:val="58631B57"/>
    <w:rsid w:val="586B6A74"/>
    <w:rsid w:val="587847EF"/>
    <w:rsid w:val="58792B7A"/>
    <w:rsid w:val="587E7502"/>
    <w:rsid w:val="58841670"/>
    <w:rsid w:val="588C0756"/>
    <w:rsid w:val="58951531"/>
    <w:rsid w:val="589C6BEB"/>
    <w:rsid w:val="58A9063B"/>
    <w:rsid w:val="58B00130"/>
    <w:rsid w:val="58BC437D"/>
    <w:rsid w:val="58CD1BF2"/>
    <w:rsid w:val="58CE6FC1"/>
    <w:rsid w:val="58D03C44"/>
    <w:rsid w:val="58D90A33"/>
    <w:rsid w:val="58DA5965"/>
    <w:rsid w:val="58DE2EF2"/>
    <w:rsid w:val="58E338CD"/>
    <w:rsid w:val="58E65065"/>
    <w:rsid w:val="58E95BA9"/>
    <w:rsid w:val="59253085"/>
    <w:rsid w:val="59284923"/>
    <w:rsid w:val="592866D1"/>
    <w:rsid w:val="592E1E7D"/>
    <w:rsid w:val="593A6404"/>
    <w:rsid w:val="593E0918"/>
    <w:rsid w:val="594650DD"/>
    <w:rsid w:val="594741D8"/>
    <w:rsid w:val="594C0EDE"/>
    <w:rsid w:val="595557B3"/>
    <w:rsid w:val="59575208"/>
    <w:rsid w:val="595E0345"/>
    <w:rsid w:val="596F60AE"/>
    <w:rsid w:val="597162CA"/>
    <w:rsid w:val="59731396"/>
    <w:rsid w:val="59774722"/>
    <w:rsid w:val="59861A0B"/>
    <w:rsid w:val="59873479"/>
    <w:rsid w:val="5987789B"/>
    <w:rsid w:val="59962CAC"/>
    <w:rsid w:val="599E2E37"/>
    <w:rsid w:val="59A462B3"/>
    <w:rsid w:val="59A81221"/>
    <w:rsid w:val="59AE3130"/>
    <w:rsid w:val="59B035B4"/>
    <w:rsid w:val="59B241EC"/>
    <w:rsid w:val="59B65E25"/>
    <w:rsid w:val="59C208D3"/>
    <w:rsid w:val="59C616CA"/>
    <w:rsid w:val="59CA4DF0"/>
    <w:rsid w:val="59D2488F"/>
    <w:rsid w:val="59D63D60"/>
    <w:rsid w:val="59D95C1D"/>
    <w:rsid w:val="5A0A76A1"/>
    <w:rsid w:val="5A117165"/>
    <w:rsid w:val="5A1820ED"/>
    <w:rsid w:val="5A1E3C21"/>
    <w:rsid w:val="5A1F6067"/>
    <w:rsid w:val="5A24333C"/>
    <w:rsid w:val="5A355F08"/>
    <w:rsid w:val="5A386DE8"/>
    <w:rsid w:val="5A3B0686"/>
    <w:rsid w:val="5A490FF5"/>
    <w:rsid w:val="5A4C63EF"/>
    <w:rsid w:val="5A56104F"/>
    <w:rsid w:val="5A684F8F"/>
    <w:rsid w:val="5A740518"/>
    <w:rsid w:val="5A7B4A73"/>
    <w:rsid w:val="5A7F7EA1"/>
    <w:rsid w:val="5A824FE1"/>
    <w:rsid w:val="5A84160F"/>
    <w:rsid w:val="5A876F48"/>
    <w:rsid w:val="5A8F1B0B"/>
    <w:rsid w:val="5A961CBA"/>
    <w:rsid w:val="5A9658BC"/>
    <w:rsid w:val="5A9E04B4"/>
    <w:rsid w:val="5AA4622B"/>
    <w:rsid w:val="5AAB580B"/>
    <w:rsid w:val="5AB47EA1"/>
    <w:rsid w:val="5ADA39FB"/>
    <w:rsid w:val="5AE11002"/>
    <w:rsid w:val="5AE91E90"/>
    <w:rsid w:val="5AEE74A6"/>
    <w:rsid w:val="5AF50835"/>
    <w:rsid w:val="5AFC1E9F"/>
    <w:rsid w:val="5B021A31"/>
    <w:rsid w:val="5B07267F"/>
    <w:rsid w:val="5B096586"/>
    <w:rsid w:val="5B0D4AFA"/>
    <w:rsid w:val="5B157BBF"/>
    <w:rsid w:val="5B170C35"/>
    <w:rsid w:val="5B21708E"/>
    <w:rsid w:val="5B2C4B30"/>
    <w:rsid w:val="5B4E50A9"/>
    <w:rsid w:val="5B525C87"/>
    <w:rsid w:val="5B5C14F0"/>
    <w:rsid w:val="5B631C42"/>
    <w:rsid w:val="5B7200D7"/>
    <w:rsid w:val="5B7C2D04"/>
    <w:rsid w:val="5B7E6A7C"/>
    <w:rsid w:val="5B8846B8"/>
    <w:rsid w:val="5B8A3687"/>
    <w:rsid w:val="5B8D2C2F"/>
    <w:rsid w:val="5B9846BA"/>
    <w:rsid w:val="5B991F12"/>
    <w:rsid w:val="5B993C4E"/>
    <w:rsid w:val="5B9E650C"/>
    <w:rsid w:val="5BBB382C"/>
    <w:rsid w:val="5BC035DD"/>
    <w:rsid w:val="5BC33EDD"/>
    <w:rsid w:val="5BDB7A2A"/>
    <w:rsid w:val="5BDD51AE"/>
    <w:rsid w:val="5BDE0F15"/>
    <w:rsid w:val="5BE72BDE"/>
    <w:rsid w:val="5BED2AD6"/>
    <w:rsid w:val="5BEE1236"/>
    <w:rsid w:val="5C000D0C"/>
    <w:rsid w:val="5C0A0310"/>
    <w:rsid w:val="5C223D3B"/>
    <w:rsid w:val="5C2A1887"/>
    <w:rsid w:val="5C3810A6"/>
    <w:rsid w:val="5C416382"/>
    <w:rsid w:val="5C4C2049"/>
    <w:rsid w:val="5C501FCC"/>
    <w:rsid w:val="5C5D0D87"/>
    <w:rsid w:val="5C640DAE"/>
    <w:rsid w:val="5C653798"/>
    <w:rsid w:val="5C676B66"/>
    <w:rsid w:val="5C6C3228"/>
    <w:rsid w:val="5C757E7F"/>
    <w:rsid w:val="5C785E7F"/>
    <w:rsid w:val="5C8956D8"/>
    <w:rsid w:val="5C962127"/>
    <w:rsid w:val="5CAA5451"/>
    <w:rsid w:val="5CB169DD"/>
    <w:rsid w:val="5CB624E8"/>
    <w:rsid w:val="5CB7378F"/>
    <w:rsid w:val="5CC46711"/>
    <w:rsid w:val="5CC52489"/>
    <w:rsid w:val="5CC6735D"/>
    <w:rsid w:val="5CC95C0C"/>
    <w:rsid w:val="5CD75C94"/>
    <w:rsid w:val="5CE15514"/>
    <w:rsid w:val="5CE17245"/>
    <w:rsid w:val="5CE77D3C"/>
    <w:rsid w:val="5CE84AF5"/>
    <w:rsid w:val="5CF03B98"/>
    <w:rsid w:val="5CF1327E"/>
    <w:rsid w:val="5CF82D2B"/>
    <w:rsid w:val="5CFA7F4C"/>
    <w:rsid w:val="5D02548B"/>
    <w:rsid w:val="5D03173C"/>
    <w:rsid w:val="5D04195D"/>
    <w:rsid w:val="5D08350A"/>
    <w:rsid w:val="5D11246C"/>
    <w:rsid w:val="5D215911"/>
    <w:rsid w:val="5D3E120A"/>
    <w:rsid w:val="5D446EB9"/>
    <w:rsid w:val="5D475B2E"/>
    <w:rsid w:val="5D4B0BE0"/>
    <w:rsid w:val="5D666D03"/>
    <w:rsid w:val="5D67589C"/>
    <w:rsid w:val="5D681792"/>
    <w:rsid w:val="5D794F58"/>
    <w:rsid w:val="5D7D08EB"/>
    <w:rsid w:val="5D87176C"/>
    <w:rsid w:val="5D8C36D7"/>
    <w:rsid w:val="5D905459"/>
    <w:rsid w:val="5DA96F6B"/>
    <w:rsid w:val="5DED3C93"/>
    <w:rsid w:val="5DFB4772"/>
    <w:rsid w:val="5E013425"/>
    <w:rsid w:val="5E0B78D6"/>
    <w:rsid w:val="5E1436C8"/>
    <w:rsid w:val="5E1968DA"/>
    <w:rsid w:val="5E1A3EEF"/>
    <w:rsid w:val="5E282CCF"/>
    <w:rsid w:val="5E3478C6"/>
    <w:rsid w:val="5E394EDC"/>
    <w:rsid w:val="5E4063DF"/>
    <w:rsid w:val="5E4C0A38"/>
    <w:rsid w:val="5E4E0845"/>
    <w:rsid w:val="5E4F3DD3"/>
    <w:rsid w:val="5E50277A"/>
    <w:rsid w:val="5E5C5726"/>
    <w:rsid w:val="5E671A49"/>
    <w:rsid w:val="5E675457"/>
    <w:rsid w:val="5E7014FB"/>
    <w:rsid w:val="5E7D301B"/>
    <w:rsid w:val="5E92412F"/>
    <w:rsid w:val="5E9A1470"/>
    <w:rsid w:val="5E9B5B97"/>
    <w:rsid w:val="5EA34008"/>
    <w:rsid w:val="5EA507C4"/>
    <w:rsid w:val="5EA80068"/>
    <w:rsid w:val="5EAD5EAD"/>
    <w:rsid w:val="5EAE3013"/>
    <w:rsid w:val="5EB3521A"/>
    <w:rsid w:val="5EB673E8"/>
    <w:rsid w:val="5EBE1E99"/>
    <w:rsid w:val="5EDD34B2"/>
    <w:rsid w:val="5EF16DBC"/>
    <w:rsid w:val="5F0E003F"/>
    <w:rsid w:val="5F0F6356"/>
    <w:rsid w:val="5F117C07"/>
    <w:rsid w:val="5F1B3AA9"/>
    <w:rsid w:val="5F1C5AA7"/>
    <w:rsid w:val="5F290A1F"/>
    <w:rsid w:val="5F2B0CC9"/>
    <w:rsid w:val="5F3D27AA"/>
    <w:rsid w:val="5F3E0520"/>
    <w:rsid w:val="5F6C4DCF"/>
    <w:rsid w:val="5F7B25FD"/>
    <w:rsid w:val="5F7F6354"/>
    <w:rsid w:val="5F92271A"/>
    <w:rsid w:val="5F973980"/>
    <w:rsid w:val="5FA61085"/>
    <w:rsid w:val="5FA67748"/>
    <w:rsid w:val="5FA72C1B"/>
    <w:rsid w:val="5FAF36A8"/>
    <w:rsid w:val="5FB54A36"/>
    <w:rsid w:val="5FC37153"/>
    <w:rsid w:val="5FC52ECB"/>
    <w:rsid w:val="5FC57D20"/>
    <w:rsid w:val="5FC609F2"/>
    <w:rsid w:val="5FCC02CD"/>
    <w:rsid w:val="5FD73AB4"/>
    <w:rsid w:val="5FDF4FDC"/>
    <w:rsid w:val="5FE21BDE"/>
    <w:rsid w:val="5FE62E42"/>
    <w:rsid w:val="5FEA1309"/>
    <w:rsid w:val="5FEB685D"/>
    <w:rsid w:val="5FF06C77"/>
    <w:rsid w:val="60017C7C"/>
    <w:rsid w:val="60035194"/>
    <w:rsid w:val="60065E0F"/>
    <w:rsid w:val="600D1413"/>
    <w:rsid w:val="60176238"/>
    <w:rsid w:val="601931F9"/>
    <w:rsid w:val="601A43C8"/>
    <w:rsid w:val="602045A6"/>
    <w:rsid w:val="60237BF2"/>
    <w:rsid w:val="60270FD7"/>
    <w:rsid w:val="602F6597"/>
    <w:rsid w:val="60363DC9"/>
    <w:rsid w:val="60370A90"/>
    <w:rsid w:val="60395667"/>
    <w:rsid w:val="603E4A2C"/>
    <w:rsid w:val="604A517F"/>
    <w:rsid w:val="60596A16"/>
    <w:rsid w:val="605F0455"/>
    <w:rsid w:val="60681AA9"/>
    <w:rsid w:val="606D5311"/>
    <w:rsid w:val="607641C6"/>
    <w:rsid w:val="607F3DBC"/>
    <w:rsid w:val="608531FB"/>
    <w:rsid w:val="60854A09"/>
    <w:rsid w:val="60901746"/>
    <w:rsid w:val="60903201"/>
    <w:rsid w:val="609D1752"/>
    <w:rsid w:val="60A056E7"/>
    <w:rsid w:val="60AC2B0F"/>
    <w:rsid w:val="60BF59C2"/>
    <w:rsid w:val="60D809DC"/>
    <w:rsid w:val="60E07891"/>
    <w:rsid w:val="60E6759D"/>
    <w:rsid w:val="60EA6962"/>
    <w:rsid w:val="60EE1FAE"/>
    <w:rsid w:val="610914A2"/>
    <w:rsid w:val="61096DE8"/>
    <w:rsid w:val="610A0650"/>
    <w:rsid w:val="610B5A94"/>
    <w:rsid w:val="6112062F"/>
    <w:rsid w:val="61174DE5"/>
    <w:rsid w:val="611759A9"/>
    <w:rsid w:val="613053C7"/>
    <w:rsid w:val="61396090"/>
    <w:rsid w:val="613A51F3"/>
    <w:rsid w:val="613D2F35"/>
    <w:rsid w:val="614775C3"/>
    <w:rsid w:val="614A47E1"/>
    <w:rsid w:val="614A49A2"/>
    <w:rsid w:val="614B4949"/>
    <w:rsid w:val="615B1278"/>
    <w:rsid w:val="616E30EF"/>
    <w:rsid w:val="617F3BCB"/>
    <w:rsid w:val="61AB7E9F"/>
    <w:rsid w:val="61B6195E"/>
    <w:rsid w:val="61B96A60"/>
    <w:rsid w:val="61BE481F"/>
    <w:rsid w:val="61C55E35"/>
    <w:rsid w:val="61C64CD9"/>
    <w:rsid w:val="61CB22EF"/>
    <w:rsid w:val="61DE2022"/>
    <w:rsid w:val="61E33ADD"/>
    <w:rsid w:val="61E4676A"/>
    <w:rsid w:val="61E82D68"/>
    <w:rsid w:val="61EB0AD5"/>
    <w:rsid w:val="61EF514B"/>
    <w:rsid w:val="61F47363"/>
    <w:rsid w:val="61FC51C6"/>
    <w:rsid w:val="61FE4473"/>
    <w:rsid w:val="620432DD"/>
    <w:rsid w:val="620566EC"/>
    <w:rsid w:val="62071466"/>
    <w:rsid w:val="620B05CB"/>
    <w:rsid w:val="62173786"/>
    <w:rsid w:val="621C6FEF"/>
    <w:rsid w:val="6223212B"/>
    <w:rsid w:val="622B0DA1"/>
    <w:rsid w:val="62324FA1"/>
    <w:rsid w:val="62377985"/>
    <w:rsid w:val="623A58B3"/>
    <w:rsid w:val="62516C98"/>
    <w:rsid w:val="62572ADE"/>
    <w:rsid w:val="62592A86"/>
    <w:rsid w:val="625D5119"/>
    <w:rsid w:val="625F74AE"/>
    <w:rsid w:val="6263077A"/>
    <w:rsid w:val="62642ED3"/>
    <w:rsid w:val="6264757B"/>
    <w:rsid w:val="62766338"/>
    <w:rsid w:val="62913539"/>
    <w:rsid w:val="62946B85"/>
    <w:rsid w:val="6299419B"/>
    <w:rsid w:val="62A30168"/>
    <w:rsid w:val="62B35EAF"/>
    <w:rsid w:val="62C32ED6"/>
    <w:rsid w:val="62C56A9C"/>
    <w:rsid w:val="62CA269D"/>
    <w:rsid w:val="62D43425"/>
    <w:rsid w:val="62D60EB3"/>
    <w:rsid w:val="62DF6A4C"/>
    <w:rsid w:val="62E0626E"/>
    <w:rsid w:val="62F81F5B"/>
    <w:rsid w:val="62FF4138"/>
    <w:rsid w:val="6306758C"/>
    <w:rsid w:val="63071ABD"/>
    <w:rsid w:val="630A3405"/>
    <w:rsid w:val="630E06E5"/>
    <w:rsid w:val="63212B0F"/>
    <w:rsid w:val="632B393F"/>
    <w:rsid w:val="63342D3C"/>
    <w:rsid w:val="633641DA"/>
    <w:rsid w:val="63365E8E"/>
    <w:rsid w:val="6339715F"/>
    <w:rsid w:val="633A597E"/>
    <w:rsid w:val="635C3E15"/>
    <w:rsid w:val="635F7193"/>
    <w:rsid w:val="6361115D"/>
    <w:rsid w:val="63626C83"/>
    <w:rsid w:val="636F3867"/>
    <w:rsid w:val="63781400"/>
    <w:rsid w:val="637E439E"/>
    <w:rsid w:val="638A03A3"/>
    <w:rsid w:val="638D5099"/>
    <w:rsid w:val="639037F0"/>
    <w:rsid w:val="63964928"/>
    <w:rsid w:val="639F3A80"/>
    <w:rsid w:val="63AB76DC"/>
    <w:rsid w:val="63B4336E"/>
    <w:rsid w:val="63BA6ABF"/>
    <w:rsid w:val="63D20195"/>
    <w:rsid w:val="63D475C6"/>
    <w:rsid w:val="63DF65BB"/>
    <w:rsid w:val="63E45286"/>
    <w:rsid w:val="63E53F33"/>
    <w:rsid w:val="63FF5159"/>
    <w:rsid w:val="64055725"/>
    <w:rsid w:val="640A2F31"/>
    <w:rsid w:val="641F0A31"/>
    <w:rsid w:val="642E6B65"/>
    <w:rsid w:val="643577F9"/>
    <w:rsid w:val="64460353"/>
    <w:rsid w:val="64550596"/>
    <w:rsid w:val="64570EDA"/>
    <w:rsid w:val="64575A28"/>
    <w:rsid w:val="64591EB0"/>
    <w:rsid w:val="646D3B32"/>
    <w:rsid w:val="646E69E2"/>
    <w:rsid w:val="646F3074"/>
    <w:rsid w:val="64800B74"/>
    <w:rsid w:val="64835103"/>
    <w:rsid w:val="6483518D"/>
    <w:rsid w:val="64925346"/>
    <w:rsid w:val="64955B57"/>
    <w:rsid w:val="649A719B"/>
    <w:rsid w:val="649D4417"/>
    <w:rsid w:val="64A62BA0"/>
    <w:rsid w:val="64AD1499"/>
    <w:rsid w:val="64B00AA2"/>
    <w:rsid w:val="64B36D00"/>
    <w:rsid w:val="64B661A6"/>
    <w:rsid w:val="64C6782A"/>
    <w:rsid w:val="64C73242"/>
    <w:rsid w:val="64CF1BF3"/>
    <w:rsid w:val="64CF20F6"/>
    <w:rsid w:val="64D15F69"/>
    <w:rsid w:val="64DF428E"/>
    <w:rsid w:val="64E209F6"/>
    <w:rsid w:val="64EE4BF9"/>
    <w:rsid w:val="64F1558F"/>
    <w:rsid w:val="64F8088F"/>
    <w:rsid w:val="6504350A"/>
    <w:rsid w:val="65111A79"/>
    <w:rsid w:val="6516311F"/>
    <w:rsid w:val="65177D95"/>
    <w:rsid w:val="651D2333"/>
    <w:rsid w:val="6528785F"/>
    <w:rsid w:val="65310D84"/>
    <w:rsid w:val="654D431D"/>
    <w:rsid w:val="65515201"/>
    <w:rsid w:val="655541D9"/>
    <w:rsid w:val="655D2A44"/>
    <w:rsid w:val="655F15E8"/>
    <w:rsid w:val="655F5405"/>
    <w:rsid w:val="65755781"/>
    <w:rsid w:val="65783306"/>
    <w:rsid w:val="65804404"/>
    <w:rsid w:val="6580530B"/>
    <w:rsid w:val="65A82E3E"/>
    <w:rsid w:val="65B92F3A"/>
    <w:rsid w:val="65BF43EA"/>
    <w:rsid w:val="65C459D3"/>
    <w:rsid w:val="65C54C45"/>
    <w:rsid w:val="65E6272B"/>
    <w:rsid w:val="65F30067"/>
    <w:rsid w:val="660A60AC"/>
    <w:rsid w:val="660B715E"/>
    <w:rsid w:val="66223598"/>
    <w:rsid w:val="66236B9E"/>
    <w:rsid w:val="662621EA"/>
    <w:rsid w:val="662D18FF"/>
    <w:rsid w:val="663B4927"/>
    <w:rsid w:val="663F7D0A"/>
    <w:rsid w:val="66456E23"/>
    <w:rsid w:val="664B1C51"/>
    <w:rsid w:val="66520A74"/>
    <w:rsid w:val="66522FDF"/>
    <w:rsid w:val="66794A10"/>
    <w:rsid w:val="667B6BB0"/>
    <w:rsid w:val="667F5C98"/>
    <w:rsid w:val="668B5A40"/>
    <w:rsid w:val="66932AD8"/>
    <w:rsid w:val="669D03B8"/>
    <w:rsid w:val="669F717E"/>
    <w:rsid w:val="66A00B1A"/>
    <w:rsid w:val="66A03D4A"/>
    <w:rsid w:val="66A7157D"/>
    <w:rsid w:val="66AB26EF"/>
    <w:rsid w:val="66B62FEB"/>
    <w:rsid w:val="66BC0157"/>
    <w:rsid w:val="66C11DA4"/>
    <w:rsid w:val="66C5199E"/>
    <w:rsid w:val="66C67529"/>
    <w:rsid w:val="66C814F3"/>
    <w:rsid w:val="66D130DB"/>
    <w:rsid w:val="66D605B4"/>
    <w:rsid w:val="66D954AE"/>
    <w:rsid w:val="66DA78F3"/>
    <w:rsid w:val="66E0683D"/>
    <w:rsid w:val="66E26F24"/>
    <w:rsid w:val="66E300DB"/>
    <w:rsid w:val="66E63727"/>
    <w:rsid w:val="66E65981"/>
    <w:rsid w:val="66EC25CE"/>
    <w:rsid w:val="66ED2D08"/>
    <w:rsid w:val="66FF40D7"/>
    <w:rsid w:val="67011877"/>
    <w:rsid w:val="670544F5"/>
    <w:rsid w:val="6712276E"/>
    <w:rsid w:val="671A29E1"/>
    <w:rsid w:val="671E7365"/>
    <w:rsid w:val="673851BB"/>
    <w:rsid w:val="673A3A88"/>
    <w:rsid w:val="67433370"/>
    <w:rsid w:val="67467449"/>
    <w:rsid w:val="67471044"/>
    <w:rsid w:val="67475AFF"/>
    <w:rsid w:val="674F15AB"/>
    <w:rsid w:val="67521CAD"/>
    <w:rsid w:val="67670D0C"/>
    <w:rsid w:val="676B361A"/>
    <w:rsid w:val="677376B1"/>
    <w:rsid w:val="67765D09"/>
    <w:rsid w:val="677C4CD5"/>
    <w:rsid w:val="678418BE"/>
    <w:rsid w:val="678D4255"/>
    <w:rsid w:val="679F0164"/>
    <w:rsid w:val="67A4507D"/>
    <w:rsid w:val="67AA4E69"/>
    <w:rsid w:val="67AC2BC3"/>
    <w:rsid w:val="67C92217"/>
    <w:rsid w:val="67D06C0A"/>
    <w:rsid w:val="67D60106"/>
    <w:rsid w:val="67D87514"/>
    <w:rsid w:val="67DE67D8"/>
    <w:rsid w:val="67DF08A2"/>
    <w:rsid w:val="67E20393"/>
    <w:rsid w:val="67E4137F"/>
    <w:rsid w:val="67E4235D"/>
    <w:rsid w:val="67E557BB"/>
    <w:rsid w:val="67E61308"/>
    <w:rsid w:val="67F72090"/>
    <w:rsid w:val="6800222D"/>
    <w:rsid w:val="68030A35"/>
    <w:rsid w:val="680D448C"/>
    <w:rsid w:val="680F265B"/>
    <w:rsid w:val="68223A95"/>
    <w:rsid w:val="682B0482"/>
    <w:rsid w:val="682E35D8"/>
    <w:rsid w:val="68307BB4"/>
    <w:rsid w:val="68476448"/>
    <w:rsid w:val="68573182"/>
    <w:rsid w:val="685968A7"/>
    <w:rsid w:val="685D1D42"/>
    <w:rsid w:val="686216EA"/>
    <w:rsid w:val="68636695"/>
    <w:rsid w:val="686E7B67"/>
    <w:rsid w:val="687A4AA7"/>
    <w:rsid w:val="689A0A6C"/>
    <w:rsid w:val="68A16A68"/>
    <w:rsid w:val="68A36A2E"/>
    <w:rsid w:val="68A93D59"/>
    <w:rsid w:val="68B01F72"/>
    <w:rsid w:val="68B81056"/>
    <w:rsid w:val="68CF663E"/>
    <w:rsid w:val="68CF6BFF"/>
    <w:rsid w:val="68D73C6F"/>
    <w:rsid w:val="68F76C14"/>
    <w:rsid w:val="6902129F"/>
    <w:rsid w:val="690507DD"/>
    <w:rsid w:val="690F4C8C"/>
    <w:rsid w:val="69124CA8"/>
    <w:rsid w:val="69126A56"/>
    <w:rsid w:val="6915227B"/>
    <w:rsid w:val="69164798"/>
    <w:rsid w:val="6922588A"/>
    <w:rsid w:val="692D07BD"/>
    <w:rsid w:val="693A5637"/>
    <w:rsid w:val="693B7345"/>
    <w:rsid w:val="696437D3"/>
    <w:rsid w:val="69667C94"/>
    <w:rsid w:val="6973347C"/>
    <w:rsid w:val="698F00A6"/>
    <w:rsid w:val="699E6B6A"/>
    <w:rsid w:val="69A05D06"/>
    <w:rsid w:val="69A108B4"/>
    <w:rsid w:val="69A87BD3"/>
    <w:rsid w:val="69AC046D"/>
    <w:rsid w:val="69AD2FA2"/>
    <w:rsid w:val="69BF6BDD"/>
    <w:rsid w:val="69C6306E"/>
    <w:rsid w:val="69C77840"/>
    <w:rsid w:val="69CE0BCF"/>
    <w:rsid w:val="69D33CFA"/>
    <w:rsid w:val="69D567F1"/>
    <w:rsid w:val="69DE0794"/>
    <w:rsid w:val="69DF102E"/>
    <w:rsid w:val="69E279FA"/>
    <w:rsid w:val="69E72139"/>
    <w:rsid w:val="69E93C5A"/>
    <w:rsid w:val="69FE6692"/>
    <w:rsid w:val="6A0310D1"/>
    <w:rsid w:val="6A05406A"/>
    <w:rsid w:val="6A154A4F"/>
    <w:rsid w:val="6A1A3E14"/>
    <w:rsid w:val="6A301889"/>
    <w:rsid w:val="6A313B28"/>
    <w:rsid w:val="6A321B28"/>
    <w:rsid w:val="6A353DC3"/>
    <w:rsid w:val="6A413A96"/>
    <w:rsid w:val="6A557535"/>
    <w:rsid w:val="6A5D3BCC"/>
    <w:rsid w:val="6A63251A"/>
    <w:rsid w:val="6A646318"/>
    <w:rsid w:val="6A853EFA"/>
    <w:rsid w:val="6A8D7D67"/>
    <w:rsid w:val="6A9A1B71"/>
    <w:rsid w:val="6A9A31A7"/>
    <w:rsid w:val="6AA8333C"/>
    <w:rsid w:val="6AAF5537"/>
    <w:rsid w:val="6AB45D7D"/>
    <w:rsid w:val="6ABB1FDF"/>
    <w:rsid w:val="6AC534B8"/>
    <w:rsid w:val="6AC761C8"/>
    <w:rsid w:val="6ACB23C7"/>
    <w:rsid w:val="6ACD532A"/>
    <w:rsid w:val="6AD423F5"/>
    <w:rsid w:val="6AD466B8"/>
    <w:rsid w:val="6ADE7537"/>
    <w:rsid w:val="6AE55DC2"/>
    <w:rsid w:val="6AEB57B0"/>
    <w:rsid w:val="6AEB70A2"/>
    <w:rsid w:val="6AED40B8"/>
    <w:rsid w:val="6AF55244"/>
    <w:rsid w:val="6B0C5E52"/>
    <w:rsid w:val="6B0D1BCA"/>
    <w:rsid w:val="6B0D2AA1"/>
    <w:rsid w:val="6B160BD1"/>
    <w:rsid w:val="6B1765A5"/>
    <w:rsid w:val="6B20545A"/>
    <w:rsid w:val="6B237F93"/>
    <w:rsid w:val="6B290D87"/>
    <w:rsid w:val="6B2C1818"/>
    <w:rsid w:val="6B361121"/>
    <w:rsid w:val="6B376C47"/>
    <w:rsid w:val="6B454FF9"/>
    <w:rsid w:val="6B49789A"/>
    <w:rsid w:val="6B4E646B"/>
    <w:rsid w:val="6B4F6E4B"/>
    <w:rsid w:val="6B564F7B"/>
    <w:rsid w:val="6B6268D0"/>
    <w:rsid w:val="6B637A3C"/>
    <w:rsid w:val="6B657311"/>
    <w:rsid w:val="6B6F5151"/>
    <w:rsid w:val="6B7632CC"/>
    <w:rsid w:val="6B7834E8"/>
    <w:rsid w:val="6B7951A8"/>
    <w:rsid w:val="6B7C465A"/>
    <w:rsid w:val="6B8E2D0B"/>
    <w:rsid w:val="6BA2417E"/>
    <w:rsid w:val="6BB32E3A"/>
    <w:rsid w:val="6BC262FF"/>
    <w:rsid w:val="6BC51AFF"/>
    <w:rsid w:val="6BD730E5"/>
    <w:rsid w:val="6BDB75D3"/>
    <w:rsid w:val="6BE20961"/>
    <w:rsid w:val="6BE359D5"/>
    <w:rsid w:val="6BE446D9"/>
    <w:rsid w:val="6BEF0699"/>
    <w:rsid w:val="6BF859F6"/>
    <w:rsid w:val="6BFB1A23"/>
    <w:rsid w:val="6C111246"/>
    <w:rsid w:val="6C131CCE"/>
    <w:rsid w:val="6C1449A1"/>
    <w:rsid w:val="6C305E92"/>
    <w:rsid w:val="6C3127B2"/>
    <w:rsid w:val="6C331BF6"/>
    <w:rsid w:val="6C3A2120"/>
    <w:rsid w:val="6C4433CA"/>
    <w:rsid w:val="6C464C68"/>
    <w:rsid w:val="6C472EBA"/>
    <w:rsid w:val="6C495CED"/>
    <w:rsid w:val="6C5555D7"/>
    <w:rsid w:val="6C5757F9"/>
    <w:rsid w:val="6C7D4B2E"/>
    <w:rsid w:val="6C832144"/>
    <w:rsid w:val="6C8B7FBD"/>
    <w:rsid w:val="6C9D2ADA"/>
    <w:rsid w:val="6CAB0324"/>
    <w:rsid w:val="6CAD106D"/>
    <w:rsid w:val="6CAE685B"/>
    <w:rsid w:val="6CB00DF1"/>
    <w:rsid w:val="6CC11B00"/>
    <w:rsid w:val="6CC70A5A"/>
    <w:rsid w:val="6CC9495D"/>
    <w:rsid w:val="6CED4DD7"/>
    <w:rsid w:val="6CF52F58"/>
    <w:rsid w:val="6CF9246A"/>
    <w:rsid w:val="6D080FAE"/>
    <w:rsid w:val="6D0A4613"/>
    <w:rsid w:val="6D170D58"/>
    <w:rsid w:val="6D18333C"/>
    <w:rsid w:val="6D223C17"/>
    <w:rsid w:val="6D27468F"/>
    <w:rsid w:val="6D2A25C0"/>
    <w:rsid w:val="6D2C0C30"/>
    <w:rsid w:val="6D2F7BD6"/>
    <w:rsid w:val="6D3E2374"/>
    <w:rsid w:val="6D4D0029"/>
    <w:rsid w:val="6D6430D0"/>
    <w:rsid w:val="6D655CEE"/>
    <w:rsid w:val="6D6A6E60"/>
    <w:rsid w:val="6D7E46BA"/>
    <w:rsid w:val="6D807F7E"/>
    <w:rsid w:val="6D890EF7"/>
    <w:rsid w:val="6D8F2D6B"/>
    <w:rsid w:val="6DAD31F1"/>
    <w:rsid w:val="6DB94D0B"/>
    <w:rsid w:val="6DC06E55"/>
    <w:rsid w:val="6DC72505"/>
    <w:rsid w:val="6DD00CDD"/>
    <w:rsid w:val="6DD85044"/>
    <w:rsid w:val="6E0C43BB"/>
    <w:rsid w:val="6E230BB4"/>
    <w:rsid w:val="6E241705"/>
    <w:rsid w:val="6E2A4841"/>
    <w:rsid w:val="6E331B0B"/>
    <w:rsid w:val="6E3A3EF6"/>
    <w:rsid w:val="6E5708E0"/>
    <w:rsid w:val="6E574F2B"/>
    <w:rsid w:val="6E5D2A20"/>
    <w:rsid w:val="6E666713"/>
    <w:rsid w:val="6E6C395D"/>
    <w:rsid w:val="6E79268E"/>
    <w:rsid w:val="6E7E0FB8"/>
    <w:rsid w:val="6E865F1C"/>
    <w:rsid w:val="6E922AAF"/>
    <w:rsid w:val="6E9D0940"/>
    <w:rsid w:val="6EA60822"/>
    <w:rsid w:val="6EA8344C"/>
    <w:rsid w:val="6EAF4565"/>
    <w:rsid w:val="6ED335DE"/>
    <w:rsid w:val="6ED55250"/>
    <w:rsid w:val="6EDD575D"/>
    <w:rsid w:val="6EDF4275"/>
    <w:rsid w:val="6EDF5578"/>
    <w:rsid w:val="6EED75F6"/>
    <w:rsid w:val="6EF12141"/>
    <w:rsid w:val="6EF704E4"/>
    <w:rsid w:val="6EFA1558"/>
    <w:rsid w:val="6F0941F9"/>
    <w:rsid w:val="6F1E365D"/>
    <w:rsid w:val="6F343B42"/>
    <w:rsid w:val="6F375238"/>
    <w:rsid w:val="6F4638FD"/>
    <w:rsid w:val="6F614293"/>
    <w:rsid w:val="6F620C1C"/>
    <w:rsid w:val="6F655973"/>
    <w:rsid w:val="6F6D49E6"/>
    <w:rsid w:val="6F757289"/>
    <w:rsid w:val="6F7A2874"/>
    <w:rsid w:val="6F844F21"/>
    <w:rsid w:val="6F8F1F31"/>
    <w:rsid w:val="6F9D2030"/>
    <w:rsid w:val="6FAA2D41"/>
    <w:rsid w:val="6FAA3E8C"/>
    <w:rsid w:val="6FAC19B2"/>
    <w:rsid w:val="6FAC7C04"/>
    <w:rsid w:val="6FB507BF"/>
    <w:rsid w:val="6FBB39A3"/>
    <w:rsid w:val="6FBC6632"/>
    <w:rsid w:val="6FBE16E5"/>
    <w:rsid w:val="6FC04C2B"/>
    <w:rsid w:val="6FC143FD"/>
    <w:rsid w:val="6FD0672F"/>
    <w:rsid w:val="6FE92AF6"/>
    <w:rsid w:val="6FED3BFB"/>
    <w:rsid w:val="6FEE0F55"/>
    <w:rsid w:val="6FEF64BF"/>
    <w:rsid w:val="6FF3138F"/>
    <w:rsid w:val="6FFB57C3"/>
    <w:rsid w:val="6FFE409A"/>
    <w:rsid w:val="700510C2"/>
    <w:rsid w:val="70057314"/>
    <w:rsid w:val="70087612"/>
    <w:rsid w:val="7014273E"/>
    <w:rsid w:val="70202A21"/>
    <w:rsid w:val="702730F8"/>
    <w:rsid w:val="702754DC"/>
    <w:rsid w:val="70291A5E"/>
    <w:rsid w:val="70383246"/>
    <w:rsid w:val="703F18D4"/>
    <w:rsid w:val="70400857"/>
    <w:rsid w:val="70440F0E"/>
    <w:rsid w:val="70441BEA"/>
    <w:rsid w:val="70531E2E"/>
    <w:rsid w:val="70594CAC"/>
    <w:rsid w:val="705D6F0C"/>
    <w:rsid w:val="705F6A24"/>
    <w:rsid w:val="70716758"/>
    <w:rsid w:val="7072452E"/>
    <w:rsid w:val="70733566"/>
    <w:rsid w:val="7096224A"/>
    <w:rsid w:val="70973B12"/>
    <w:rsid w:val="709D459D"/>
    <w:rsid w:val="70A73F27"/>
    <w:rsid w:val="70AF77F9"/>
    <w:rsid w:val="70B0102E"/>
    <w:rsid w:val="70C8729F"/>
    <w:rsid w:val="70E37655"/>
    <w:rsid w:val="70E74732"/>
    <w:rsid w:val="70EB02B8"/>
    <w:rsid w:val="71021CB8"/>
    <w:rsid w:val="710870BC"/>
    <w:rsid w:val="710C1CE9"/>
    <w:rsid w:val="71135594"/>
    <w:rsid w:val="71353C29"/>
    <w:rsid w:val="7137174F"/>
    <w:rsid w:val="71375DA1"/>
    <w:rsid w:val="71450929"/>
    <w:rsid w:val="71490EA9"/>
    <w:rsid w:val="714F7903"/>
    <w:rsid w:val="715352FB"/>
    <w:rsid w:val="71565867"/>
    <w:rsid w:val="715D5C0A"/>
    <w:rsid w:val="71813AAC"/>
    <w:rsid w:val="71883D59"/>
    <w:rsid w:val="71910C15"/>
    <w:rsid w:val="719A6FE7"/>
    <w:rsid w:val="71A52E08"/>
    <w:rsid w:val="71AF206C"/>
    <w:rsid w:val="71AF5789"/>
    <w:rsid w:val="71B00918"/>
    <w:rsid w:val="71C218AE"/>
    <w:rsid w:val="71D265B0"/>
    <w:rsid w:val="71E31742"/>
    <w:rsid w:val="71E35433"/>
    <w:rsid w:val="71E80C9B"/>
    <w:rsid w:val="71ED62B2"/>
    <w:rsid w:val="71FD1BB4"/>
    <w:rsid w:val="71FF6C5D"/>
    <w:rsid w:val="7207062B"/>
    <w:rsid w:val="72100D9C"/>
    <w:rsid w:val="72117F0E"/>
    <w:rsid w:val="722A3062"/>
    <w:rsid w:val="722B76A8"/>
    <w:rsid w:val="722C2936"/>
    <w:rsid w:val="72330169"/>
    <w:rsid w:val="723E1533"/>
    <w:rsid w:val="724001ED"/>
    <w:rsid w:val="72424D5C"/>
    <w:rsid w:val="72491DB3"/>
    <w:rsid w:val="725A41DB"/>
    <w:rsid w:val="725B321B"/>
    <w:rsid w:val="72606CD5"/>
    <w:rsid w:val="72612DBB"/>
    <w:rsid w:val="726267C1"/>
    <w:rsid w:val="727F208E"/>
    <w:rsid w:val="728C7579"/>
    <w:rsid w:val="72946A55"/>
    <w:rsid w:val="729F16E9"/>
    <w:rsid w:val="72A13DB3"/>
    <w:rsid w:val="72A26A78"/>
    <w:rsid w:val="72AA278E"/>
    <w:rsid w:val="72B107EB"/>
    <w:rsid w:val="72B549EE"/>
    <w:rsid w:val="72BC63B0"/>
    <w:rsid w:val="72BD6859"/>
    <w:rsid w:val="72BF0E24"/>
    <w:rsid w:val="72CF7CED"/>
    <w:rsid w:val="72DB435C"/>
    <w:rsid w:val="72E570FE"/>
    <w:rsid w:val="72EC1A39"/>
    <w:rsid w:val="72FC4545"/>
    <w:rsid w:val="730257F6"/>
    <w:rsid w:val="73045661"/>
    <w:rsid w:val="73055623"/>
    <w:rsid w:val="730F3F0E"/>
    <w:rsid w:val="7312123C"/>
    <w:rsid w:val="731F693F"/>
    <w:rsid w:val="73245576"/>
    <w:rsid w:val="732A4F1A"/>
    <w:rsid w:val="732C6966"/>
    <w:rsid w:val="733023DB"/>
    <w:rsid w:val="7331413E"/>
    <w:rsid w:val="73357F10"/>
    <w:rsid w:val="733F2288"/>
    <w:rsid w:val="734D5BFD"/>
    <w:rsid w:val="734E1866"/>
    <w:rsid w:val="734E4B2E"/>
    <w:rsid w:val="735B321F"/>
    <w:rsid w:val="735F5E16"/>
    <w:rsid w:val="735F6D3B"/>
    <w:rsid w:val="73634A7D"/>
    <w:rsid w:val="73655FDF"/>
    <w:rsid w:val="73732356"/>
    <w:rsid w:val="737A72BB"/>
    <w:rsid w:val="73893DB8"/>
    <w:rsid w:val="739108EC"/>
    <w:rsid w:val="73941C76"/>
    <w:rsid w:val="73964C83"/>
    <w:rsid w:val="739F5DAA"/>
    <w:rsid w:val="73B30E5E"/>
    <w:rsid w:val="73C06E18"/>
    <w:rsid w:val="73C55E36"/>
    <w:rsid w:val="73C87AD2"/>
    <w:rsid w:val="73D2517C"/>
    <w:rsid w:val="73D56FFD"/>
    <w:rsid w:val="73E5505E"/>
    <w:rsid w:val="73EA441D"/>
    <w:rsid w:val="73F6144E"/>
    <w:rsid w:val="73F87841"/>
    <w:rsid w:val="74014F3A"/>
    <w:rsid w:val="741D40A6"/>
    <w:rsid w:val="741F5A6B"/>
    <w:rsid w:val="742E4CB4"/>
    <w:rsid w:val="743B4C14"/>
    <w:rsid w:val="744316DD"/>
    <w:rsid w:val="744C7CA1"/>
    <w:rsid w:val="74534AF2"/>
    <w:rsid w:val="74575C64"/>
    <w:rsid w:val="74582108"/>
    <w:rsid w:val="745B6B2E"/>
    <w:rsid w:val="745B748A"/>
    <w:rsid w:val="74673FCE"/>
    <w:rsid w:val="74675FF6"/>
    <w:rsid w:val="746D2CE6"/>
    <w:rsid w:val="746E5488"/>
    <w:rsid w:val="747D65A7"/>
    <w:rsid w:val="748814DE"/>
    <w:rsid w:val="74884070"/>
    <w:rsid w:val="748D229D"/>
    <w:rsid w:val="74936F92"/>
    <w:rsid w:val="74976D79"/>
    <w:rsid w:val="74AE3AD6"/>
    <w:rsid w:val="74B135C7"/>
    <w:rsid w:val="74B36085"/>
    <w:rsid w:val="74B91B7F"/>
    <w:rsid w:val="74B9435A"/>
    <w:rsid w:val="74BB400D"/>
    <w:rsid w:val="74C23A26"/>
    <w:rsid w:val="74C770B0"/>
    <w:rsid w:val="74D13ADE"/>
    <w:rsid w:val="74D72985"/>
    <w:rsid w:val="74DD0860"/>
    <w:rsid w:val="74EB6AD9"/>
    <w:rsid w:val="74F6722B"/>
    <w:rsid w:val="74F67B94"/>
    <w:rsid w:val="75013C12"/>
    <w:rsid w:val="75062F2D"/>
    <w:rsid w:val="75171229"/>
    <w:rsid w:val="75174760"/>
    <w:rsid w:val="751D4795"/>
    <w:rsid w:val="7521699E"/>
    <w:rsid w:val="75245938"/>
    <w:rsid w:val="75276A0A"/>
    <w:rsid w:val="752D5343"/>
    <w:rsid w:val="75322959"/>
    <w:rsid w:val="753541F8"/>
    <w:rsid w:val="753D2746"/>
    <w:rsid w:val="753D4A63"/>
    <w:rsid w:val="75454199"/>
    <w:rsid w:val="754649D9"/>
    <w:rsid w:val="75524A69"/>
    <w:rsid w:val="75596138"/>
    <w:rsid w:val="75622B13"/>
    <w:rsid w:val="756932BC"/>
    <w:rsid w:val="756C0562"/>
    <w:rsid w:val="756D1B5D"/>
    <w:rsid w:val="758807CB"/>
    <w:rsid w:val="758B4D1D"/>
    <w:rsid w:val="75A559FF"/>
    <w:rsid w:val="75A629FF"/>
    <w:rsid w:val="75A9263E"/>
    <w:rsid w:val="75C62719"/>
    <w:rsid w:val="75D71B66"/>
    <w:rsid w:val="75DB09DE"/>
    <w:rsid w:val="75E50435"/>
    <w:rsid w:val="75F25C45"/>
    <w:rsid w:val="75FA36FD"/>
    <w:rsid w:val="75FC6AC3"/>
    <w:rsid w:val="76041112"/>
    <w:rsid w:val="760A24FB"/>
    <w:rsid w:val="761D1234"/>
    <w:rsid w:val="7621477C"/>
    <w:rsid w:val="76215C66"/>
    <w:rsid w:val="76236746"/>
    <w:rsid w:val="762808C4"/>
    <w:rsid w:val="7629374D"/>
    <w:rsid w:val="762A23C5"/>
    <w:rsid w:val="763E70DC"/>
    <w:rsid w:val="76416004"/>
    <w:rsid w:val="764B4454"/>
    <w:rsid w:val="764D28C4"/>
    <w:rsid w:val="76534ED0"/>
    <w:rsid w:val="76541F03"/>
    <w:rsid w:val="7657446B"/>
    <w:rsid w:val="7657609A"/>
    <w:rsid w:val="76595CC4"/>
    <w:rsid w:val="76597075"/>
    <w:rsid w:val="765B1750"/>
    <w:rsid w:val="766146C3"/>
    <w:rsid w:val="76620FE7"/>
    <w:rsid w:val="76662D7B"/>
    <w:rsid w:val="766D176F"/>
    <w:rsid w:val="76854D0B"/>
    <w:rsid w:val="768A647C"/>
    <w:rsid w:val="768A6963"/>
    <w:rsid w:val="768E240F"/>
    <w:rsid w:val="76936197"/>
    <w:rsid w:val="76993F0A"/>
    <w:rsid w:val="769B6733"/>
    <w:rsid w:val="76AF1D88"/>
    <w:rsid w:val="76B566F6"/>
    <w:rsid w:val="76CA0EB7"/>
    <w:rsid w:val="76CD3E7F"/>
    <w:rsid w:val="76CD7532"/>
    <w:rsid w:val="76CF50B5"/>
    <w:rsid w:val="76D940BD"/>
    <w:rsid w:val="76D96E05"/>
    <w:rsid w:val="76DB565F"/>
    <w:rsid w:val="76E73AC6"/>
    <w:rsid w:val="77000835"/>
    <w:rsid w:val="771363A9"/>
    <w:rsid w:val="77275DC2"/>
    <w:rsid w:val="77495D38"/>
    <w:rsid w:val="77764653"/>
    <w:rsid w:val="7777315D"/>
    <w:rsid w:val="778B45A3"/>
    <w:rsid w:val="778B6351"/>
    <w:rsid w:val="778D3AFA"/>
    <w:rsid w:val="77A45665"/>
    <w:rsid w:val="77AA0A2E"/>
    <w:rsid w:val="77AB1960"/>
    <w:rsid w:val="77B21B30"/>
    <w:rsid w:val="77B37656"/>
    <w:rsid w:val="77B46856"/>
    <w:rsid w:val="77B51620"/>
    <w:rsid w:val="77B70517"/>
    <w:rsid w:val="77C51900"/>
    <w:rsid w:val="77C75BCF"/>
    <w:rsid w:val="77C76720"/>
    <w:rsid w:val="77DA42DB"/>
    <w:rsid w:val="77DB2094"/>
    <w:rsid w:val="77DD2664"/>
    <w:rsid w:val="77DD4EB4"/>
    <w:rsid w:val="77DE2A0F"/>
    <w:rsid w:val="77E104EE"/>
    <w:rsid w:val="77E11100"/>
    <w:rsid w:val="77E61A0E"/>
    <w:rsid w:val="77E83B8E"/>
    <w:rsid w:val="77E857A9"/>
    <w:rsid w:val="77EE43A2"/>
    <w:rsid w:val="77F02658"/>
    <w:rsid w:val="77F67FDD"/>
    <w:rsid w:val="77F71C38"/>
    <w:rsid w:val="77F976C3"/>
    <w:rsid w:val="78022A83"/>
    <w:rsid w:val="78043DB0"/>
    <w:rsid w:val="780743A4"/>
    <w:rsid w:val="78100AD8"/>
    <w:rsid w:val="781375CB"/>
    <w:rsid w:val="7814533A"/>
    <w:rsid w:val="78217635"/>
    <w:rsid w:val="78247E49"/>
    <w:rsid w:val="782522CD"/>
    <w:rsid w:val="7826607A"/>
    <w:rsid w:val="782D565A"/>
    <w:rsid w:val="78372035"/>
    <w:rsid w:val="783B2912"/>
    <w:rsid w:val="783D066D"/>
    <w:rsid w:val="78471A99"/>
    <w:rsid w:val="78515033"/>
    <w:rsid w:val="78720824"/>
    <w:rsid w:val="787212BF"/>
    <w:rsid w:val="78791E77"/>
    <w:rsid w:val="78802C29"/>
    <w:rsid w:val="78811502"/>
    <w:rsid w:val="78942C4B"/>
    <w:rsid w:val="78A91184"/>
    <w:rsid w:val="78C55892"/>
    <w:rsid w:val="78D12A35"/>
    <w:rsid w:val="78D84A9C"/>
    <w:rsid w:val="78DB7433"/>
    <w:rsid w:val="78E759FD"/>
    <w:rsid w:val="78F341AE"/>
    <w:rsid w:val="78FB57DE"/>
    <w:rsid w:val="79154AD6"/>
    <w:rsid w:val="79183C14"/>
    <w:rsid w:val="79284F56"/>
    <w:rsid w:val="793702D7"/>
    <w:rsid w:val="793F5645"/>
    <w:rsid w:val="79426EE3"/>
    <w:rsid w:val="794E169F"/>
    <w:rsid w:val="79543679"/>
    <w:rsid w:val="795E5748"/>
    <w:rsid w:val="7960242D"/>
    <w:rsid w:val="79666991"/>
    <w:rsid w:val="797E08E1"/>
    <w:rsid w:val="79833CF9"/>
    <w:rsid w:val="79836B0A"/>
    <w:rsid w:val="79865022"/>
    <w:rsid w:val="798851F5"/>
    <w:rsid w:val="798921D4"/>
    <w:rsid w:val="799A648F"/>
    <w:rsid w:val="799D06BA"/>
    <w:rsid w:val="799F7E92"/>
    <w:rsid w:val="79AC25AE"/>
    <w:rsid w:val="79B544A9"/>
    <w:rsid w:val="79C45450"/>
    <w:rsid w:val="79C913B2"/>
    <w:rsid w:val="79C939E2"/>
    <w:rsid w:val="79D127C6"/>
    <w:rsid w:val="79E81839"/>
    <w:rsid w:val="79F41E6D"/>
    <w:rsid w:val="79FF3026"/>
    <w:rsid w:val="7A025DC3"/>
    <w:rsid w:val="7A147F32"/>
    <w:rsid w:val="7A1C7734"/>
    <w:rsid w:val="7A1E52A9"/>
    <w:rsid w:val="7A252A8D"/>
    <w:rsid w:val="7A2629A1"/>
    <w:rsid w:val="7A29573C"/>
    <w:rsid w:val="7A2B1ACC"/>
    <w:rsid w:val="7A356A48"/>
    <w:rsid w:val="7A3F211F"/>
    <w:rsid w:val="7A4543A9"/>
    <w:rsid w:val="7A4E05A8"/>
    <w:rsid w:val="7A504DDE"/>
    <w:rsid w:val="7A545450"/>
    <w:rsid w:val="7A6F196A"/>
    <w:rsid w:val="7A82780E"/>
    <w:rsid w:val="7A884DCA"/>
    <w:rsid w:val="7AA535DF"/>
    <w:rsid w:val="7AA621EF"/>
    <w:rsid w:val="7AAF05A8"/>
    <w:rsid w:val="7AB5445C"/>
    <w:rsid w:val="7AB86BB7"/>
    <w:rsid w:val="7ABB2A50"/>
    <w:rsid w:val="7ABC4A73"/>
    <w:rsid w:val="7AC57DCC"/>
    <w:rsid w:val="7AC93E48"/>
    <w:rsid w:val="7AD46261"/>
    <w:rsid w:val="7AD7365B"/>
    <w:rsid w:val="7AD93877"/>
    <w:rsid w:val="7AD96179"/>
    <w:rsid w:val="7AE53FCA"/>
    <w:rsid w:val="7AEC6B98"/>
    <w:rsid w:val="7AFC2853"/>
    <w:rsid w:val="7B0603AA"/>
    <w:rsid w:val="7B160627"/>
    <w:rsid w:val="7B2062A2"/>
    <w:rsid w:val="7B221716"/>
    <w:rsid w:val="7B227C71"/>
    <w:rsid w:val="7B2B0750"/>
    <w:rsid w:val="7B2B1C78"/>
    <w:rsid w:val="7B4C79CE"/>
    <w:rsid w:val="7B5E1027"/>
    <w:rsid w:val="7B611857"/>
    <w:rsid w:val="7B615D46"/>
    <w:rsid w:val="7B68237C"/>
    <w:rsid w:val="7B701C63"/>
    <w:rsid w:val="7B75078B"/>
    <w:rsid w:val="7B76014C"/>
    <w:rsid w:val="7B7B212E"/>
    <w:rsid w:val="7B811ED6"/>
    <w:rsid w:val="7B852479"/>
    <w:rsid w:val="7B8E6410"/>
    <w:rsid w:val="7B9036EF"/>
    <w:rsid w:val="7B95779E"/>
    <w:rsid w:val="7B9F205C"/>
    <w:rsid w:val="7BA07EF1"/>
    <w:rsid w:val="7BAD09A7"/>
    <w:rsid w:val="7BB045D8"/>
    <w:rsid w:val="7BB120FE"/>
    <w:rsid w:val="7BBA7205"/>
    <w:rsid w:val="7BBC6B41"/>
    <w:rsid w:val="7BBE35C8"/>
    <w:rsid w:val="7BC41E31"/>
    <w:rsid w:val="7BC57958"/>
    <w:rsid w:val="7BCA1BFF"/>
    <w:rsid w:val="7BD11CE3"/>
    <w:rsid w:val="7BDC1313"/>
    <w:rsid w:val="7BDC27F8"/>
    <w:rsid w:val="7BE71C76"/>
    <w:rsid w:val="7BFB1A77"/>
    <w:rsid w:val="7C010A2D"/>
    <w:rsid w:val="7C057492"/>
    <w:rsid w:val="7C06069C"/>
    <w:rsid w:val="7C1A10DD"/>
    <w:rsid w:val="7C1C2A9E"/>
    <w:rsid w:val="7C2E4E83"/>
    <w:rsid w:val="7C321491"/>
    <w:rsid w:val="7C3B17CC"/>
    <w:rsid w:val="7C3F7999"/>
    <w:rsid w:val="7C49778A"/>
    <w:rsid w:val="7C4A39BD"/>
    <w:rsid w:val="7C4B12B4"/>
    <w:rsid w:val="7C6067D3"/>
    <w:rsid w:val="7C6B04FF"/>
    <w:rsid w:val="7C7051C8"/>
    <w:rsid w:val="7C72188D"/>
    <w:rsid w:val="7C7C0F6C"/>
    <w:rsid w:val="7C9E6B26"/>
    <w:rsid w:val="7CC3658D"/>
    <w:rsid w:val="7CCB20B6"/>
    <w:rsid w:val="7CD73DE6"/>
    <w:rsid w:val="7CD7748B"/>
    <w:rsid w:val="7CDD6430"/>
    <w:rsid w:val="7CE47B30"/>
    <w:rsid w:val="7CF42CCD"/>
    <w:rsid w:val="7CF827AE"/>
    <w:rsid w:val="7CF8457F"/>
    <w:rsid w:val="7CFF4278"/>
    <w:rsid w:val="7D0C7F34"/>
    <w:rsid w:val="7D1629A3"/>
    <w:rsid w:val="7D1D5C9D"/>
    <w:rsid w:val="7D1D79A6"/>
    <w:rsid w:val="7D261FEF"/>
    <w:rsid w:val="7D2F17B6"/>
    <w:rsid w:val="7D335198"/>
    <w:rsid w:val="7D3604EB"/>
    <w:rsid w:val="7D3B6123"/>
    <w:rsid w:val="7D507517"/>
    <w:rsid w:val="7D6A4DA6"/>
    <w:rsid w:val="7D6F401F"/>
    <w:rsid w:val="7D72325C"/>
    <w:rsid w:val="7D811B37"/>
    <w:rsid w:val="7D8A052C"/>
    <w:rsid w:val="7D956DA1"/>
    <w:rsid w:val="7DA35AF0"/>
    <w:rsid w:val="7DA44DC9"/>
    <w:rsid w:val="7DA82DFC"/>
    <w:rsid w:val="7DAF266D"/>
    <w:rsid w:val="7DB136F2"/>
    <w:rsid w:val="7DC51E91"/>
    <w:rsid w:val="7DDA3B8E"/>
    <w:rsid w:val="7DDC532F"/>
    <w:rsid w:val="7DE71E07"/>
    <w:rsid w:val="7DEC00E8"/>
    <w:rsid w:val="7DF54524"/>
    <w:rsid w:val="7DFA7D8C"/>
    <w:rsid w:val="7E0824C2"/>
    <w:rsid w:val="7E142C5A"/>
    <w:rsid w:val="7E1C4393"/>
    <w:rsid w:val="7E262F8E"/>
    <w:rsid w:val="7E2E7D5E"/>
    <w:rsid w:val="7E4559FB"/>
    <w:rsid w:val="7E464D80"/>
    <w:rsid w:val="7E480603"/>
    <w:rsid w:val="7E507D3E"/>
    <w:rsid w:val="7E547AF3"/>
    <w:rsid w:val="7E621C79"/>
    <w:rsid w:val="7E696080"/>
    <w:rsid w:val="7E731AB3"/>
    <w:rsid w:val="7E755665"/>
    <w:rsid w:val="7E7A711F"/>
    <w:rsid w:val="7E967039"/>
    <w:rsid w:val="7E980354"/>
    <w:rsid w:val="7EAE26BC"/>
    <w:rsid w:val="7EB0669D"/>
    <w:rsid w:val="7EB55361"/>
    <w:rsid w:val="7EC62364"/>
    <w:rsid w:val="7EC64112"/>
    <w:rsid w:val="7EC834BD"/>
    <w:rsid w:val="7ECA3EBD"/>
    <w:rsid w:val="7ECE7B62"/>
    <w:rsid w:val="7ED4158C"/>
    <w:rsid w:val="7ED50E45"/>
    <w:rsid w:val="7EE527EB"/>
    <w:rsid w:val="7EF0556B"/>
    <w:rsid w:val="7EF81C12"/>
    <w:rsid w:val="7EFC7BDF"/>
    <w:rsid w:val="7F01514B"/>
    <w:rsid w:val="7F0357DA"/>
    <w:rsid w:val="7F176277"/>
    <w:rsid w:val="7F2511AA"/>
    <w:rsid w:val="7F336B6E"/>
    <w:rsid w:val="7F34107C"/>
    <w:rsid w:val="7F3D472D"/>
    <w:rsid w:val="7F4C741B"/>
    <w:rsid w:val="7F511C2E"/>
    <w:rsid w:val="7F671451"/>
    <w:rsid w:val="7F701CFC"/>
    <w:rsid w:val="7F786523"/>
    <w:rsid w:val="7F8903C9"/>
    <w:rsid w:val="7F892876"/>
    <w:rsid w:val="7F8B1208"/>
    <w:rsid w:val="7F964F39"/>
    <w:rsid w:val="7F9E0BEB"/>
    <w:rsid w:val="7FAA57E2"/>
    <w:rsid w:val="7FC20D7E"/>
    <w:rsid w:val="7FC63716"/>
    <w:rsid w:val="7FCA226D"/>
    <w:rsid w:val="7FCF7865"/>
    <w:rsid w:val="7FE448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line="578" w:lineRule="auto"/>
      <w:jc w:val="center"/>
      <w:outlineLvl w:val="0"/>
    </w:pPr>
    <w:rPr>
      <w:rFonts w:eastAsia="华文仿宋"/>
      <w:b/>
      <w:bCs/>
      <w:kern w:val="44"/>
      <w:sz w:val="36"/>
      <w:szCs w:val="44"/>
    </w:rPr>
  </w:style>
  <w:style w:type="paragraph" w:styleId="3">
    <w:name w:val="heading 2"/>
    <w:basedOn w:val="1"/>
    <w:next w:val="1"/>
    <w:link w:val="56"/>
    <w:qFormat/>
    <w:uiPriority w:val="0"/>
    <w:pPr>
      <w:keepNext/>
      <w:keepLines/>
      <w:spacing w:line="416" w:lineRule="auto"/>
      <w:outlineLvl w:val="1"/>
    </w:pPr>
    <w:rPr>
      <w:rFonts w:ascii="Cambria" w:hAnsi="Cambria"/>
      <w:b/>
      <w:bCs/>
      <w:sz w:val="32"/>
      <w:szCs w:val="32"/>
    </w:rPr>
  </w:style>
  <w:style w:type="paragraph" w:styleId="4">
    <w:name w:val="heading 3"/>
    <w:basedOn w:val="1"/>
    <w:next w:val="5"/>
    <w:link w:val="72"/>
    <w:qFormat/>
    <w:uiPriority w:val="0"/>
    <w:pPr>
      <w:keepNext/>
      <w:keepLines/>
      <w:spacing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7">
    <w:name w:val="toc 7"/>
    <w:basedOn w:val="1"/>
    <w:next w:val="1"/>
    <w:qFormat/>
    <w:uiPriority w:val="0"/>
    <w:pPr>
      <w:ind w:left="2520" w:leftChars="1200"/>
    </w:pPr>
  </w:style>
  <w:style w:type="paragraph" w:styleId="8">
    <w:name w:val="Document Map"/>
    <w:basedOn w:val="1"/>
    <w:semiHidden/>
    <w:qFormat/>
    <w:uiPriority w:val="0"/>
    <w:pPr>
      <w:shd w:val="clear" w:color="auto" w:fill="000080"/>
    </w:pPr>
  </w:style>
  <w:style w:type="paragraph" w:styleId="9">
    <w:name w:val="annotation text"/>
    <w:basedOn w:val="1"/>
    <w:link w:val="66"/>
    <w:qFormat/>
    <w:uiPriority w:val="0"/>
    <w:pPr>
      <w:jc w:val="left"/>
    </w:pPr>
  </w:style>
  <w:style w:type="paragraph" w:styleId="10">
    <w:name w:val="Body Text 3"/>
    <w:basedOn w:val="1"/>
    <w:qFormat/>
    <w:uiPriority w:val="0"/>
    <w:rPr>
      <w:sz w:val="16"/>
      <w:szCs w:val="16"/>
    </w:rPr>
  </w:style>
  <w:style w:type="paragraph" w:styleId="11">
    <w:name w:val="Body Text"/>
    <w:basedOn w:val="1"/>
    <w:qFormat/>
    <w:uiPriority w:val="0"/>
    <w:pPr>
      <w:spacing w:line="360" w:lineRule="exact"/>
    </w:pPr>
    <w:rPr>
      <w:sz w:val="24"/>
      <w:szCs w:val="20"/>
    </w:rPr>
  </w:style>
  <w:style w:type="paragraph" w:styleId="12">
    <w:name w:val="Body Text Indent"/>
    <w:basedOn w:val="1"/>
    <w:next w:val="1"/>
    <w:qFormat/>
    <w:uiPriority w:val="0"/>
    <w:pPr>
      <w:spacing w:line="420" w:lineRule="exact"/>
      <w:ind w:firstLine="732" w:firstLineChars="300"/>
    </w:pPr>
    <w:rPr>
      <w:spacing w:val="2"/>
      <w:sz w:val="24"/>
    </w:rPr>
  </w:style>
  <w:style w:type="paragraph" w:styleId="13">
    <w:name w:val="List 2"/>
    <w:basedOn w:val="1"/>
    <w:unhideWhenUsed/>
    <w:qFormat/>
    <w:uiPriority w:val="99"/>
    <w:pPr>
      <w:ind w:left="100" w:leftChars="200" w:hanging="200" w:hangingChars="200"/>
      <w:contextualSpacing/>
    </w:pPr>
  </w:style>
  <w:style w:type="paragraph" w:styleId="14">
    <w:name w:val="index 4"/>
    <w:basedOn w:val="1"/>
    <w:next w:val="1"/>
    <w:semiHidden/>
    <w:qFormat/>
    <w:uiPriority w:val="0"/>
    <w:pPr>
      <w:ind w:left="600" w:leftChars="600"/>
    </w:pPr>
    <w:rPr>
      <w:szCs w:val="21"/>
    </w:rPr>
  </w:style>
  <w:style w:type="paragraph" w:styleId="15">
    <w:name w:val="toc 5"/>
    <w:basedOn w:val="1"/>
    <w:next w:val="1"/>
    <w:qFormat/>
    <w:uiPriority w:val="0"/>
    <w:pPr>
      <w:ind w:left="1680" w:leftChars="800"/>
    </w:pPr>
  </w:style>
  <w:style w:type="paragraph" w:styleId="16">
    <w:name w:val="toc 3"/>
    <w:basedOn w:val="1"/>
    <w:next w:val="1"/>
    <w:qFormat/>
    <w:uiPriority w:val="0"/>
    <w:pPr>
      <w:ind w:left="840" w:leftChars="400"/>
    </w:pPr>
  </w:style>
  <w:style w:type="paragraph" w:styleId="17">
    <w:name w:val="Plain Text"/>
    <w:basedOn w:val="1"/>
    <w:next w:val="15"/>
    <w:link w:val="77"/>
    <w:qFormat/>
    <w:uiPriority w:val="0"/>
    <w:rPr>
      <w:rFonts w:ascii="宋体" w:hAnsi="Courier New"/>
      <w:sz w:val="24"/>
    </w:rPr>
  </w:style>
  <w:style w:type="paragraph" w:styleId="18">
    <w:name w:val="toc 8"/>
    <w:basedOn w:val="1"/>
    <w:next w:val="1"/>
    <w:qFormat/>
    <w:uiPriority w:val="0"/>
    <w:pPr>
      <w:ind w:left="2940" w:leftChars="1400"/>
    </w:pPr>
  </w:style>
  <w:style w:type="paragraph" w:styleId="19">
    <w:name w:val="Date"/>
    <w:basedOn w:val="1"/>
    <w:next w:val="1"/>
    <w:qFormat/>
    <w:uiPriority w:val="0"/>
    <w:pPr>
      <w:ind w:left="100" w:leftChars="2500"/>
    </w:pPr>
  </w:style>
  <w:style w:type="paragraph" w:styleId="20">
    <w:name w:val="Body Text Indent 2"/>
    <w:basedOn w:val="1"/>
    <w:qFormat/>
    <w:uiPriority w:val="0"/>
    <w:pPr>
      <w:autoSpaceDE w:val="0"/>
      <w:autoSpaceDN w:val="0"/>
      <w:adjustRightInd w:val="0"/>
      <w:spacing w:line="360" w:lineRule="auto"/>
      <w:ind w:firstLine="480"/>
      <w:jc w:val="left"/>
    </w:pPr>
    <w:rPr>
      <w:rFonts w:ascii="仿宋_GB2312" w:eastAsia="仿宋_GB2312"/>
      <w:color w:val="FF0000"/>
      <w:kern w:val="0"/>
      <w:sz w:val="28"/>
      <w:szCs w:val="20"/>
      <w:u w:val="single"/>
    </w:rPr>
  </w:style>
  <w:style w:type="paragraph" w:styleId="21">
    <w:name w:val="Balloon Text"/>
    <w:basedOn w:val="1"/>
    <w:link w:val="79"/>
    <w:qFormat/>
    <w:uiPriority w:val="0"/>
    <w:rPr>
      <w:sz w:val="18"/>
      <w:szCs w:val="18"/>
    </w:rPr>
  </w:style>
  <w:style w:type="paragraph" w:styleId="22">
    <w:name w:val="footer"/>
    <w:basedOn w:val="1"/>
    <w:link w:val="67"/>
    <w:qFormat/>
    <w:uiPriority w:val="99"/>
    <w:pPr>
      <w:tabs>
        <w:tab w:val="center" w:pos="4153"/>
        <w:tab w:val="right" w:pos="8306"/>
      </w:tabs>
      <w:snapToGrid w:val="0"/>
      <w:jc w:val="left"/>
    </w:pPr>
    <w:rPr>
      <w:sz w:val="18"/>
      <w:szCs w:val="18"/>
    </w:rPr>
  </w:style>
  <w:style w:type="paragraph" w:styleId="23">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style>
  <w:style w:type="paragraph" w:styleId="25">
    <w:name w:val="toc 4"/>
    <w:basedOn w:val="1"/>
    <w:next w:val="1"/>
    <w:qFormat/>
    <w:uiPriority w:val="0"/>
    <w:pPr>
      <w:ind w:left="1260" w:leftChars="600"/>
    </w:pPr>
  </w:style>
  <w:style w:type="paragraph" w:styleId="26">
    <w:name w:val="Subtitle"/>
    <w:basedOn w:val="1"/>
    <w:next w:val="1"/>
    <w:link w:val="83"/>
    <w:qFormat/>
    <w:uiPriority w:val="0"/>
    <w:pPr>
      <w:spacing w:line="312" w:lineRule="auto"/>
      <w:jc w:val="left"/>
      <w:outlineLvl w:val="1"/>
    </w:pPr>
    <w:rPr>
      <w:rFonts w:ascii="Cambria" w:hAnsi="Cambria" w:eastAsia="华文仿宋"/>
      <w:b/>
      <w:bCs/>
      <w:kern w:val="28"/>
      <w:sz w:val="30"/>
      <w:szCs w:val="32"/>
    </w:rPr>
  </w:style>
  <w:style w:type="paragraph" w:styleId="27">
    <w:name w:val="footnote text"/>
    <w:basedOn w:val="1"/>
    <w:qFormat/>
    <w:uiPriority w:val="0"/>
    <w:pPr>
      <w:adjustRightInd w:val="0"/>
      <w:snapToGrid w:val="0"/>
      <w:spacing w:line="420" w:lineRule="atLeast"/>
      <w:ind w:firstLine="454"/>
      <w:jc w:val="left"/>
      <w:textAlignment w:val="baseline"/>
    </w:pPr>
    <w:rPr>
      <w:sz w:val="18"/>
    </w:rPr>
  </w:style>
  <w:style w:type="paragraph" w:styleId="28">
    <w:name w:val="toc 6"/>
    <w:basedOn w:val="1"/>
    <w:next w:val="1"/>
    <w:qFormat/>
    <w:uiPriority w:val="0"/>
    <w:pPr>
      <w:ind w:left="2100" w:leftChars="1000"/>
    </w:pPr>
  </w:style>
  <w:style w:type="paragraph" w:styleId="29">
    <w:name w:val="toc 2"/>
    <w:basedOn w:val="1"/>
    <w:next w:val="1"/>
    <w:qFormat/>
    <w:uiPriority w:val="39"/>
    <w:pPr>
      <w:ind w:left="420" w:leftChars="200"/>
    </w:pPr>
  </w:style>
  <w:style w:type="paragraph" w:styleId="30">
    <w:name w:val="toc 9"/>
    <w:basedOn w:val="1"/>
    <w:next w:val="1"/>
    <w:qFormat/>
    <w:uiPriority w:val="0"/>
    <w:pPr>
      <w:ind w:left="3360" w:leftChars="1600"/>
    </w:pPr>
  </w:style>
  <w:style w:type="paragraph" w:styleId="31">
    <w:name w:val="Normal (Web)"/>
    <w:basedOn w:val="1"/>
    <w:qFormat/>
    <w:uiPriority w:val="0"/>
    <w:pPr>
      <w:spacing w:before="100" w:beforeAutospacing="1" w:after="100" w:afterAutospacing="1"/>
      <w:jc w:val="left"/>
    </w:pPr>
    <w:rPr>
      <w:kern w:val="0"/>
      <w:sz w:val="24"/>
    </w:rPr>
  </w:style>
  <w:style w:type="paragraph" w:styleId="32">
    <w:name w:val="Title"/>
    <w:basedOn w:val="1"/>
    <w:next w:val="17"/>
    <w:link w:val="85"/>
    <w:qFormat/>
    <w:uiPriority w:val="0"/>
    <w:pPr>
      <w:spacing w:before="240" w:after="60"/>
      <w:jc w:val="center"/>
      <w:outlineLvl w:val="0"/>
    </w:pPr>
    <w:rPr>
      <w:rFonts w:asciiTheme="majorHAnsi" w:hAnsiTheme="majorHAnsi" w:cstheme="majorBidi"/>
      <w:b/>
      <w:bCs/>
      <w:sz w:val="32"/>
      <w:szCs w:val="32"/>
    </w:rPr>
  </w:style>
  <w:style w:type="paragraph" w:styleId="33">
    <w:name w:val="annotation subject"/>
    <w:basedOn w:val="9"/>
    <w:next w:val="9"/>
    <w:link w:val="74"/>
    <w:qFormat/>
    <w:uiPriority w:val="0"/>
    <w:rPr>
      <w:b/>
      <w:bCs/>
    </w:rPr>
  </w:style>
  <w:style w:type="paragraph" w:styleId="34">
    <w:name w:val="Body Text First Indent"/>
    <w:basedOn w:val="11"/>
    <w:qFormat/>
    <w:uiPriority w:val="0"/>
    <w:pPr>
      <w:ind w:firstLine="420" w:firstLineChars="100"/>
    </w:pPr>
  </w:style>
  <w:style w:type="paragraph" w:styleId="35">
    <w:name w:val="Body Text First Indent 2"/>
    <w:basedOn w:val="12"/>
    <w:next w:val="1"/>
    <w:qFormat/>
    <w:uiPriority w:val="0"/>
    <w:pPr>
      <w:ind w:firstLine="420" w:firstLineChars="200"/>
    </w:pPr>
  </w:style>
  <w:style w:type="table" w:styleId="37">
    <w:name w:val="Table Grid"/>
    <w:basedOn w:val="36"/>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qFormat/>
    <w:uiPriority w:val="22"/>
    <w:rPr>
      <w:b/>
      <w:bCs/>
    </w:rPr>
  </w:style>
  <w:style w:type="character" w:styleId="40">
    <w:name w:val="page number"/>
    <w:qFormat/>
    <w:uiPriority w:val="0"/>
  </w:style>
  <w:style w:type="character" w:styleId="41">
    <w:name w:val="FollowedHyperlink"/>
    <w:basedOn w:val="38"/>
    <w:qFormat/>
    <w:uiPriority w:val="0"/>
    <w:rPr>
      <w:color w:val="800080"/>
      <w:u w:val="none"/>
    </w:rPr>
  </w:style>
  <w:style w:type="character" w:styleId="42">
    <w:name w:val="Emphasis"/>
    <w:qFormat/>
    <w:uiPriority w:val="20"/>
    <w:rPr>
      <w:rFonts w:eastAsia="华文仿宋"/>
      <w:iCs/>
      <w:sz w:val="24"/>
    </w:rPr>
  </w:style>
  <w:style w:type="character" w:styleId="43">
    <w:name w:val="HTML Definition"/>
    <w:basedOn w:val="38"/>
    <w:qFormat/>
    <w:uiPriority w:val="0"/>
  </w:style>
  <w:style w:type="character" w:styleId="44">
    <w:name w:val="HTML Typewriter"/>
    <w:basedOn w:val="38"/>
    <w:qFormat/>
    <w:uiPriority w:val="0"/>
    <w:rPr>
      <w:rFonts w:hint="default" w:ascii="monospace" w:hAnsi="monospace" w:eastAsia="monospace" w:cs="monospace"/>
      <w:sz w:val="20"/>
    </w:rPr>
  </w:style>
  <w:style w:type="character" w:styleId="45">
    <w:name w:val="HTML Acronym"/>
    <w:basedOn w:val="38"/>
    <w:qFormat/>
    <w:uiPriority w:val="0"/>
  </w:style>
  <w:style w:type="character" w:styleId="46">
    <w:name w:val="HTML Variable"/>
    <w:basedOn w:val="38"/>
    <w:qFormat/>
    <w:uiPriority w:val="0"/>
  </w:style>
  <w:style w:type="character" w:styleId="47">
    <w:name w:val="Hyperlink"/>
    <w:basedOn w:val="38"/>
    <w:unhideWhenUsed/>
    <w:qFormat/>
    <w:uiPriority w:val="99"/>
    <w:rPr>
      <w:color w:val="0000FF"/>
      <w:u w:val="none"/>
    </w:rPr>
  </w:style>
  <w:style w:type="character" w:styleId="48">
    <w:name w:val="HTML Code"/>
    <w:basedOn w:val="38"/>
    <w:qFormat/>
    <w:uiPriority w:val="0"/>
    <w:rPr>
      <w:rFonts w:hint="default" w:ascii="monospace" w:hAnsi="monospace" w:eastAsia="monospace" w:cs="monospace"/>
      <w:sz w:val="20"/>
    </w:rPr>
  </w:style>
  <w:style w:type="character" w:styleId="49">
    <w:name w:val="annotation reference"/>
    <w:basedOn w:val="38"/>
    <w:qFormat/>
    <w:uiPriority w:val="0"/>
    <w:rPr>
      <w:sz w:val="21"/>
      <w:szCs w:val="21"/>
    </w:rPr>
  </w:style>
  <w:style w:type="character" w:styleId="50">
    <w:name w:val="HTML Cite"/>
    <w:basedOn w:val="38"/>
    <w:qFormat/>
    <w:uiPriority w:val="0"/>
  </w:style>
  <w:style w:type="character" w:styleId="51">
    <w:name w:val="HTML Keyboard"/>
    <w:basedOn w:val="38"/>
    <w:qFormat/>
    <w:uiPriority w:val="0"/>
    <w:rPr>
      <w:rFonts w:ascii="monospace" w:hAnsi="monospace" w:eastAsia="monospace" w:cs="monospace"/>
      <w:sz w:val="20"/>
    </w:rPr>
  </w:style>
  <w:style w:type="character" w:styleId="52">
    <w:name w:val="HTML Sample"/>
    <w:basedOn w:val="38"/>
    <w:qFormat/>
    <w:uiPriority w:val="0"/>
    <w:rPr>
      <w:rFonts w:hint="default" w:ascii="monospace" w:hAnsi="monospace" w:eastAsia="monospace" w:cs="monospace"/>
    </w:rPr>
  </w:style>
  <w:style w:type="paragraph" w:customStyle="1" w:styleId="53">
    <w:name w:val="正文格式"/>
    <w:basedOn w:val="11"/>
    <w:qFormat/>
    <w:uiPriority w:val="0"/>
    <w:pPr>
      <w:widowControl/>
      <w:adjustRightInd w:val="0"/>
      <w:snapToGrid w:val="0"/>
      <w:spacing w:line="400" w:lineRule="atLeast"/>
      <w:ind w:firstLine="482"/>
      <w:textAlignment w:val="baseline"/>
    </w:pPr>
    <w:rPr>
      <w:szCs w:val="20"/>
    </w:rPr>
  </w:style>
  <w:style w:type="character" w:customStyle="1" w:styleId="54">
    <w:name w:val="标题 1 Char"/>
    <w:link w:val="2"/>
    <w:qFormat/>
    <w:uiPriority w:val="0"/>
    <w:rPr>
      <w:rFonts w:eastAsia="华文仿宋"/>
      <w:b/>
      <w:bCs/>
      <w:kern w:val="44"/>
      <w:sz w:val="36"/>
      <w:szCs w:val="44"/>
    </w:rPr>
  </w:style>
  <w:style w:type="paragraph" w:customStyle="1" w:styleId="55">
    <w:name w:val="首行缩进"/>
    <w:basedOn w:val="1"/>
    <w:next w:val="1"/>
    <w:qFormat/>
    <w:uiPriority w:val="0"/>
    <w:pPr>
      <w:spacing w:line="360" w:lineRule="auto"/>
      <w:ind w:firstLine="480" w:firstLineChars="200"/>
    </w:pPr>
    <w:rPr>
      <w:rFonts w:ascii="宋体" w:hAnsi="宋体" w:cs="宋体"/>
      <w:kern w:val="0"/>
      <w:sz w:val="24"/>
    </w:rPr>
  </w:style>
  <w:style w:type="character" w:customStyle="1" w:styleId="56">
    <w:name w:val="标题 2 Char"/>
    <w:link w:val="3"/>
    <w:semiHidden/>
    <w:qFormat/>
    <w:uiPriority w:val="0"/>
    <w:rPr>
      <w:rFonts w:ascii="Cambria" w:hAnsi="Cambria" w:eastAsia="宋体" w:cs="Times New Roman"/>
      <w:b/>
      <w:bCs/>
      <w:kern w:val="2"/>
      <w:sz w:val="32"/>
      <w:szCs w:val="32"/>
    </w:rPr>
  </w:style>
  <w:style w:type="paragraph" w:customStyle="1" w:styleId="57">
    <w:name w:val="样式25"/>
    <w:basedOn w:val="1"/>
    <w:qFormat/>
    <w:uiPriority w:val="0"/>
    <w:pPr>
      <w:keepNext/>
      <w:keepLines/>
      <w:widowControl/>
      <w:spacing w:before="340" w:after="330" w:line="400" w:lineRule="exact"/>
      <w:jc w:val="center"/>
      <w:outlineLvl w:val="0"/>
    </w:pPr>
    <w:rPr>
      <w:rFonts w:eastAsia="仿宋_GB2312"/>
      <w:kern w:val="44"/>
      <w:sz w:val="32"/>
      <w:szCs w:val="20"/>
    </w:rPr>
  </w:style>
  <w:style w:type="paragraph" w:customStyle="1" w:styleId="58">
    <w:name w:val="样式9 Char"/>
    <w:basedOn w:val="1"/>
    <w:link w:val="68"/>
    <w:qFormat/>
    <w:uiPriority w:val="0"/>
    <w:pPr>
      <w:widowControl/>
      <w:spacing w:line="440" w:lineRule="exact"/>
      <w:ind w:firstLine="200" w:firstLineChars="200"/>
      <w:jc w:val="left"/>
    </w:pPr>
    <w:rPr>
      <w:spacing w:val="6"/>
      <w:kern w:val="0"/>
      <w:sz w:val="24"/>
      <w:szCs w:val="20"/>
    </w:rPr>
  </w:style>
  <w:style w:type="paragraph" w:customStyle="1" w:styleId="59">
    <w:name w:val="样式23"/>
    <w:basedOn w:val="2"/>
    <w:qFormat/>
    <w:uiPriority w:val="0"/>
    <w:pPr>
      <w:widowControl/>
      <w:spacing w:line="240" w:lineRule="auto"/>
    </w:pPr>
    <w:rPr>
      <w:rFonts w:eastAsia="仿宋_GB2312"/>
      <w:bCs w:val="0"/>
      <w:szCs w:val="20"/>
    </w:rPr>
  </w:style>
  <w:style w:type="paragraph" w:customStyle="1" w:styleId="60">
    <w:name w:val="Char Char Char Char"/>
    <w:basedOn w:val="1"/>
    <w:qFormat/>
    <w:uiPriority w:val="0"/>
    <w:rPr>
      <w:rFonts w:ascii="方正姚体" w:hAnsi="方正姚体" w:cs="方正姚体"/>
      <w:szCs w:val="20"/>
    </w:rPr>
  </w:style>
  <w:style w:type="paragraph" w:customStyle="1" w:styleId="61">
    <w:name w:val="Default Paragraph Font Para Char"/>
    <w:basedOn w:val="1"/>
    <w:qFormat/>
    <w:uiPriority w:val="0"/>
    <w:pPr>
      <w:widowControl/>
      <w:spacing w:line="240" w:lineRule="exact"/>
      <w:jc w:val="left"/>
    </w:pPr>
  </w:style>
  <w:style w:type="paragraph" w:customStyle="1" w:styleId="62">
    <w:name w:val="TOC 标题1"/>
    <w:basedOn w:val="2"/>
    <w:next w:val="1"/>
    <w:qFormat/>
    <w:uiPriority w:val="39"/>
    <w:pPr>
      <w:widowControl/>
      <w:spacing w:line="276" w:lineRule="auto"/>
      <w:jc w:val="left"/>
      <w:outlineLvl w:val="9"/>
    </w:pPr>
    <w:rPr>
      <w:rFonts w:ascii="Cambria" w:hAnsi="Cambria" w:eastAsia="宋体"/>
      <w:color w:val="365F91"/>
      <w:kern w:val="0"/>
      <w:sz w:val="28"/>
      <w:szCs w:val="28"/>
    </w:rPr>
  </w:style>
  <w:style w:type="paragraph" w:customStyle="1" w:styleId="63">
    <w:name w:val="正文2"/>
    <w:basedOn w:val="1"/>
    <w:link w:val="69"/>
    <w:qFormat/>
    <w:uiPriority w:val="0"/>
    <w:pPr>
      <w:spacing w:line="440" w:lineRule="exact"/>
      <w:ind w:firstLine="200" w:firstLineChars="200"/>
      <w:textAlignment w:val="bottom"/>
    </w:pPr>
    <w:rPr>
      <w:kern w:val="0"/>
      <w:sz w:val="24"/>
      <w:szCs w:val="20"/>
    </w:rPr>
  </w:style>
  <w:style w:type="paragraph" w:customStyle="1" w:styleId="64">
    <w:name w:val="样式29"/>
    <w:basedOn w:val="58"/>
    <w:qFormat/>
    <w:uiPriority w:val="0"/>
    <w:rPr>
      <w:rFonts w:eastAsia="楷体_GB2312"/>
    </w:rPr>
  </w:style>
  <w:style w:type="paragraph" w:customStyle="1" w:styleId="65">
    <w:name w:val="_Style 2"/>
    <w:basedOn w:val="1"/>
    <w:qFormat/>
    <w:uiPriority w:val="34"/>
    <w:pPr>
      <w:ind w:firstLine="420" w:firstLineChars="200"/>
    </w:pPr>
  </w:style>
  <w:style w:type="character" w:customStyle="1" w:styleId="66">
    <w:name w:val="批注文字 Char"/>
    <w:link w:val="9"/>
    <w:qFormat/>
    <w:uiPriority w:val="0"/>
    <w:rPr>
      <w:kern w:val="2"/>
      <w:sz w:val="21"/>
      <w:szCs w:val="24"/>
    </w:rPr>
  </w:style>
  <w:style w:type="character" w:customStyle="1" w:styleId="67">
    <w:name w:val="页脚 Char"/>
    <w:link w:val="22"/>
    <w:qFormat/>
    <w:uiPriority w:val="99"/>
    <w:rPr>
      <w:kern w:val="2"/>
      <w:sz w:val="18"/>
      <w:szCs w:val="18"/>
    </w:rPr>
  </w:style>
  <w:style w:type="character" w:customStyle="1" w:styleId="68">
    <w:name w:val="样式9 Char Char Char Char"/>
    <w:link w:val="58"/>
    <w:qFormat/>
    <w:uiPriority w:val="0"/>
    <w:rPr>
      <w:rFonts w:eastAsia="宋体"/>
      <w:spacing w:val="6"/>
      <w:sz w:val="24"/>
      <w:lang w:val="en-US" w:eastAsia="zh-CN" w:bidi="ar-SA"/>
    </w:rPr>
  </w:style>
  <w:style w:type="character" w:customStyle="1" w:styleId="69">
    <w:name w:val="正文2 Char Char"/>
    <w:link w:val="63"/>
    <w:qFormat/>
    <w:uiPriority w:val="0"/>
    <w:rPr>
      <w:rFonts w:eastAsia="宋体"/>
      <w:sz w:val="24"/>
      <w:lang w:val="en-US" w:eastAsia="zh-CN" w:bidi="ar-SA"/>
    </w:rPr>
  </w:style>
  <w:style w:type="character" w:customStyle="1" w:styleId="70">
    <w:name w:val="不明显强调1"/>
    <w:qFormat/>
    <w:uiPriority w:val="19"/>
    <w:rPr>
      <w:i/>
      <w:iCs/>
      <w:color w:val="808080"/>
    </w:rPr>
  </w:style>
  <w:style w:type="character" w:customStyle="1" w:styleId="71">
    <w:name w:val="副标题 Char"/>
    <w:qFormat/>
    <w:uiPriority w:val="0"/>
    <w:rPr>
      <w:rFonts w:ascii="Cambria" w:hAnsi="Cambria" w:eastAsia="华文仿宋" w:cs="Times New Roman"/>
      <w:b/>
      <w:bCs/>
      <w:kern w:val="28"/>
      <w:sz w:val="30"/>
      <w:szCs w:val="32"/>
    </w:rPr>
  </w:style>
  <w:style w:type="character" w:customStyle="1" w:styleId="72">
    <w:name w:val="标题 3 Char"/>
    <w:link w:val="4"/>
    <w:semiHidden/>
    <w:qFormat/>
    <w:uiPriority w:val="0"/>
    <w:rPr>
      <w:b/>
      <w:bCs/>
      <w:kern w:val="2"/>
      <w:sz w:val="32"/>
      <w:szCs w:val="32"/>
    </w:rPr>
  </w:style>
  <w:style w:type="character" w:customStyle="1" w:styleId="73">
    <w:name w:val="批注主题 Char1"/>
    <w:qFormat/>
    <w:uiPriority w:val="0"/>
    <w:rPr>
      <w:b/>
      <w:bCs/>
      <w:kern w:val="2"/>
      <w:sz w:val="21"/>
      <w:szCs w:val="24"/>
    </w:rPr>
  </w:style>
  <w:style w:type="character" w:customStyle="1" w:styleId="74">
    <w:name w:val="批注主题 Char"/>
    <w:link w:val="33"/>
    <w:qFormat/>
    <w:uiPriority w:val="0"/>
    <w:rPr>
      <w:b/>
      <w:bCs/>
      <w:kern w:val="2"/>
      <w:sz w:val="21"/>
      <w:szCs w:val="24"/>
    </w:rPr>
  </w:style>
  <w:style w:type="character" w:customStyle="1" w:styleId="75">
    <w:name w:val="纯文本 Char1"/>
    <w:qFormat/>
    <w:uiPriority w:val="0"/>
    <w:rPr>
      <w:rFonts w:ascii="宋体" w:hAnsi="Courier New" w:cs="Courier New"/>
      <w:kern w:val="2"/>
      <w:sz w:val="21"/>
      <w:szCs w:val="21"/>
    </w:rPr>
  </w:style>
  <w:style w:type="character" w:customStyle="1" w:styleId="76">
    <w:name w:val="批注框文本 Char1"/>
    <w:qFormat/>
    <w:uiPriority w:val="0"/>
    <w:rPr>
      <w:kern w:val="2"/>
      <w:sz w:val="18"/>
      <w:szCs w:val="18"/>
    </w:rPr>
  </w:style>
  <w:style w:type="character" w:customStyle="1" w:styleId="77">
    <w:name w:val="纯文本 Char"/>
    <w:link w:val="17"/>
    <w:qFormat/>
    <w:uiPriority w:val="0"/>
    <w:rPr>
      <w:rFonts w:ascii="宋体" w:hAnsi="Courier New"/>
      <w:kern w:val="2"/>
      <w:sz w:val="24"/>
      <w:szCs w:val="24"/>
    </w:rPr>
  </w:style>
  <w:style w:type="character" w:customStyle="1" w:styleId="78">
    <w:name w:val="批注文字 Char1"/>
    <w:qFormat/>
    <w:uiPriority w:val="0"/>
    <w:rPr>
      <w:kern w:val="2"/>
      <w:sz w:val="21"/>
      <w:szCs w:val="24"/>
    </w:rPr>
  </w:style>
  <w:style w:type="character" w:customStyle="1" w:styleId="79">
    <w:name w:val="批注框文本 Char"/>
    <w:link w:val="21"/>
    <w:qFormat/>
    <w:uiPriority w:val="0"/>
    <w:rPr>
      <w:kern w:val="2"/>
      <w:sz w:val="18"/>
      <w:szCs w:val="18"/>
    </w:rPr>
  </w:style>
  <w:style w:type="character" w:customStyle="1" w:styleId="80">
    <w:name w:val="页眉 Char"/>
    <w:link w:val="23"/>
    <w:qFormat/>
    <w:uiPriority w:val="0"/>
    <w:rPr>
      <w:kern w:val="2"/>
      <w:sz w:val="18"/>
      <w:szCs w:val="18"/>
    </w:rPr>
  </w:style>
  <w:style w:type="character" w:customStyle="1" w:styleId="81">
    <w:name w:val="Char Char10"/>
    <w:qFormat/>
    <w:uiPriority w:val="0"/>
    <w:rPr>
      <w:rFonts w:ascii="宋体" w:hAnsi="Courier New" w:eastAsia="宋体"/>
      <w:kern w:val="2"/>
      <w:sz w:val="24"/>
      <w:szCs w:val="24"/>
      <w:lang w:val="en-US" w:eastAsia="zh-CN" w:bidi="ar-SA"/>
    </w:rPr>
  </w:style>
  <w:style w:type="character" w:customStyle="1" w:styleId="82">
    <w:name w:val="Footer Char"/>
    <w:qFormat/>
    <w:uiPriority w:val="0"/>
    <w:rPr>
      <w:rFonts w:eastAsia="宋体"/>
      <w:kern w:val="2"/>
      <w:sz w:val="18"/>
      <w:szCs w:val="18"/>
      <w:lang w:val="en-US" w:eastAsia="zh-CN" w:bidi="ar-SA"/>
    </w:rPr>
  </w:style>
  <w:style w:type="character" w:customStyle="1" w:styleId="83">
    <w:name w:val="副标题 Char1"/>
    <w:link w:val="26"/>
    <w:qFormat/>
    <w:uiPriority w:val="0"/>
    <w:rPr>
      <w:rFonts w:ascii="Cambria" w:hAnsi="Cambria" w:eastAsia="华文仿宋" w:cs="Times New Roman"/>
      <w:b/>
      <w:bCs/>
      <w:kern w:val="28"/>
      <w:sz w:val="30"/>
      <w:szCs w:val="32"/>
    </w:rPr>
  </w:style>
  <w:style w:type="paragraph" w:customStyle="1" w:styleId="84">
    <w:name w:val="样式 标题 2 + Times New Roman 四号 非加粗 段前: 5 磅 段后: 0 磅 行距: 固定值 20..."/>
    <w:basedOn w:val="3"/>
    <w:qFormat/>
    <w:uiPriority w:val="99"/>
    <w:pPr>
      <w:spacing w:before="100" w:line="400" w:lineRule="exact"/>
    </w:pPr>
    <w:rPr>
      <w:rFonts w:ascii="Times New Roman" w:hAnsi="Times New Roman" w:eastAsia="黑体" w:cs="宋体"/>
      <w:b w:val="0"/>
      <w:bCs w:val="0"/>
      <w:sz w:val="28"/>
      <w:szCs w:val="20"/>
    </w:rPr>
  </w:style>
  <w:style w:type="character" w:customStyle="1" w:styleId="85">
    <w:name w:val="标题 Char"/>
    <w:basedOn w:val="38"/>
    <w:link w:val="32"/>
    <w:qFormat/>
    <w:uiPriority w:val="0"/>
    <w:rPr>
      <w:rFonts w:asciiTheme="majorHAnsi" w:hAnsiTheme="majorHAnsi" w:cstheme="majorBidi"/>
      <w:b/>
      <w:bCs/>
      <w:kern w:val="2"/>
      <w:sz w:val="32"/>
      <w:szCs w:val="32"/>
    </w:rPr>
  </w:style>
  <w:style w:type="paragraph" w:customStyle="1" w:styleId="86">
    <w:name w:val="p0"/>
    <w:basedOn w:val="1"/>
    <w:qFormat/>
    <w:uiPriority w:val="0"/>
    <w:pPr>
      <w:widowControl/>
    </w:pPr>
    <w:rPr>
      <w:kern w:val="0"/>
      <w:szCs w:val="21"/>
    </w:rPr>
  </w:style>
  <w:style w:type="paragraph" w:styleId="87">
    <w:name w:val="List Paragraph"/>
    <w:basedOn w:val="1"/>
    <w:qFormat/>
    <w:uiPriority w:val="1"/>
    <w:pPr>
      <w:ind w:left="1124" w:hanging="601"/>
    </w:pPr>
    <w:rPr>
      <w:rFonts w:ascii="宋体" w:hAnsi="宋体" w:cs="宋体"/>
      <w:lang w:val="zh-CN" w:bidi="zh-CN"/>
    </w:rPr>
  </w:style>
  <w:style w:type="paragraph" w:customStyle="1" w:styleId="88">
    <w:name w:val="Table Paragraph"/>
    <w:basedOn w:val="1"/>
    <w:qFormat/>
    <w:uiPriority w:val="1"/>
    <w:rPr>
      <w:rFonts w:ascii="宋体" w:hAnsi="宋体" w:cs="宋体"/>
      <w:lang w:val="zh-CN" w:bidi="zh-CN"/>
    </w:rPr>
  </w:style>
  <w:style w:type="paragraph" w:customStyle="1" w:styleId="89">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 w:type="paragraph" w:customStyle="1" w:styleId="90">
    <w:name w:val="Normal_0"/>
    <w:qFormat/>
    <w:uiPriority w:val="0"/>
    <w:rPr>
      <w:rFonts w:ascii="Times New Roman" w:hAnsi="Times New Roman" w:eastAsia="宋体" w:cs="Times New Roman"/>
      <w:sz w:val="24"/>
      <w:szCs w:val="24"/>
      <w:lang w:val="en-US" w:eastAsia="zh-CN" w:bidi="ar-SA"/>
    </w:rPr>
  </w:style>
  <w:style w:type="paragraph" w:customStyle="1" w:styleId="91">
    <w:name w:val="样式 标题 3 + 段前: 7.8 磅"/>
    <w:basedOn w:val="4"/>
    <w:qFormat/>
    <w:uiPriority w:val="0"/>
    <w:pPr>
      <w:keepNext w:val="0"/>
      <w:keepLines w:val="0"/>
      <w:spacing w:before="156" w:after="0" w:line="360" w:lineRule="auto"/>
      <w:ind w:left="2220" w:hanging="420"/>
    </w:pPr>
    <w:rPr>
      <w:rFonts w:cs="宋体"/>
      <w:sz w:val="24"/>
      <w:szCs w:val="32"/>
    </w:rPr>
  </w:style>
  <w:style w:type="paragraph" w:customStyle="1" w:styleId="9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93">
    <w:name w:val="Table Normal"/>
    <w:unhideWhenUsed/>
    <w:qFormat/>
    <w:uiPriority w:val="2"/>
    <w:pPr>
      <w:widowControl w:val="0"/>
      <w:autoSpaceDE w:val="0"/>
      <w:autoSpaceDN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9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xx</Company>
  <Pages>73</Pages>
  <Words>14776</Words>
  <Characters>16058</Characters>
  <Lines>50</Lines>
  <Paragraphs>73</Paragraphs>
  <TotalTime>0</TotalTime>
  <ScaleCrop>false</ScaleCrop>
  <LinksUpToDate>false</LinksUpToDate>
  <CharactersWithSpaces>16384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2013-09-18T00:43:00Z</dcterms:created>
  <dc:creator>chengang</dc:creator>
  <cp:lastModifiedBy>月光爱琳</cp:lastModifiedBy>
  <cp:lastPrinted>2024-10-15T12:11:00Z</cp:lastPrinted>
  <dcterms:modified xsi:type="dcterms:W3CDTF">2025-12-15T02:43:51Z</dcterms:modified>
  <dc:title>山东省房屋建筑和市政工程</dc:title>
  <cp:revision>2305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691FEB681F834254B0B56BE107426ECF_13</vt:lpwstr>
  </property>
  <property fmtid="{D5CDD505-2E9C-101B-9397-08002B2CF9AE}" pid="4" name="KSOTemplateDocerSaveRecord">
    <vt:lpwstr>eyJoZGlkIjoiYTRkYjJhMjc5ODQ2MzA4NTkxYjc4MjlkYzkyODM5NDgiLCJ1c2VySWQiOiI2OTI4OTUyNTkifQ==</vt:lpwstr>
  </property>
</Properties>
</file>